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 w:name="X1b1b5836544e95e7ba683b8f0eb4f65bf553171"/>
    <w:p>
      <w:pPr>
        <w:pStyle w:val="Title"/>
        <w:keepNext/>
        <w:keepLines/>
      </w:pPr>
      <w:r>
        <w:rPr>
          <w:color w:val="000000"/>
          <w:lang w:val="en-GB"/>
        </w:rPr>
        <w:t xml:space="preserve">Declaration of confidentiality and non-reuse of data — TranscribIA</w:t>
      </w:r>
    </w:p>
    <w:p>
      <w:pPr>
        <w:pStyle w:val="BodyText"/>
      </w:pPr>
      <w:r>
        <w:rPr>
          <w:lang w:val="en-GB"/>
        </w:rPr>
        <w:t xml:space="preserve">Localised edition v1.1 — 2026-10-17</w:t>
      </w:r>
    </w:p>
    <w:p>
      <w:pPr>
        <w:pStyle w:val="BodyText"/>
      </w:pPr>
      <w:r>
        <w:rPr>
          <w:lang w:val="en-GB"/>
        </w:rPr>
        <w:t xml:space="preserve">The French text is authoritative. This edition covers France, Ireland, the Netherlands, Spain and Portugal. Language does not select the deployment country, parties or applicable law. Read the national annex at the end of this document according to the actual country and use.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TRB-CONF-01.05</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bookmarkStart w:id="9" w:name="X911dca219555f1a78d100c92819cb03dc37c622"/>
    <w:p>
      <w:pPr>
        <w:pStyle w:val="Heading2"/>
        <w:keepNext/>
        <w:keepLines/>
      </w:pPr>
      <w:r>
        <w:rPr>
          <w:color w:val="000000"/>
          <w:lang w:val="en-GB"/>
        </w:rPr>
        <w:t xml:space="preserve">1. Purpose and scope of the declaration</w:t>
      </w:r>
    </w:p>
    <w:p>
      <w:pPr>
        <w:pStyle w:val="FirstParagraph"/>
      </w:pPr>
      <w:r>
        <w:rPr>
          <w:lang w:val="en-GB"/>
        </w:rPr>
        <w:t xml:space="preserve">This certificate is established by OHADJA, publisher and supplier of the TranscribIA solution, at the request of its client, for the purpose of confirming in writing the guarantees of confidentiality and non-reuse of data applicable to an isolated Option </w:t>
      </w:r>
      <w:r>
        <w:rPr>
          <w:lang w:val="en-GB"/>
        </w:rPr>
        <w:t xml:space="preserve"/>
      </w:r>
      <w:r>
        <w:rPr>
          <w:b/>
          <w:bCs/>
          <w:lang w:val="en-GB"/>
        </w:rPr>
        <w:t xml:space="preserve">B — on-premise </w:t>
      </w:r>
      <w:r>
        <w:rPr>
          <w:lang w:val="en-GB"/>
        </w:rPr>
        <w:t xml:space="preserve">deployment.</w:t>
      </w:r>
    </w:p>
    <w:p>
      <w:pPr>
        <w:pStyle w:val="BodyText"/>
      </w:pPr>
      <w:r>
        <w:rPr>
          <w:b/>
          <w:bCs/>
          <w:lang w:val="en-GB"/>
        </w:rPr>
        <w:t xml:space="preserve">Covered scope. </w:t>
      </w:r>
      <w:r>
        <w:rPr>
          <w:lang w:val="en-GB"/>
        </w:rPr>
        <w:t xml:space="preserve"/>
      </w:r>
      <w:r>
        <w:rPr>
          <w:lang w:val="en-GB"/>
        </w:rPr>
        <w:t xml:space="preserve">The declaration in section 2 applies exclusively to TranscribIA deployment in </w:t>
      </w:r>
      <w:r>
        <w:rPr>
          <w:lang w:val="en-GB"/>
        </w:rPr>
        <w:t xml:space="preserve"/>
      </w:r>
      <w:r>
        <w:rPr>
          <w:b/>
          <w:bCs/>
          <w:lang w:val="en-GB"/>
        </w:rPr>
        <w:t xml:space="preserve">isolated on-premise </w:t>
      </w:r>
      <w:r>
        <w:rPr>
          <w:lang w:val="en-GB"/>
        </w:rPr>
        <w:t xml:space="preserve">Option B: an installation where all solution components (application, database, GPU transcription worker, self-hosted artificial intelligence model) run within the customer’s infrastructure, with no outbound flows required for normal operation.</w:t>
      </w:r>
    </w:p>
    <w:p>
      <w:pPr>
        <w:pStyle w:val="BodyText"/>
      </w:pPr>
      <w:r>
        <w:rPr>
          <w:b/>
          <w:bCs/>
          <w:lang w:val="en-GB"/>
        </w:rPr>
        <w:t xml:space="preserve">Exclusions and reservations. </w:t>
      </w:r>
      <w:r>
        <w:rPr>
          <w:lang w:val="en-GB"/>
        </w:rPr>
        <w:t xml:space="preserve"/>
      </w:r>
      <w:r>
        <w:rPr>
          <w:lang w:val="en-GB"/>
        </w:rPr>
        <w:t xml:space="preserve">The declaration does not cover:</w:t>
      </w:r>
    </w:p>
    <w:p>
      <w:pPr>
        <w:pStyle w:val="Compact"/>
        <w:numPr>
          <w:ilvl w:val="0"/>
          <w:numId w:val="1001"/>
        </w:numPr>
      </w:pPr>
      <w:r>
        <w:rPr>
          <w:lang w:val="en-GB"/>
        </w:rPr>
        <w:t xml:space="preserve">operations carried out by the client itself on its infrastructure (hosting, system administration, network security, backups, supervision), which are its responsibility;</w:t>
      </w:r>
    </w:p>
    <w:p>
      <w:pPr>
        <w:pStyle w:val="Compact"/>
        <w:numPr>
          <w:ilvl w:val="0"/>
          <w:numId w:val="1001"/>
        </w:numPr>
      </w:pPr>
      <w:r>
        <w:rPr>
          <w:lang w:val="en-GB"/>
        </w:rPr>
        <w:t xml:space="preserve">any activation, by the client, of a function involving an outgoing flow (for example use of a remote AI model or an external GPU resource), which would take the deployment outside the “isolated” perimeter;</w:t>
      </w:r>
    </w:p>
    <w:p>
      <w:pPr>
        <w:pStyle w:val="Compact"/>
        <w:numPr>
          <w:ilvl w:val="0"/>
          <w:numId w:val="1001"/>
        </w:numPr>
      </w:pPr>
      <w:r>
        <w:rPr>
          <w:lang w:val="en-GB"/>
        </w:rPr>
        <w:t xml:space="preserve">remote support, which only takes place </w:t>
      </w:r>
      <w:r>
        <w:rPr>
          <w:lang w:val="en-GB"/>
        </w:rPr>
        <w:t xml:space="preserve"/>
      </w:r>
      <w:r>
        <w:rPr>
          <w:b/>
          <w:bCs/>
          <w:lang w:val="en-GB"/>
        </w:rPr>
        <w:t xml:space="preserve">with express prior authorization from the customer, as part of a session supervised </w:t>
      </w:r>
      <w:r>
        <w:rPr>
          <w:lang w:val="en-GB"/>
        </w:rPr>
        <w:t xml:space="preserve"/>
      </w:r>
      <w:r>
        <w:rPr>
          <w:lang w:val="en-GB"/>
        </w:rPr>
        <w:t xml:space="preserve">by the </w:t>
      </w:r>
      <w:r>
        <w:rPr>
          <w:lang w:val="en-GB"/>
        </w:rPr>
        <w:t xml:space="preserve">customer, </w:t>
      </w:r>
      <w:r>
        <w:rPr>
          <w:b/>
          <w:bCs/>
          <w:lang w:val="en-GB"/>
        </w:rPr>
        <w:t xml:space="preserve">carried out exclusively from France or the European </w:t>
      </w:r>
      <w:r>
        <w:rPr>
          <w:lang w:val="en-GB"/>
        </w:rPr>
        <w:t xml:space="preserve">Union, without local copy of production data, and each intervention of which is logged.</w:t>
      </w:r>
    </w:p>
    <w:p>
      <w:pPr>
        <w:pStyle w:val="FirstParagraph"/>
      </w:pPr>
      <w:r>
        <w:rPr>
          <w:lang w:val="en-GB"/>
        </w:rPr>
        <w:t xml:space="preserve">Any intervention outside this scope is subject to a specific agreement and is not covered by this certificate.</w:t>
      </w:r>
    </w:p>
    <w:bookmarkEnd w:id="9"/>
    <w:bookmarkStart w:id="10" w:name="Xedb769931442d0b50170f248284f489fa6faaa2"/>
    <w:p>
      <w:pPr>
        <w:pStyle w:val="Heading2"/>
        <w:keepNext/>
        <w:keepLines/>
      </w:pPr>
      <w:r>
        <w:rPr>
          <w:color w:val="000000"/>
          <w:lang w:val="en-GB"/>
        </w:rPr>
        <w:t xml:space="preserve">2. Declaration — Isolated on-premise Option B</w:t>
      </w:r>
    </w:p>
    <w:p>
      <w:pPr>
        <w:pStyle w:val="FirstParagraph"/>
      </w:pPr>
      <w:r>
        <w:rPr>
          <w:lang w:val="en-GB"/>
        </w:rPr>
        <w:t xml:space="preserve">I, Olivier Dupont, acting as President and representative of OHADJA, certify, for deployment of the TranscribIA solution in isolated on-premise Option B as defined in section 1:</w:t>
      </w:r>
    </w:p>
    <w:p>
      <w:pPr>
        <w:numPr>
          <w:ilvl w:val="0"/>
          <w:numId w:val="1002"/>
        </w:numPr>
      </w:pPr>
      <w:r>
        <w:rPr>
          <w:b/>
          <w:bCs/>
          <w:lang w:val="en-GB"/>
        </w:rPr>
        <w:t xml:space="preserve">No data sent to the cloud. No </w:t>
      </w:r>
      <w:r>
        <w:rPr>
          <w:lang w:val="en-GB"/>
        </w:rPr>
        <w:t xml:space="preserve"/>
      </w:r>
      <w:r>
        <w:rPr>
          <w:lang w:val="en-GB"/>
        </w:rPr>
        <w:t xml:space="preserve">customer data (audio files, transcriptions, documents, metadata, user accounts, generations) is transmitted to an external cloud service or a third party for the nominal operation of the solution. All processing, including transcription, diarization and exploitation by artificial intelligence, runs on components hosted in the client's infrastructure.</w:t>
      </w:r>
    </w:p>
    <w:p>
      <w:pPr>
        <w:numPr>
          <w:ilvl w:val="0"/>
          <w:numId w:val="1002"/>
        </w:numPr>
      </w:pPr>
      <w:r>
        <w:rPr>
          <w:b/>
          <w:bCs/>
          <w:lang w:val="en-GB"/>
        </w:rPr>
        <w:t xml:space="preserve">No customer data used to train models. No </w:t>
      </w:r>
      <w:r>
        <w:rPr>
          <w:lang w:val="en-GB"/>
        </w:rPr>
        <w:t xml:space="preserve"/>
      </w:r>
      <w:r>
        <w:rPr>
          <w:lang w:val="en-GB"/>
        </w:rPr>
        <w:t xml:space="preserve">customer data is used by OHADJA to train, re-train, refine or evaluate any model, whether transcription, diarization, artificial intelligence or speech correlation models.</w:t>
      </w:r>
    </w:p>
    <w:p>
      <w:pPr>
        <w:numPr>
          <w:ilvl w:val="0"/>
          <w:numId w:val="1002"/>
        </w:numPr>
      </w:pPr>
      <w:r>
        <w:rPr>
          <w:b/>
          <w:bCs/>
          <w:lang w:val="en-GB"/>
        </w:rPr>
        <w:t xml:space="preserve">No reuse of data by the provider. OHADJA does </w:t>
      </w:r>
      <w:r>
        <w:rPr>
          <w:lang w:val="en-GB"/>
        </w:rPr>
        <w:t xml:space="preserve"/>
      </w:r>
      <w:r>
        <w:rPr>
          <w:lang w:val="en-GB"/>
        </w:rPr>
        <w:t xml:space="preserve">not reuse customer data for any purpose of its own. Data is processed solely on the customer’s behalf, in providing the solution and under the customer’s documented instructions.</w:t>
      </w:r>
    </w:p>
    <w:p>
      <w:pPr>
        <w:numPr>
          <w:ilvl w:val="0"/>
          <w:numId w:val="1002"/>
        </w:numPr>
      </w:pPr>
      <w:r>
        <w:rPr>
          <w:b/>
          <w:bCs/>
          <w:lang w:val="en-GB"/>
        </w:rPr>
        <w:t xml:space="preserve">All data remains hosted in the customer's infrastructure. </w:t>
      </w:r>
      <w:r>
        <w:rPr>
          <w:lang w:val="en-GB"/>
        </w:rPr>
        <w:t xml:space="preserve">All </w:t>
      </w:r>
      <w:r>
        <w:rPr>
          <w:lang w:val="en-GB"/>
        </w:rPr>
        <w:t xml:space="preserve">processed data remains stored and hosted in the infrastructure designated by the customer. OHADJA does not hold any copies of customer production data.</w:t>
      </w:r>
    </w:p>
    <w:p>
      <w:pPr>
        <w:pStyle w:val="FirstParagraph"/>
      </w:pPr>
      <w:r>
        <w:rPr>
          <w:lang w:val="en-GB"/>
        </w:rPr>
        <w:t xml:space="preserve">This declaration is made in good faith on the basis of the agreed isolated on-premise scope. Before signature, the actual deployment, outbound flows, remote dependencies and maintenance access must be verified and documented. The declaration is conditional on maintaining that scope and not enabling options involving external flows. It does not constitute certification or general authorisation to process personal data.</w:t>
      </w:r>
    </w:p>
    <w:bookmarkEnd w:id="10"/>
    <w:bookmarkStart w:id="11" w:name="Xd34e22c39898983bff1130fe82c10f2b73dc6cb"/>
    <w:p>
      <w:pPr>
        <w:pStyle w:val="Heading2"/>
        <w:keepNext/>
        <w:keepLines/>
      </w:pPr>
      <w:r>
        <w:rPr>
          <w:color w:val="000000"/>
          <w:lang w:val="en-GB"/>
        </w:rPr>
        <w:t xml:space="preserve">3. Variant — Option A Sovereign SaaS</w:t>
      </w:r>
    </w:p>
    <w:p>
      <w:pPr>
        <w:pStyle w:val="FirstParagraph"/>
      </w:pPr>
      <w:r>
        <w:rPr>
          <w:lang w:val="en-GB"/>
        </w:rPr>
        <w:t xml:space="preserve">When the solution is provided </w:t>
      </w:r>
      <w:r>
        <w:rPr>
          <w:lang w:val="en-GB"/>
        </w:rPr>
        <w:t xml:space="preserve">under </w:t>
      </w:r>
      <w:r>
        <w:rPr>
          <w:b/>
          <w:bCs/>
          <w:lang w:val="en-GB"/>
        </w:rPr>
        <w:t xml:space="preserve">Option A — sovereign </w:t>
      </w:r>
      <w:r>
        <w:rPr>
          <w:lang w:val="en-GB"/>
        </w:rPr>
        <w:t xml:space="preserve">SaaS, the declaration of complete isolation in section 2 does not apply, since OHADJA hosts and operates the solution. The following safeguards nevertheless remain applicable:</w:t>
      </w:r>
    </w:p>
    <w:p>
      <w:pPr>
        <w:pStyle w:val="Compact"/>
        <w:numPr>
          <w:ilvl w:val="0"/>
          <w:numId w:val="1003"/>
        </w:numPr>
      </w:pPr>
      <w:r>
        <w:rPr>
          <w:b/>
          <w:bCs/>
          <w:lang w:val="en-GB"/>
        </w:rPr>
        <w:t xml:space="preserve">Non-training (point 2 </w:t>
      </w:r>
      <w:r>
        <w:rPr>
          <w:lang w:val="en-GB"/>
        </w:rPr>
        <w:t xml:space="preserve"/>
      </w:r>
      <w:r>
        <w:rPr>
          <w:lang w:val="en-GB"/>
        </w:rPr>
        <w:t xml:space="preserve">above): No customer data is used to train models.</w:t>
      </w:r>
    </w:p>
    <w:p>
      <w:pPr>
        <w:pStyle w:val="Compact"/>
        <w:numPr>
          <w:ilvl w:val="0"/>
          <w:numId w:val="1003"/>
        </w:numPr>
      </w:pPr>
      <w:r>
        <w:rPr>
          <w:b/>
          <w:bCs/>
          <w:lang w:val="en-GB"/>
        </w:rPr>
        <w:t xml:space="preserve">Non-reuse (point 3 above): </w:t>
      </w:r>
      <w:r>
        <w:rPr>
          <w:lang w:val="en-GB"/>
        </w:rPr>
        <w:t xml:space="preserve"/>
      </w:r>
      <w:r>
        <w:rPr>
          <w:lang w:val="en-GB"/>
        </w:rPr>
        <w:t xml:space="preserve">OHADJA does not reuse customer data for its own purposes.</w:t>
      </w:r>
    </w:p>
    <w:p>
      <w:pPr>
        <w:pStyle w:val="Compact"/>
        <w:numPr>
          <w:ilvl w:val="0"/>
          <w:numId w:val="1003"/>
        </w:numPr>
      </w:pPr>
      <w:r>
        <w:rPr>
          <w:b/>
          <w:bCs/>
          <w:lang w:val="en-GB"/>
        </w:rPr>
        <w:t xml:space="preserve">France/EU hosting: </w:t>
      </w:r>
      <w:r>
        <w:rPr>
          <w:lang w:val="en-GB"/>
        </w:rPr>
        <w:t xml:space="preserve"/>
      </w:r>
      <w:r>
        <w:rPr>
          <w:lang w:val="en-GB"/>
        </w:rPr>
        <w:t xml:space="preserve">production data is hosted in France (Strasbourg datacenter) and encrypted backups are stored in France (Scaleway).</w:t>
      </w:r>
    </w:p>
    <w:p>
      <w:pPr>
        <w:pStyle w:val="Compact"/>
        <w:numPr>
          <w:ilvl w:val="0"/>
          <w:numId w:val="1003"/>
        </w:numPr>
      </w:pPr>
      <w:r>
        <w:rPr>
          <w:b/>
          <w:bCs/>
          <w:lang w:val="en-GB"/>
        </w:rPr>
        <w:t xml:space="preserve">AI safeguards: </w:t>
      </w:r>
      <w:r>
        <w:rPr>
          <w:lang w:val="en-GB"/>
        </w:rPr>
        <w:t xml:space="preserve"/>
      </w:r>
      <w:r>
        <w:rPr>
          <w:lang w:val="en-GB"/>
        </w:rPr>
        <w:t xml:space="preserve">artificial intelligence processing operates only on sources selected by the customer, with data minimisation, no training on the data and no long-term storage by providers. Depending on configuration, processing outside the EEA is possible; it is then governed by GDPR Chapter V mechanisms and detailed in document TRB-CONF-01.04. A “strict EU” profile enables all processing outside the EEA to be excluded.</w:t>
      </w:r>
    </w:p>
    <w:p>
      <w:pPr>
        <w:pStyle w:val="FirstParagraph"/>
      </w:pPr>
      <w:r>
        <w:rPr>
          <w:lang w:val="en-GB"/>
        </w:rPr>
        <w:t xml:space="preserve">The SaaS variant cannot therefore attest to the absence of any sending of data outside the OHADJA infrastructure, unlike the isolated Option B. This distinction is made transparently.</w:t>
      </w:r>
    </w:p>
    <w:bookmarkEnd w:id="11"/>
    <w:bookmarkStart w:id="12" w:name="Xf87c5737d18b8839b8ac13a17e1a029202535fd"/>
    <w:p>
      <w:pPr>
        <w:pStyle w:val="Heading2"/>
        <w:keepNext/>
        <w:keepLines/>
      </w:pPr>
      <w:r>
        <w:rPr>
          <w:color w:val="000000"/>
          <w:lang w:val="en-GB"/>
        </w:rPr>
        <w:t xml:space="preserve">4. Legal scope and verification of the covered environment</w:t>
      </w:r>
    </w:p>
    <w:p>
      <w:pPr>
        <w:pStyle w:val="FirstParagraph"/>
      </w:pPr>
      <w:r>
        <w:rPr>
          <w:lang w:val="en-GB"/>
        </w:rPr>
        <w:t xml:space="preserve">This declaration supplements, without replacing, the commitments in the Data Processing Agreement (document TRB-CONF-01.02) and main contract. In the event of a discrepancy, the provisions of the DPA and main contract take precedence.</w:t>
      </w:r>
    </w:p>
    <w:bookmarkEnd w:id="12"/>
    <w:bookmarkStart w:id="13" w:name="X14bc5de1db413596a714c28200c343943188e49"/>
    <w:p>
      <w:pPr>
        <w:pStyle w:val="Heading2"/>
        <w:keepNext/>
        <w:keepLines/>
      </w:pPr>
      <w:r>
        <w:rPr>
          <w:color w:val="000000"/>
          <w:lang w:val="en-GB"/>
        </w:rPr>
        <w:t xml:space="preserve">5. Signature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Made at</w:t>
            </w:r>
          </w:p>
        </w:tc>
        <w:tc>
          <w:tcPr/>
          <w:p>
            <w:pPr>
              <w:pStyle w:val="Compact"/>
            </w:pPr>
            <w:r>
              <w:rPr>
                <w:lang w:val="en-GB"/>
              </w:rPr>
              <w:t xml:space="preserve">[TO BE COMPLETED: location]</w:t>
            </w:r>
          </w:p>
        </w:tc>
      </w:tr>
      <w:tr>
        <w:trPr>
          <w:cantSplit/>
        </w:trPr>
        <w:tc>
          <w:tcPr/>
          <w:p>
            <w:pPr>
              <w:pStyle w:val="Compact"/>
            </w:pPr>
            <w:r>
              <w:rPr>
                <w:lang w:val="en-GB"/>
              </w:rPr>
              <w:t xml:space="preserve">On</w:t>
            </w:r>
          </w:p>
        </w:tc>
        <w:tc>
          <w:tcPr/>
          <w:p>
            <w:pPr>
              <w:pStyle w:val="Compact"/>
            </w:pPr>
            <w:r>
              <w:rPr>
                <w:lang w:val="en-GB"/>
              </w:rPr>
              <w:t xml:space="preserve">[TO BE COMPLETED: date of signature]</w:t>
            </w:r>
          </w:p>
        </w:tc>
      </w:tr>
      <w:tr>
        <w:trPr>
          <w:cantSplit/>
        </w:trPr>
        <w:tc>
          <w:tcPr/>
          <w:p>
            <w:pPr>
              <w:pStyle w:val="Compact"/>
            </w:pPr>
            <w:r>
              <w:rPr>
                <w:lang w:val="en-GB"/>
              </w:rPr>
              <w:t xml:space="preserve">Name</w:t>
            </w:r>
          </w:p>
        </w:tc>
        <w:tc>
          <w:tcPr/>
          <w:p>
            <w:pPr>
              <w:pStyle w:val="Compact"/>
            </w:pPr>
            <w:r>
              <w:rPr>
                <w:lang w:val="en-GB"/>
              </w:rPr>
              <w:t xml:space="preserve">Olivier Dupont</w:t>
            </w:r>
          </w:p>
        </w:tc>
      </w:tr>
      <w:tr>
        <w:trPr>
          <w:cantSplit/>
        </w:trPr>
        <w:tc>
          <w:tcPr/>
          <w:p>
            <w:pPr>
              <w:pStyle w:val="Compact"/>
            </w:pPr>
            <w:r>
              <w:rPr>
                <w:lang w:val="en-GB"/>
              </w:rPr>
              <w:t xml:space="preserve">Capacity</w:t>
            </w:r>
          </w:p>
        </w:tc>
        <w:tc>
          <w:tcPr/>
          <w:p>
            <w:pPr>
              <w:pStyle w:val="Compact"/>
            </w:pPr>
            <w:r>
              <w:rPr>
                <w:lang w:val="en-GB"/>
              </w:rPr>
              <w:t xml:space="preserve">President</w:t>
            </w:r>
          </w:p>
        </w:tc>
      </w:tr>
      <w:tr>
        <w:trPr>
          <w:cantSplit/>
        </w:trPr>
        <w:tc>
          <w:tcPr/>
          <w:p>
            <w:pPr>
              <w:pStyle w:val="Compact"/>
            </w:pPr>
            <w:r>
              <w:rPr>
                <w:lang w:val="en-GB"/>
              </w:rPr>
              <w:t xml:space="preserve">Signature</w:t>
            </w:r>
          </w:p>
        </w:tc>
        <w:tc>
          <w:tcPr/>
          <w:p>
            <w:pPr>
              <w:pStyle w:val="Compact"/>
            </w:pPr>
          </w:p>
        </w:tc>
      </w:tr>
      <w:tr>
        <w:trPr>
          <w:cantSplit/>
        </w:trPr>
        <w:tc>
          <w:tcPr/>
          <w:p>
            <w:pPr>
              <w:pStyle w:val="Compact"/>
            </w:pPr>
            <w:r>
              <w:rPr>
                <w:lang w:val="en-GB"/>
              </w:rPr>
              <w:t xml:space="preserve">Stamp</w:t>
            </w:r>
          </w:p>
        </w:tc>
        <w:tc>
          <w:tcPr/>
          <w:p>
            <w:pPr>
              <w:pStyle w:val="Compact"/>
            </w:pPr>
          </w:p>
        </w:tc>
      </w:tr>
    </w:tbl>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bookmarkEnd w:id="13"/>
    <w:bookmarkEnd w:id="14"/>
    <w:p>
      <w:pPr>
        <w:pStyle w:val="Heading1"/>
        <w:pageBreakBefore/>
        <w:keepNext/>
        <w:keepLines/>
      </w:pPr>
      <w:r>
        <w:rPr>
          <w:lang w:val="en-GB"/>
          <w:color w:val="000000"/>
        </w:rPr>
        <w:t xml:space="preserve">Annex on national deployment rules</w:t>
      </w:r>
    </w:p>
    <w:p>
      <w:pPr>
        <w:pStyle w:val="Heading2"/>
        <w:keepNext/>
        <w:keepLines/>
      </w:pPr>
      <w:r>
        <w:rPr>
          <w:lang w:val="en-GB"/>
          <w:color w:val="000000"/>
        </w:rPr>
        <w:t xml:space="preserve">Scope of this annex</w:t>
      </w:r>
    </w:p>
    <w:p>
      <w:pPr>
        <w:pStyle w:val="BodyText"/>
      </w:pPr>
      <w:r>
        <w:rPr>
          <w:lang w:val="en-GB"/>
        </w:rPr>
        <w:t xml:space="preserve">This edition covers the European Union GDPR framework and the deployment considerations below for France, Ireland, the Netherlands, Spain and Portugal. The notices must be read according to the Customer’s actual country and use, regardless of the document’s language. They supplement the project documents without automatically changing the parties’ identities, the chosen French governing law or the designated courts. Applicable mandatory rules remain reserved. French national references in the main document remain identified as such; they do not constitute foreign equivalents.</w:t>
      </w:r>
    </w:p>
    <w:p>
      <w:pPr>
        <w:pStyle w:val="Heading2"/>
        <w:keepNext/>
        <w:keepLines/>
      </w:pPr>
      <w:r>
        <w:rPr>
          <w:lang w:val="en-GB"/>
          <w:color w:val="000000"/>
        </w:rPr>
        <w:t xml:space="preserve">European framework to document before commissioning</w:t>
      </w:r>
    </w:p>
    <w:p>
      <w:pPr>
        <w:pStyle w:val="BodyText"/>
      </w:pPr>
      <w:r>
        <w:rPr>
          <w:lang w:val="en-GB"/>
        </w:rPr>
        <w:t xml:space="preserve">The Customer must determine the purpose, necessity, proportionality and lawful basis of every recording and processing operation; inform individuals before collection; define recipients, retention periods and arrangements for exercising rights; and conclude an Article 28-compliant agreement for operations entrusted to a processor. Information, consultation or human validation alone does not make processing lawful. Employee consent must be considered cautiously given the imbalance with the employer.</w:t>
      </w:r>
    </w:p>
    <w:p>
      <w:pPr>
        <w:pStyle w:val="BodyText"/>
      </w:pPr>
      <w:r>
        <w:rPr>
          <w:lang w:val="en-GB"/>
        </w:rPr>
        <w:t xml:space="preserve">If special categories of data are processed, an applicable Article 9 condition must be identified in addition to the Article 6 basis. Voice comparison intended for unique identification must be assessed in terms of biometrics, even without a persistent template. An impact assessment must be conducted before processing likely to result in a high risk, and the rules on prior consultation of the authority remain applicable where Article 36 conditions are met. Neither local hosting nor an addendum removes the need for this assessment.</w:t>
      </w:r>
    </w:p>
    <w:p>
      <w:pPr>
        <w:pStyle w:val="BodyText"/>
      </w:pPr>
      <w:r>
        <w:rPr>
          <w:lang w:val="en-GB"/>
        </w:rPr>
        <w:t xml:space="preserve">The competent authority depends on GDPR rules, particularly for cross-border processing; it does not depend on the selected language. The processor alerts the Customer without undue delay. The controller notifies the competent authority under Article 33 conditions, where feasible within 72 hours of becoming aware of a breach, unless it is unlikely to result in a risk to rights and freedoms. Communication to individuals is subject to Article 34 conditions.</w:t>
      </w:r>
    </w:p>
    <w:p>
      <w:pPr>
        <w:pStyle w:val="BodyText"/>
      </w:pPr>
      <w:r>
        <w:rPr>
          <w:lang w:val="en-GB"/>
        </w:rPr>
        <w:t xml:space="preserve">European sources https://eur-lex.europa.eu/eli/reg/2016/679/oj and https://www.edpb.europa.eu/documents/guideline/guidelines-052020-on-consent-under-regulation-2016679_en</w:t>
      </w:r>
    </w:p>
    <w:p>
      <w:pPr>
        <w:pStyle w:val="Heading2"/>
        <w:keepNext/>
        <w:keepLines/>
      </w:pPr>
      <w:r>
        <w:rPr>
          <w:lang w:val="en-GB"/>
          <w:color w:val="000000"/>
        </w:rPr>
        <w:t xml:space="preserve">France</w:t>
      </w:r>
    </w:p>
    <w:p>
      <w:pPr>
        <w:pStyle w:val="BodyText"/>
      </w:pPr>
      <w:r>
        <w:rPr>
          <w:lang w:val="en-GB"/>
        </w:rPr>
        <w:t xml:space="preserve">For deployment in France, determine employee information and prior CSE consultation obligations according to the system, workforce size and applicable legal scope. The French Labour Code covers, in particular, techniques enabling activity monitoring, even if the product is presented as drafting assistance. Information and consultation do not replace the assessment of lawfulness, necessity and proportionality, or rules concerning private conversations, sensitive data and confidentiality. The CNIL is the national authority, subject to GDPR jurisdiction rules.</w:t>
      </w:r>
    </w:p>
    <w:p>
      <w:pPr>
        <w:pStyle w:val="BodyText"/>
      </w:pPr>
      <w:r>
        <w:rPr>
          <w:lang w:val="en-GB"/>
        </w:rPr>
        <w:t xml:space="preserve">French sources Labour Code Articles L1222-4 and L2312-38 https://www.legifrance.gouv.fr/codes/article_lc/LEGIARTI000006900861 and https://www.legifrance.gouv.fr/codes/section_lc/LEGITEXT000006072050/LEGISCTA000035610273/</w:t>
      </w:r>
    </w:p>
    <w:p>
      <w:pPr>
        <w:pStyle w:val="Heading2"/>
        <w:keepNext/>
        <w:keepLines/>
      </w:pPr>
      <w:r>
        <w:rPr>
          <w:lang w:val="en-GB"/>
          <w:color w:val="000000"/>
        </w:rPr>
        <w:t xml:space="preserve">Ireland</w:t>
      </w:r>
    </w:p>
    <w:p>
      <w:pPr>
        <w:pStyle w:val="BodyText"/>
      </w:pPr>
      <w:r>
        <w:rPr>
          <w:lang w:val="en-GB"/>
        </w:rPr>
        <w:t xml:space="preserve">For deployment in Ireland, apply the GDPR and national framework; document the lawful basis and inform participants before recording. Examine employee information and consultation obligations according to scope, workforce size, collective agreements and existing arrangements. The Irish system is distinct from the French CSE and does not create an identical consultation requirement for every employer. The Data Protection Commission is the national authority, subject to cross-border jurisdiction rules.</w:t>
      </w:r>
    </w:p>
    <w:p>
      <w:pPr>
        <w:pStyle w:val="BodyText"/>
      </w:pPr>
      <w:r>
        <w:rPr>
          <w:lang w:val="en-GB"/>
        </w:rPr>
        <w:t xml:space="preserve">Irish sources https://www.dataprotection.ie/en/dpc-guidance/video-recording and Employees (Provision of Information and Consultation) Act 2006 https://www.irishstatutebook.ie/eli/2006/act/9/enacted/en/print</w:t>
      </w:r>
    </w:p>
    <w:p>
      <w:pPr>
        <w:pStyle w:val="Heading2"/>
        <w:keepNext/>
        <w:keepLines/>
      </w:pPr>
      <w:r>
        <w:rPr>
          <w:lang w:val="en-GB"/>
          <w:color w:val="000000"/>
        </w:rPr>
        <w:t xml:space="preserve">The Netherlands</w:t>
      </w:r>
    </w:p>
    <w:p>
      <w:pPr>
        <w:pStyle w:val="BodyText"/>
      </w:pPr>
      <w:r>
        <w:rPr>
          <w:lang w:val="en-GB"/>
        </w:rPr>
        <w:t xml:space="preserve">For deployment in the Netherlands, examine the powers of the ondernemingsraad or OR. A system capable of monitoring attendance, behaviour or performance may fall within its right of prior approval under the Wet op de ondernemingsraden, even if it is not yet used for that purpose. OR approval replaces neither the lawful basis of processing nor the conditions applicable to biometrics and sensitive data. The Autoriteit Persoonsgegevens is the national authority, subject to GDPR jurisdiction rules.</w:t>
      </w:r>
    </w:p>
    <w:p>
      <w:pPr>
        <w:pStyle w:val="BodyText"/>
      </w:pPr>
      <w:r>
        <w:rPr>
          <w:lang w:val="en-GB"/>
        </w:rPr>
        <w:t xml:space="preserve">Dutch source Autoriteit Persoonsgegevens https://autoriteitpersoonsgegevens.nl/en/themes/employment-and-benefits/works-council/the-works-council-and-staff-tracking-systems</w:t>
      </w:r>
    </w:p>
    <w:p>
      <w:pPr>
        <w:pStyle w:val="Heading2"/>
        <w:keepNext/>
        <w:keepLines/>
      </w:pPr>
      <w:r>
        <w:rPr>
          <w:lang w:val="en-GB"/>
          <w:color w:val="000000"/>
        </w:rPr>
        <w:t xml:space="preserve">Spain</w:t>
      </w:r>
    </w:p>
    <w:p>
      <w:pPr>
        <w:pStyle w:val="BodyText"/>
      </w:pPr>
      <w:r>
        <w:rPr>
          <w:lang w:val="en-GB"/>
        </w:rPr>
        <w:t xml:space="preserve">For deployment in Spain, distinguish meeting transcription from the use of audio surveillance systems. Within the scope of Article 89 of Ley Orgánica 3/2018, workplace sound recording is strictly limited to certain security risks, with proportionality, minimal intervention and safeguards; rest areas are protected. Examine representatives’ information and consultation rights and applicable agreements. These provisions must not be extended without assessment to every occasional meeting, and participants’ agreement is not general authorisation. Identify the AEPD or competent regional authority according to the processing.</w:t>
      </w:r>
    </w:p>
    <w:p>
      <w:pPr>
        <w:pStyle w:val="BodyText"/>
      </w:pPr>
      <w:r>
        <w:rPr>
          <w:lang w:val="en-GB"/>
        </w:rPr>
        <w:t xml:space="preserve">Spanish sources Ley Orgánica 3/2018 Article 89 https://www.boe.es/buscar/act.php?id=BOE-A-2018-16673#a89 and Estatuto de los Trabajadores Article 64 https://www.boe.es/buscar/act.php?id=BOE-A-2015-11430#a64</w:t>
      </w:r>
    </w:p>
    <w:p>
      <w:pPr>
        <w:pStyle w:val="Heading2"/>
        <w:keepNext/>
        <w:keepLines/>
      </w:pPr>
      <w:r>
        <w:rPr>
          <w:lang w:val="en-GB"/>
          <w:color w:val="000000"/>
        </w:rPr>
        <w:t xml:space="preserve">Portugal</w:t>
      </w:r>
    </w:p>
    <w:p>
      <w:pPr>
        <w:pStyle w:val="BodyText"/>
      </w:pPr>
      <w:r>
        <w:rPr>
          <w:lang w:val="en-GB"/>
        </w:rPr>
        <w:t xml:space="preserve">For deployment in Portugal, examine the Código do Trabalho, Lei 58/2019 and rules applicable to the specific system. Remote surveillance intended to monitor professional performance is prohibited. Sound capture within a video surveillance system is subject to specific restrictions; this means neither that every meeting recording is prohibited nor that it is always authorised. Determine obligations towards workers and their representatives before commissioning. The Comissão Nacional de Proteção de Dados is the national authority, subject to GDPR jurisdiction rules.</w:t>
      </w:r>
    </w:p>
    <w:p>
      <w:pPr>
        <w:pStyle w:val="BodyText"/>
      </w:pPr>
      <w:r>
        <w:rPr>
          <w:lang w:val="en-GB"/>
        </w:rPr>
        <w:t xml:space="preserve">Portuguese sources Código do Trabalho Articles 20 and 21 https://diariodarepublica.pt/dr/legislacao-consolidada/lei/2009-34546475-211441911 and CNPD https://www.cnpd.pt/organizacoes/areas-tematicas/videovigilancia/</w:t>
      </w:r>
    </w:p>
    <w:p>
      <w:pPr>
        <w:pStyle w:val="Heading2"/>
        <w:keepNext/>
        <w:keepLines/>
      </w:pPr>
      <w:r>
        <w:rPr>
          <w:lang w:val="en-GB"/>
          <w:color w:val="000000"/>
        </w:rPr>
        <w:t xml:space="preserve">French frameworks and project commitments</w:t>
      </w:r>
    </w:p>
    <w:p>
      <w:pPr>
        <w:pStyle w:val="BodyText"/>
      </w:pPr>
      <w:r>
        <w:rPr>
          <w:lang w:val="en-GB"/>
        </w:rPr>
        <w:t xml:space="preserve">The terms CSE, CGCT, HDS, SecNumCloud, ANSSI and RGAA refer to French institutions, rules or frameworks. They establish neither TranscribIA certification nor automatic compliance with a foreign framework. Amounts and payment mechanisms in the terms of sale, including the reference to the French Commercial Code, must be considered together with the chosen law, the Customer’s status and applicable mandatory rules; they must not be presented as transpositions of each national law. Arrangements applicable to public procurement, consumers and regulated sectors must be specified separately where relevant.</w:t>
      </w:r>
    </w:p>
    <w:p>
      <w:pPr>
        <w:pStyle w:val="BodyText"/>
      </w:pPr>
      <w:r>
        <w:rPr>
          <w:lang w:val="en-GB"/>
        </w:rPr>
        <w:t xml:space="preserve">Before signature, complete and verify the project annexes concerning the parties, SaaS or on-premise configuration, processing and access locations, subprocessors, transfers, actual security measures, retention and service levels. This annex does not establish that a technical measure is already deployed and does not replace agreed specific commitments. British and Belgian regimes and other countries are not covered by these national notices; they require separate adaptation.</w:t>
      </w:r>
    </w:p>
    <w:p>
      <w:pPr>
        <w:pStyle w:val="BodyText"/>
      </w:pPr>
      <w:r>
        <w:rPr>
          <w:lang w:val="en-GB"/>
        </w:rPr>
        <w:t xml:space="preserve">Interface screenshots and examples from the application may remain in French. Explanatory text and document captions are translated; commands, filenames, technical identifiers and document references must be preserved exactly.</w:t>
      </w:r>
    </w:p>
    <w:p>
      <w:pPr>
        <w:pStyle w:val="Heading1"/>
        <w:keepNext/>
        <w:keepLines/>
      </w:pPr>
      <w:r>
        <w:rPr>
          <w:lang w:val="en-GB"/>
          <w:color w:val="000000"/>
        </w:rPr>
        <w:t>History of this edition</w:t>
      </w:r>
    </w:p>
    <w:p>
      <w:pPr>
        <w:pStyle w:val="BodyText"/>
      </w:pPr>
      <w:r>
        <w:rPr>
          <w:lang w:val="en-GB"/>
        </w:rPr>
        <w:t>1.1 — 2026-10-17</w:t>
      </w:r>
    </w:p>
    <w:p>
      <w:pPr>
        <w:pStyle w:val="BodyText"/>
      </w:pPr>
      <w:r>
        <w:rPr>
          <w:lang w:val="en-GB"/>
        </w:rPr>
        <w:t>Multilingual edition and document corrections. Earlier versions and their dates are retained. The French text is authoritative; translations aid reading and do not change the parties or applicable law.</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2026-07-25T09:45:12Z</dcterms:created>
  <dcterms:modified xsi:type="dcterms:W3CDTF">2026-07-25T09:45:12Z</dcterms:modified>
</cp:coreProperties>
</file>

<file path=docProps/custom.xml><?xml version="1.0" encoding="utf-8"?>
<Properties xmlns="http://schemas.openxmlformats.org/officeDocument/2006/custom-properties" xmlns:vt="http://schemas.openxmlformats.org/officeDocument/2006/docPropsVTypes"/>
</file>