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7" w:name="X539e31f0c026021fb8cde29549f83f5b9ec291c"/>
    <w:p>
      <w:pPr>
        <w:pStyle w:val="Title"/>
        <w:keepNext/>
        <w:keepLines/>
      </w:pPr>
      <w:r>
        <w:rPr>
          <w:color w:val="000000"/>
          <w:lang w:val="en-GB"/>
        </w:rPr>
        <w:t xml:space="preserve">General conditions of sale and maintenance — TranscribIA</w:t>
      </w:r>
    </w:p>
    <w:p>
      <w:pPr>
        <w:pStyle w:val="BodyText"/>
      </w:pPr>
      <w:r>
        <w:rPr>
          <w:lang w:val="en-GB"/>
        </w:rPr>
        <w:t xml:space="preserve">Localised edition v1.1 — 2026-10-17</w:t>
      </w:r>
    </w:p>
    <w:p>
      <w:pPr>
        <w:pStyle w:val="BodyText"/>
      </w:pPr>
      <w:r>
        <w:rPr>
          <w:lang w:val="en-GB"/>
        </w:rPr>
        <w:t xml:space="preserve">The French text is authoritative. This edition covers France, Ireland, the Netherlands, Spain and Portugal. Language does not select the deployment country, parties or applicable law. Read the national annex at the end of this document according to the actual country and use.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CGVM-TRANSCRIBIA-2026-01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w:t>
            </w:r>
          </w:p>
        </w:tc>
        <w:tc>
          <w:tcPr/>
          <w:p>
            <w:pPr>
              <w:pStyle w:val="Compact"/>
            </w:pPr>
            <w:r>
              <w:rPr>
                <w:lang w:val="en-GB"/>
              </w:rPr>
              <w:t xml:space="preserve">OHADJA</w:t>
            </w:r>
          </w:p>
        </w:tc>
      </w:tr>
      <w:tr>
        <w:trPr>
          <w:cantSplit/>
        </w:trPr>
        <w:tc>
          <w:tcPr/>
          <w:p>
            <w:pPr>
              <w:pStyle w:val="Compact"/>
            </w:pPr>
            <w:r>
              <w:rPr>
                <w:b/>
                <w:bCs/>
                <w:lang w:val="en-GB"/>
              </w:rPr>
              <w:t xml:space="preserve">Classification</w:t>
            </w:r>
          </w:p>
        </w:tc>
        <w:tc>
          <w:tcPr/>
          <w:p>
            <w:pPr>
              <w:pStyle w:val="Compact"/>
            </w:pPr>
            <w:r>
              <w:rPr>
                <w:lang w:val="en-GB"/>
              </w:rPr>
              <w:t xml:space="preserve">Public — contract model (to be completed before signature)</w:t>
            </w:r>
          </w:p>
        </w:tc>
      </w:tr>
    </w:tbl>
    <w:p>
      <w:r>
        <w:pict>
          <v:rect style="width:0;height:1.5pt" o:hralign="center" o:hrstd="t" o:hr="t"/>
        </w:pict>
      </w:r>
    </w:p>
    <w:bookmarkStart w:id="15" w:name="article-1--objet-et-définitions"/>
    <w:p>
      <w:pPr>
        <w:pStyle w:val="Heading2"/>
        <w:keepNext/>
        <w:keepLines/>
      </w:pPr>
      <w:r>
        <w:rPr>
          <w:color w:val="000000"/>
          <w:lang w:val="en-GB"/>
        </w:rPr>
        <w:t xml:space="preserve">Article 1 — Purpose and definitions</w:t>
      </w:r>
    </w:p>
    <w:bookmarkStart w:id="9" w:name="Xf4671889473d27fcb7b5710cf7ac2343be1d8a0"/>
    <w:p>
      <w:pPr>
        <w:pStyle w:val="Heading3"/>
        <w:keepNext/>
        <w:keepLines/>
      </w:pPr>
      <w:r>
        <w:rPr>
          <w:color w:val="000000"/>
          <w:lang w:val="en-GB"/>
        </w:rPr>
        <w:t xml:space="preserve">1.1 Purpose</w:t>
      </w:r>
    </w:p>
    <w:p>
      <w:pPr>
        <w:pStyle w:val="FirstParagraph"/>
      </w:pPr>
      <w:r>
        <w:rPr>
          <w:lang w:val="en-GB"/>
        </w:rPr>
        <w:t xml:space="preserve">These general conditions of sale and maintenance (hereinafter the “Conditions” or “CGVM”) govern the supply, by the company OHADJA, publisher of the software </w:t>
      </w:r>
      <w:r>
        <w:rPr>
          <w:lang w:val="en-GB"/>
        </w:rPr>
        <w:t xml:space="preserve"/>
      </w:r>
      <w:r>
        <w:rPr>
          <w:b/>
          <w:bCs/>
          <w:lang w:val="en-GB"/>
        </w:rPr>
        <w:t xml:space="preserve">solution </w:t>
      </w:r>
      <w:r>
        <w:rPr>
          <w:lang w:val="en-GB"/>
        </w:rPr>
        <w:t xml:space="preserve">TranscribIA, of all the services associated with this solution: provision in software-as-a-service (SaaS) mode, grant of license for use in on-site mode (on-premise), maintenance, support, updates and additional services possible.</w:t>
      </w:r>
    </w:p>
    <w:p>
      <w:pPr>
        <w:pStyle w:val="BodyText"/>
      </w:pPr>
      <w:r>
        <w:rPr>
          <w:lang w:val="en-GB"/>
        </w:rPr>
        <w:t xml:space="preserve">They apply to any order placed by the customer (hereinafter the “Customer”) with OHADJA, whether concluded directly or through an approved distributor or integrator.</w:t>
      </w:r>
    </w:p>
    <w:p>
      <w:pPr>
        <w:pStyle w:val="BodyText"/>
      </w:pPr>
      <w:r>
        <w:rPr>
          <w:lang w:val="en-GB"/>
        </w:rPr>
        <w:t xml:space="preserve">Any order implies unreserved acceptance of these Conditions, which prevail over any contradictory document emanating from the Customer, in particular its general conditions of purchase, unless specific stipulation expressly accepted in writing by OHADJA.</w:t>
      </w:r>
    </w:p>
    <w:bookmarkEnd w:id="9"/>
    <w:bookmarkStart w:id="13" w:name="X89d109302845bed012e9ce6674460c1e1467532"/>
    <w:p>
      <w:pPr>
        <w:pStyle w:val="Heading3"/>
        <w:keepNext/>
        <w:keepLines/>
      </w:pPr>
      <w:r>
        <w:rPr>
          <w:color w:val="000000"/>
          <w:lang w:val="en-GB"/>
        </w:rPr>
        <w:t xml:space="preserve">1.2 Publisher identification</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n-GB"/>
              </w:rPr>
              <w:t xml:space="preserve">Element</w:t>
            </w:r>
          </w:p>
        </w:tc>
        <w:tc>
          <w:tcPr/>
          <w:p>
            <w:pPr>
              <w:pStyle w:val="Compact"/>
            </w:pPr>
            <w:r>
              <w:rPr>
                <w:lang w:val="en-GB"/>
              </w:rPr>
              <w:t xml:space="preserve">Value</w:t>
            </w:r>
          </w:p>
        </w:tc>
      </w:tr>
      <w:tr>
        <w:trPr>
          <w:cantSplit/>
        </w:trPr>
        <w:tc>
          <w:tcPr/>
          <w:p>
            <w:pPr>
              <w:pStyle w:val="Compact"/>
            </w:pPr>
            <w:r>
              <w:rPr>
                <w:lang w:val="en-GB"/>
              </w:rPr>
              <w:t xml:space="preserve">Company name</w:t>
            </w:r>
          </w:p>
        </w:tc>
        <w:tc>
          <w:tcPr/>
          <w:p>
            <w:pPr>
              <w:pStyle w:val="Compact"/>
            </w:pPr>
            <w:r>
              <w:rPr>
                <w:lang w:val="en-GB"/>
              </w:rPr>
              <w:t xml:space="preserve">OHADJA</w:t>
            </w:r>
          </w:p>
        </w:tc>
      </w:tr>
      <w:tr>
        <w:trPr>
          <w:cantSplit/>
        </w:trPr>
        <w:tc>
          <w:tcPr/>
          <w:p>
            <w:pPr>
              <w:pStyle w:val="Compact"/>
            </w:pPr>
            <w:r>
              <w:rPr>
                <w:lang w:val="en-GB"/>
              </w:rPr>
              <w:t xml:space="preserve">Legal form</w:t>
            </w:r>
          </w:p>
        </w:tc>
        <w:tc>
          <w:tcPr/>
          <w:p>
            <w:pPr>
              <w:pStyle w:val="Compact"/>
            </w:pPr>
            <w:r>
              <w:rPr>
                <w:lang w:val="en-GB"/>
              </w:rPr>
              <w:t xml:space="preserve">French simplified joint-stock company (société par actions simplifiée, SAS) — principal activity 62.01Z (computer programming)</w:t>
            </w:r>
          </w:p>
        </w:tc>
      </w:tr>
      <w:tr>
        <w:trPr>
          <w:cantSplit/>
        </w:trPr>
        <w:tc>
          <w:tcPr/>
          <w:p>
            <w:pPr>
              <w:pStyle w:val="Compact"/>
            </w:pPr>
            <w:r>
              <w:rPr>
                <w:lang w:val="en-GB"/>
              </w:rPr>
              <w:t xml:space="preserve">Intracommunity VAT number</w:t>
            </w:r>
          </w:p>
        </w:tc>
        <w:tc>
          <w:tcPr/>
          <w:p>
            <w:pPr>
              <w:pStyle w:val="Compact"/>
            </w:pPr>
            <w:r>
              <w:rPr>
                <w:lang w:val="en-GB"/>
              </w:rPr>
              <w:t xml:space="preserve">FR78992146480</w:t>
            </w:r>
          </w:p>
        </w:tc>
      </w:tr>
      <w:tr>
        <w:trPr>
          <w:cantSplit/>
        </w:trPr>
        <w:tc>
          <w:tcPr/>
          <w:p>
            <w:pPr>
              <w:pStyle w:val="Compact"/>
            </w:pPr>
            <w:r>
              <w:rPr>
                <w:lang w:val="en-GB"/>
              </w:rPr>
              <w:t xml:space="preserve">Legal representative</w:t>
            </w:r>
          </w:p>
        </w:tc>
        <w:tc>
          <w:tcPr/>
          <w:p>
            <w:pPr>
              <w:pStyle w:val="Compact"/>
            </w:pPr>
            <w:r>
              <w:rPr>
                <w:lang w:val="en-GB"/>
              </w:rPr>
              <w:t xml:space="preserve">Olivier Dupont, President</w:t>
            </w:r>
          </w:p>
        </w:tc>
      </w:tr>
      <w:tr>
        <w:trPr>
          <w:cantSplit/>
        </w:trPr>
        <w:tc>
          <w:tcPr/>
          <w:p>
            <w:pPr>
              <w:pStyle w:val="Compact"/>
            </w:pPr>
            <w:r>
              <w:rPr>
                <w:lang w:val="en-GB"/>
              </w:rPr>
              <w:t xml:space="preserve">Head office</w:t>
            </w:r>
          </w:p>
        </w:tc>
        <w:tc>
          <w:tcPr/>
          <w:p>
            <w:pPr>
              <w:pStyle w:val="Compact"/>
            </w:pPr>
            <w:r>
              <w:rPr>
                <w:lang w:val="en-GB"/>
              </w:rPr>
              <w:t xml:space="preserve">60 rue François 1er, 75008 Paris, France</w:t>
            </w:r>
          </w:p>
        </w:tc>
      </w:tr>
      <w:tr>
        <w:trPr>
          <w:cantSplit/>
        </w:trPr>
        <w:tc>
          <w:tcPr/>
          <w:p>
            <w:pPr>
              <w:pStyle w:val="Compact"/>
            </w:pPr>
            <w:r>
              <w:rPr>
                <w:lang w:val="en-GB"/>
              </w:rPr>
              <w:t xml:space="preserve">Registration</w:t>
            </w:r>
          </w:p>
        </w:tc>
        <w:tc>
          <w:tcPr/>
          <w:p>
            <w:pPr>
              <w:pStyle w:val="Compact"/>
            </w:pPr>
            <w:r>
              <w:rPr>
                <w:lang w:val="en-GB"/>
              </w:rPr>
              <w:t xml:space="preserve">992 146 480 R.C.S. Paris — SIRET of the headquarters: 992 146 480 00015</w:t>
            </w:r>
          </w:p>
        </w:tc>
      </w:tr>
      <w:tr>
        <w:trPr>
          <w:cantSplit/>
        </w:trPr>
        <w:tc>
          <w:tcPr/>
          <w:p>
            <w:pPr>
              <w:pStyle w:val="Compact"/>
            </w:pPr>
            <w:r>
              <w:rPr>
                <w:lang w:val="en-GB"/>
              </w:rPr>
              <w:t xml:space="preserve">Sales contact</w:t>
            </w:r>
          </w:p>
        </w:tc>
        <w:tc>
          <w:tcPr/>
          <w:p>
            <w:pPr>
              <w:pStyle w:val="Compact"/>
            </w:pPr>
            <w:hyperlink r:id="rId10">
              <w:r>
                <w:rPr>
                  <w:rStyle w:val="Hyperlink"/>
                  <w:lang w:val="en-GB"/>
                </w:rPr>
                <w:t xml:space="preserve">contact@transcribia.eu</w:t>
              </w:r>
            </w:hyperlink>
            <w:r>
              <w:rPr>
                <w:lang w:val="en-GB"/>
              </w:rPr>
              <w:t xml:space="preserve"> </w:t>
            </w:r>
            <w:r>
              <w:rPr>
                <w:lang w:val="en-GB"/>
              </w:rPr>
              <w:t xml:space="preserve">(telephone: [TO BE COMPLETED])</w:t>
            </w:r>
          </w:p>
        </w:tc>
      </w:tr>
      <w:tr>
        <w:trPr>
          <w:cantSplit/>
        </w:trPr>
        <w:tc>
          <w:tcPr/>
          <w:p>
            <w:pPr>
              <w:pStyle w:val="Compact"/>
            </w:pPr>
            <w:r>
              <w:rPr>
                <w:lang w:val="en-GB"/>
              </w:rPr>
              <w:t xml:space="preserve">Support contact</w:t>
            </w:r>
          </w:p>
        </w:tc>
        <w:tc>
          <w:tcPr/>
          <w:p>
            <w:pPr>
              <w:pStyle w:val="Compact"/>
            </w:pPr>
            <w:hyperlink r:id="rId11">
              <w:r>
                <w:rPr>
                  <w:rStyle w:val="Hyperlink"/>
                  <w:lang w:val="en-GB"/>
                </w:rPr>
                <w:t xml:space="preserve">support@transcribia.eu</w:t>
              </w:r>
            </w:hyperlink>
          </w:p>
        </w:tc>
      </w:tr>
      <w:tr>
        <w:trPr>
          <w:cantSplit/>
        </w:trPr>
        <w:tc>
          <w:tcPr/>
          <w:p>
            <w:pPr>
              <w:pStyle w:val="Compact"/>
            </w:pPr>
            <w:r>
              <w:rPr>
                <w:lang w:val="en-GB"/>
              </w:rPr>
              <w:t xml:space="preserve">Data protection contact</w:t>
            </w:r>
          </w:p>
        </w:tc>
        <w:tc>
          <w:tcPr/>
          <w:p>
            <w:pPr>
              <w:pStyle w:val="Compact"/>
            </w:pPr>
            <w:hyperlink r:id="rId12">
              <w:r>
                <w:rPr>
                  <w:rStyle w:val="Hyperlink"/>
                  <w:lang w:val="en-GB"/>
                </w:rPr>
                <w:t xml:space="preserve">privacy@transcribia.eu</w:t>
              </w:r>
            </w:hyperlink>
          </w:p>
        </w:tc>
      </w:tr>
    </w:tbl>
    <w:bookmarkEnd w:id="13"/>
    <w:bookmarkStart w:id="14" w:name="X13918ccd61158bc68fb2c044c7c8daaf9a87e12"/>
    <w:p>
      <w:pPr>
        <w:pStyle w:val="Heading3"/>
        <w:keepNext/>
        <w:keepLines/>
      </w:pPr>
      <w:r>
        <w:rPr>
          <w:color w:val="000000"/>
          <w:lang w:val="en-GB"/>
        </w:rPr>
        <w:t xml:space="preserve">1.3 Definitions</w:t>
      </w:r>
    </w:p>
    <w:p>
      <w:pPr>
        <w:pStyle w:val="FirstParagraph"/>
      </w:pPr>
      <w:r>
        <w:rPr>
          <w:lang w:val="en-GB"/>
        </w:rPr>
        <w:t xml:space="preserve">In these Conditions, the following terms have the meaning given to them below:</w:t>
      </w:r>
    </w:p>
    <w:p>
      <w:pPr>
        <w:pStyle w:val="Compact"/>
        <w:numPr>
          <w:ilvl w:val="0"/>
          <w:numId w:val="1001"/>
        </w:numPr>
      </w:pPr>
      <w:r>
        <w:rPr>
          <w:b/>
          <w:bCs/>
          <w:lang w:val="en-GB"/>
        </w:rPr>
        <w:t xml:space="preserve">“Solution” or “TranscribIA”: </w:t>
      </w:r>
      <w:r>
        <w:rPr>
          <w:lang w:val="en-GB"/>
        </w:rPr>
        <w:t xml:space="preserve"/>
      </w:r>
      <w:r>
        <w:rPr>
          <w:lang w:val="en-GB"/>
        </w:rPr>
        <w:t xml:space="preserve">the intelligent audio transcription software platform published by OHADJA, allowing the import of audio files, their automatic transcription, diarization (segmentation by speaker), exploitation assisted by artificial intelligence (correction, summary, minutes, chapters, speaker identification suggestion) and the export of documents.</w:t>
      </w:r>
    </w:p>
    <w:p>
      <w:pPr>
        <w:pStyle w:val="Compact"/>
        <w:numPr>
          <w:ilvl w:val="0"/>
          <w:numId w:val="1001"/>
        </w:numPr>
      </w:pPr>
      <w:r>
        <w:rPr>
          <w:b/>
          <w:bCs/>
          <w:lang w:val="en-GB"/>
        </w:rPr>
        <w:t xml:space="preserve">“SaaS mode” (Option </w:t>
      </w:r>
      <w:r>
        <w:rPr>
          <w:lang w:val="en-GB"/>
        </w:rPr>
        <w:t xml:space="preserve"/>
      </w:r>
      <w:r>
        <w:rPr>
          <w:lang w:val="en-GB"/>
        </w:rPr>
        <w:t xml:space="preserve">A): provision of the Solution as an online service, hosted and operated by OHADJA, accessible by subscription.</w:t>
      </w:r>
    </w:p>
    <w:p>
      <w:pPr>
        <w:pStyle w:val="Compact"/>
        <w:numPr>
          <w:ilvl w:val="0"/>
          <w:numId w:val="1001"/>
        </w:numPr>
      </w:pPr>
      <w:r>
        <w:rPr>
          <w:b/>
          <w:bCs/>
          <w:lang w:val="en-GB"/>
        </w:rPr>
        <w:t xml:space="preserve">“On-premise mode” (Option </w:t>
      </w:r>
      <w:r>
        <w:rPr>
          <w:lang w:val="en-GB"/>
        </w:rPr>
        <w:t xml:space="preserve"/>
      </w:r>
      <w:r>
        <w:rPr>
          <w:lang w:val="en-GB"/>
        </w:rPr>
        <w:t xml:space="preserve">B): grant of a license to use the Solution deployed in the Customer's infrastructure or in an infrastructure designated by him.</w:t>
      </w:r>
    </w:p>
    <w:p>
      <w:pPr>
        <w:pStyle w:val="Compact"/>
        <w:numPr>
          <w:ilvl w:val="0"/>
          <w:numId w:val="1001"/>
        </w:numPr>
      </w:pPr>
      <w:r>
        <w:rPr>
          <w:b/>
          <w:bCs/>
          <w:lang w:val="en-GB"/>
        </w:rPr>
        <w:t xml:space="preserve">“Contract”: </w:t>
      </w:r>
      <w:r>
        <w:rPr>
          <w:lang w:val="en-GB"/>
        </w:rPr>
        <w:t xml:space="preserve"/>
      </w:r>
      <w:r>
        <w:rPr>
          <w:lang w:val="en-GB"/>
        </w:rPr>
        <w:t xml:space="preserve">the contractual whole formed by the accepted order form or quote, these Conditions, any special conditions and their annexes, including the personal data Processing Agreement (hereinafter the “DPA”).</w:t>
      </w:r>
    </w:p>
    <w:p>
      <w:pPr>
        <w:pStyle w:val="Compact"/>
        <w:numPr>
          <w:ilvl w:val="0"/>
          <w:numId w:val="1001"/>
        </w:numPr>
      </w:pPr>
      <w:r>
        <w:rPr>
          <w:b/>
          <w:bCs/>
          <w:lang w:val="en-GB"/>
        </w:rPr>
        <w:t xml:space="preserve">“Documentation”: </w:t>
      </w:r>
      <w:r>
        <w:rPr>
          <w:lang w:val="en-GB"/>
        </w:rPr>
        <w:t xml:space="preserve"/>
      </w:r>
      <w:r>
        <w:rPr>
          <w:lang w:val="en-GB"/>
        </w:rPr>
        <w:t xml:space="preserve">the technical and functional documents describing the Solution and its conditions of use, delivered or made accessible to the Customer.</w:t>
      </w:r>
    </w:p>
    <w:p>
      <w:pPr>
        <w:pStyle w:val="Compact"/>
        <w:numPr>
          <w:ilvl w:val="0"/>
          <w:numId w:val="1001"/>
        </w:numPr>
      </w:pPr>
      <w:r>
        <w:rPr>
          <w:b/>
          <w:bCs/>
          <w:lang w:val="en-GB"/>
        </w:rPr>
        <w:t xml:space="preserve">“Incident”: </w:t>
      </w:r>
      <w:r>
        <w:rPr>
          <w:lang w:val="en-GB"/>
        </w:rPr>
        <w:t xml:space="preserve"/>
      </w:r>
      <w:r>
        <w:rPr>
          <w:lang w:val="en-GB"/>
        </w:rPr>
        <w:t xml:space="preserve">any reproducible malfunction of the Solution that does not comply with the Documentation.</w:t>
      </w:r>
    </w:p>
    <w:p>
      <w:pPr>
        <w:pStyle w:val="Compact"/>
        <w:numPr>
          <w:ilvl w:val="0"/>
          <w:numId w:val="1001"/>
        </w:numPr>
      </w:pPr>
      <w:r>
        <w:rPr>
          <w:b/>
          <w:bCs/>
          <w:lang w:val="en-GB"/>
        </w:rPr>
        <w:t xml:space="preserve">“Corrective Maintenance”: </w:t>
      </w:r>
      <w:r>
        <w:rPr>
          <w:lang w:val="en-GB"/>
        </w:rPr>
        <w:t xml:space="preserve"/>
      </w:r>
      <w:r>
        <w:rPr>
          <w:lang w:val="en-GB"/>
        </w:rPr>
        <w:t xml:space="preserve">correction of Incidents.</w:t>
      </w:r>
    </w:p>
    <w:p>
      <w:pPr>
        <w:pStyle w:val="Compact"/>
        <w:numPr>
          <w:ilvl w:val="0"/>
          <w:numId w:val="1001"/>
        </w:numPr>
      </w:pPr>
      <w:r>
        <w:rPr>
          <w:b/>
          <w:bCs/>
          <w:lang w:val="en-GB"/>
        </w:rPr>
        <w:t xml:space="preserve">“Evolutionary maintenance”: </w:t>
      </w:r>
      <w:r>
        <w:rPr>
          <w:lang w:val="en-GB"/>
        </w:rPr>
        <w:t xml:space="preserve"/>
      </w:r>
      <w:r>
        <w:rPr>
          <w:lang w:val="en-GB"/>
        </w:rPr>
        <w:t xml:space="preserve">the provision of new versions, improvements and functional developments of the Solution.</w:t>
      </w:r>
    </w:p>
    <w:p>
      <w:pPr>
        <w:pStyle w:val="Compact"/>
        <w:numPr>
          <w:ilvl w:val="0"/>
          <w:numId w:val="1001"/>
        </w:numPr>
      </w:pPr>
      <w:r>
        <w:rPr>
          <w:b/>
          <w:bCs/>
          <w:lang w:val="en-GB"/>
        </w:rPr>
        <w:t xml:space="preserve">“Security update”: the </w:t>
      </w:r>
      <w:r>
        <w:rPr>
          <w:lang w:val="en-GB"/>
        </w:rPr>
        <w:t xml:space="preserve"/>
      </w:r>
      <w:r>
        <w:rPr>
          <w:lang w:val="en-GB"/>
        </w:rPr>
        <w:t xml:space="preserve">correction of vulnerabilities affecting the Solution or its components.</w:t>
      </w:r>
    </w:p>
    <w:p>
      <w:pPr>
        <w:pStyle w:val="Compact"/>
        <w:numPr>
          <w:ilvl w:val="0"/>
          <w:numId w:val="1001"/>
        </w:numPr>
      </w:pPr>
      <w:r>
        <w:rPr>
          <w:b/>
          <w:bCs/>
          <w:lang w:val="en-GB"/>
        </w:rPr>
        <w:t xml:space="preserve">“Business </w:t>
      </w:r>
      <w:r>
        <w:rPr>
          <w:lang w:val="en-GB"/>
        </w:rPr>
        <w:t xml:space="preserve">Day”: </w:t>
      </w:r>
      <w:r>
        <w:rPr>
          <w:lang w:val="en-GB"/>
        </w:rPr>
        <w:t xml:space="preserve">any day of the week except Saturdays, Sundays and statutory public holidays in France.</w:t>
      </w:r>
    </w:p>
    <w:p>
      <w:pPr>
        <w:pStyle w:val="Compact"/>
        <w:numPr>
          <w:ilvl w:val="0"/>
          <w:numId w:val="1001"/>
        </w:numPr>
      </w:pPr>
      <w:r>
        <w:rPr>
          <w:b/>
          <w:bCs/>
          <w:lang w:val="en-GB"/>
        </w:rPr>
        <w:t xml:space="preserve">“Business Hour” </w:t>
      </w:r>
      <w:r>
        <w:rPr>
          <w:lang w:val="en-GB"/>
        </w:rPr>
        <w:t xml:space="preserve"/>
      </w:r>
      <w:r>
        <w:rPr>
          <w:lang w:val="en-GB"/>
        </w:rPr>
        <w:t xml:space="preserve">means any hour within the period 09:00–18:00 (Central European Time, CET/CEST) on a Business Day.</w:t>
      </w:r>
    </w:p>
    <w:p>
      <w:r>
        <w:pict>
          <v:rect style="width:0;height:1.5pt" o:hralign="center" o:hrstd="t" o:hr="t"/>
        </w:pict>
      </w:r>
    </w:p>
    <w:bookmarkEnd w:id="14"/>
    <w:bookmarkEnd w:id="15"/>
    <w:bookmarkStart w:id="20" w:name="article-2--modes-de-fourniture"/>
    <w:p>
      <w:pPr>
        <w:pStyle w:val="Heading2"/>
        <w:keepNext/>
        <w:keepLines/>
      </w:pPr>
      <w:r>
        <w:rPr>
          <w:color w:val="000000"/>
          <w:lang w:val="en-GB"/>
        </w:rPr>
        <w:t xml:space="preserve">Article 2 — Modes of supply</w:t>
      </w:r>
    </w:p>
    <w:p>
      <w:pPr>
        <w:pStyle w:val="FirstParagraph"/>
      </w:pPr>
      <w:r>
        <w:rPr>
          <w:lang w:val="en-GB"/>
        </w:rPr>
        <w:t xml:space="preserve">The Solution is offered in two modes of supply, exclusive or combined depending on the order.</w:t>
      </w:r>
    </w:p>
    <w:bookmarkStart w:id="16" w:name="Xd1b37f610e12c897edc1ce61e5bef0271ea79ab"/>
    <w:p>
      <w:pPr>
        <w:pStyle w:val="Heading3"/>
        <w:keepNext/>
        <w:keepLines/>
      </w:pPr>
      <w:r>
        <w:rPr>
          <w:color w:val="000000"/>
          <w:lang w:val="en-GB"/>
        </w:rPr>
        <w:t xml:space="preserve">2.1 SaaS mode (Option A) — subscription</w:t>
      </w:r>
    </w:p>
    <w:p>
      <w:pPr>
        <w:pStyle w:val="FirstParagraph"/>
      </w:pPr>
      <w:r>
        <w:rPr>
          <w:lang w:val="en-GB"/>
        </w:rPr>
        <w:t xml:space="preserve">In SaaS Mode, OHADJA makes the Solution available to the Customer in the form of a service accessible remotely, hosted and operated by it on an infrastructure located in France (see Article 2.3). The Customer subscribes to a subscription whose duration, scope (number of organizations, users, processing volumes) and price are defined in the order form.</w:t>
      </w:r>
    </w:p>
    <w:p>
      <w:pPr>
        <w:pStyle w:val="BodyText"/>
      </w:pPr>
      <w:r>
        <w:rPr>
          <w:lang w:val="en-GB"/>
        </w:rPr>
        <w:t xml:space="preserve">The subscription includes hosting, application operation, supervision, technical backups, maintenance and support under the conditions of these Conditions.</w:t>
      </w:r>
    </w:p>
    <w:bookmarkEnd w:id="16"/>
    <w:bookmarkStart w:id="17" w:name="Xfc88b1eba500b140931b7f3a307c6f84755c81f"/>
    <w:p>
      <w:pPr>
        <w:pStyle w:val="Heading3"/>
        <w:keepNext/>
        <w:keepLines/>
      </w:pPr>
      <w:r>
        <w:rPr>
          <w:color w:val="000000"/>
          <w:lang w:val="en-GB"/>
        </w:rPr>
        <w:t xml:space="preserve">2.2 On-premise mode (Option B) — license</w:t>
      </w:r>
    </w:p>
    <w:p>
      <w:pPr>
        <w:pStyle w:val="FirstParagraph"/>
      </w:pPr>
      <w:r>
        <w:rPr>
          <w:lang w:val="en-GB"/>
        </w:rPr>
        <w:t xml:space="preserve">In on-premise Mode, OHADJA grants the Client a license to use the Solution, deployed in the form of Docker containers in the Client's infrastructure or in an infrastructure designated by him. The license is granted for the duration and scope defined in the order form.</w:t>
      </w:r>
    </w:p>
    <w:p>
      <w:pPr>
        <w:pStyle w:val="BodyText"/>
      </w:pPr>
      <w:r>
        <w:rPr>
          <w:lang w:val="en-GB"/>
        </w:rPr>
        <w:t xml:space="preserve">In the “isolated” variant (without dependence on a cloud service), all components of the Solution run in the Customer's infrastructure, including the transcription engine and the self-hosted language model configured by organization. No outgoing flow is required for the nominal operation of the Solution in this variant.</w:t>
      </w:r>
    </w:p>
    <w:p>
      <w:pPr>
        <w:pStyle w:val="BodyText"/>
      </w:pPr>
      <w:r>
        <w:rPr>
          <w:lang w:val="en-GB"/>
        </w:rPr>
        <w:t xml:space="preserve">In on-premise Mode, the Customer provides hosting, infrastructure administration, network security, backups and supervision of its environment, except for maintenance or operating missions expressly entrusted to OHADJA in the order form.</w:t>
      </w:r>
    </w:p>
    <w:bookmarkEnd w:id="17"/>
    <w:bookmarkStart w:id="18" w:name="X620cd868255f86573729856f08d4b05334ea34f"/>
    <w:p>
      <w:pPr>
        <w:pStyle w:val="Heading3"/>
        <w:keepNext/>
        <w:keepLines/>
      </w:pPr>
      <w:r>
        <w:rPr>
          <w:color w:val="000000"/>
          <w:lang w:val="en-GB"/>
        </w:rPr>
        <w:t xml:space="preserve">2.3 Location of hosting (SaaS mode)</w:t>
      </w:r>
    </w:p>
    <w:p>
      <w:pPr>
        <w:pStyle w:val="FirstParagraph"/>
      </w:pPr>
      <w:r>
        <w:rPr>
          <w:lang w:val="en-GB"/>
        </w:rPr>
        <w:t xml:space="preserve">In SaaS Mode, the Solution is hosted on a Hostinger infrastructure located in a data center in France (Strasbourg). The backups are encrypted before outsourcing (age, X25519 + ChaCha20-Poly1305) and stored in the European Union, at Scaleway (France). System disk encryption depends on data center offering; an upgrade (LUKS/gocryptfs) is planned. The detailed conditions of location, subsequent subcontracting and transfers appear in the DPA attached to the Contract.</w:t>
      </w:r>
    </w:p>
    <w:bookmarkEnd w:id="18"/>
    <w:bookmarkStart w:id="19" w:name="Xc84de25915f548014284dbc3485a2fe891f2579"/>
    <w:p>
      <w:pPr>
        <w:pStyle w:val="Heading3"/>
        <w:keepNext/>
        <w:keepLines/>
      </w:pPr>
      <w:r>
        <w:rPr>
          <w:color w:val="000000"/>
          <w:lang w:val="en-GB"/>
        </w:rPr>
        <w:t xml:space="preserve">2.4 Distribution and approved intermediaries</w:t>
      </w:r>
    </w:p>
    <w:p>
      <w:pPr>
        <w:pStyle w:val="FirstParagraph"/>
      </w:pPr>
      <w:r>
        <w:rPr>
          <w:lang w:val="en-GB"/>
        </w:rPr>
        <w:t xml:space="preserve">The Contract may be concluded </w:t>
      </w:r>
      <w:r>
        <w:rPr>
          <w:lang w:val="en-GB"/>
        </w:rPr>
        <w:t xml:space="preserve"/>
      </w:r>
      <w:r>
        <w:rPr>
          <w:b/>
          <w:bCs/>
          <w:lang w:val="en-GB"/>
        </w:rPr>
        <w:t xml:space="preserve">directly with OHADJA, </w:t>
      </w:r>
      <w:r>
        <w:rPr>
          <w:lang w:val="en-GB"/>
        </w:rPr>
        <w:t xml:space="preserve">publisher of the Solution, </w:t>
      </w:r>
      <w:r>
        <w:rPr>
          <w:lang w:val="en-GB"/>
        </w:rPr>
        <w:t xml:space="preserve"/>
      </w:r>
      <w:r>
        <w:rPr>
          <w:b/>
          <w:bCs/>
          <w:lang w:val="en-GB"/>
        </w:rPr>
        <w:t xml:space="preserve">or through an authorized reseller or distributor, in </w:t>
      </w:r>
      <w:r>
        <w:rPr>
          <w:lang w:val="en-GB"/>
        </w:rPr>
        <w:t xml:space="preserve">particular AMBASSADIA SARL (France and Monaco) or Televic Conference France.</w:t>
      </w:r>
    </w:p>
    <w:p>
      <w:pPr>
        <w:pStyle w:val="BodyText"/>
      </w:pPr>
      <w:r>
        <w:rPr>
          <w:lang w:val="en-GB"/>
        </w:rPr>
        <w:t xml:space="preserve">Use of an authorised intermediary changes neither the identity of the Solution’s </w:t>
      </w:r>
      <w:r>
        <w:rPr>
          <w:lang w:val="en-GB"/>
        </w:rPr>
        <w:t xml:space="preserve"/>
      </w:r>
      <w:r>
        <w:rPr>
          <w:b/>
          <w:bCs/>
          <w:lang w:val="en-GB"/>
        </w:rPr>
        <w:t xml:space="preserve">publisher nor that of the processor under GDPR Article </w:t>
      </w:r>
      <w:r>
        <w:rPr>
          <w:lang w:val="en-GB"/>
        </w:rPr>
        <w:t xml:space="preserve">28, which remains OHADJA. Authorised resellers and distributors handle marketing, integration with conference systems and first-line customer relations; they do not process production data on the Customer’s behalf unless a specific task is expressly agreed and contractually governed.</w:t>
      </w:r>
    </w:p>
    <w:p>
      <w:r>
        <w:pict>
          <v:rect style="width:0;height:1.5pt" o:hralign="center" o:hrstd="t" o:hr="t"/>
        </w:pict>
      </w:r>
    </w:p>
    <w:bookmarkEnd w:id="19"/>
    <w:bookmarkEnd w:id="20"/>
    <w:bookmarkStart w:id="25" w:name="article-3--commande-et-livraison"/>
    <w:p>
      <w:pPr>
        <w:pStyle w:val="Heading2"/>
        <w:keepNext/>
        <w:keepLines/>
      </w:pPr>
      <w:r>
        <w:rPr>
          <w:color w:val="000000"/>
          <w:lang w:val="en-GB"/>
        </w:rPr>
        <w:t xml:space="preserve">Article 3 — Order and delivery</w:t>
      </w:r>
    </w:p>
    <w:bookmarkStart w:id="21" w:name="X43dd320c834ca055ba327dd351bd46bcfec9061"/>
    <w:p>
      <w:pPr>
        <w:pStyle w:val="Heading3"/>
        <w:keepNext/>
        <w:keepLines/>
      </w:pPr>
      <w:r>
        <w:rPr>
          <w:color w:val="000000"/>
          <w:lang w:val="en-GB"/>
        </w:rPr>
        <w:t xml:space="preserve">3.1 Order formation</w:t>
      </w:r>
    </w:p>
    <w:p>
      <w:pPr>
        <w:pStyle w:val="FirstParagraph"/>
      </w:pPr>
      <w:r>
        <w:rPr>
          <w:lang w:val="en-GB"/>
        </w:rPr>
        <w:t xml:space="preserve">The order is formed by the signature or written acceptance, by the Customer, of a purchase order or a quote issued by OHADJA or by an approved distributor. The quote is valid for thirty (30) calendar days, unless otherwise stated.</w:t>
      </w:r>
    </w:p>
    <w:bookmarkEnd w:id="21"/>
    <w:bookmarkStart w:id="22" w:name="X9444373bc25488c51399ba626a539feb8a1af94"/>
    <w:p>
      <w:pPr>
        <w:pStyle w:val="Heading3"/>
        <w:keepNext/>
        <w:keepLines/>
      </w:pPr>
      <w:r>
        <w:rPr>
          <w:color w:val="000000"/>
          <w:lang w:val="en-GB"/>
        </w:rPr>
        <w:t xml:space="preserve">3.2 Delivery — SaaS mode</w:t>
      </w:r>
    </w:p>
    <w:p>
      <w:pPr>
        <w:pStyle w:val="FirstParagraph"/>
      </w:pPr>
      <w:r>
        <w:rPr>
          <w:lang w:val="en-GB"/>
        </w:rPr>
        <w:t xml:space="preserve">In SaaS Mode, delivery is carried out by opening access to the Solution (creation of the customer organization and the administrator account) within [TO BE COMPLETED: service opening time] from validation of the order and, where applicable, receipt of the first subscription term.</w:t>
      </w:r>
    </w:p>
    <w:bookmarkEnd w:id="22"/>
    <w:bookmarkStart w:id="23" w:name="X89462a0379b7571981a99a0a103e8c222066ded"/>
    <w:p>
      <w:pPr>
        <w:pStyle w:val="Heading3"/>
        <w:keepNext/>
        <w:keepLines/>
      </w:pPr>
      <w:r>
        <w:rPr>
          <w:color w:val="000000"/>
          <w:lang w:val="en-GB"/>
        </w:rPr>
        <w:t xml:space="preserve">3.3 Delivery — On-premise mode</w:t>
      </w:r>
    </w:p>
    <w:p>
      <w:pPr>
        <w:pStyle w:val="FirstParagraph"/>
      </w:pPr>
      <w:r>
        <w:rPr>
          <w:lang w:val="en-GB"/>
        </w:rPr>
        <w:t xml:space="preserve">In on-premise mode, delivery is achieved by providing software images, deployment documentation and license keys. Installation in the Customer's infrastructure is subject, where applicable, to a separate implementation service defined in the order form. The addressing, VLAN and integration parameters with the Client's infrastructure are established jointly with the Client's technical teams during the implementation phase.</w:t>
      </w:r>
    </w:p>
    <w:bookmarkEnd w:id="23"/>
    <w:bookmarkStart w:id="24" w:name="X31405e772d2f048c2f0b7fa20199b409cfb8474"/>
    <w:p>
      <w:pPr>
        <w:pStyle w:val="Heading3"/>
        <w:keepNext/>
        <w:keepLines/>
      </w:pPr>
      <w:r>
        <w:rPr>
          <w:color w:val="000000"/>
          <w:lang w:val="en-GB"/>
        </w:rPr>
        <w:t xml:space="preserve">3.4 Reversibility of acceptance</w:t>
      </w:r>
    </w:p>
    <w:p>
      <w:pPr>
        <w:pStyle w:val="FirstParagraph"/>
      </w:pPr>
      <w:r>
        <w:rPr>
          <w:lang w:val="en-GB"/>
        </w:rPr>
        <w:t xml:space="preserve">Except for the acceptance procedure expressly provided for in the order form, the Solution is deemed to be compliant and accepted in the absence of a written and reasoned reservation from the Customer within [TO BE COMPLETED: acceptance deadline, e.g. 15 working days] from delivery.</w:t>
      </w:r>
    </w:p>
    <w:p>
      <w:r>
        <w:pict>
          <v:rect style="width:0;height:1.5pt" o:hralign="center" o:hrstd="t" o:hr="t"/>
        </w:pict>
      </w:r>
    </w:p>
    <w:bookmarkEnd w:id="24"/>
    <w:bookmarkEnd w:id="25"/>
    <w:bookmarkStart w:id="30" w:name="article-4--conditions-financières"/>
    <w:p>
      <w:pPr>
        <w:pStyle w:val="Heading2"/>
        <w:keepNext/>
        <w:keepLines/>
      </w:pPr>
      <w:r>
        <w:rPr>
          <w:color w:val="000000"/>
          <w:lang w:val="en-GB"/>
        </w:rPr>
        <w:t xml:space="preserve">Article 4 — Financial conditions</w:t>
      </w:r>
    </w:p>
    <w:bookmarkStart w:id="26" w:name="X7a65ee48142714814faf1fac0c74cda3d7b89fc"/>
    <w:p>
      <w:pPr>
        <w:pStyle w:val="Heading3"/>
        <w:keepNext/>
        <w:keepLines/>
      </w:pPr>
      <w:r>
        <w:rPr>
          <w:color w:val="000000"/>
          <w:lang w:val="en-GB"/>
        </w:rPr>
        <w:t xml:space="preserve">4.1 Price</w:t>
      </w:r>
    </w:p>
    <w:p>
      <w:pPr>
        <w:pStyle w:val="FirstParagraph"/>
      </w:pPr>
      <w:r>
        <w:rPr>
          <w:lang w:val="en-GB"/>
        </w:rPr>
        <w:t xml:space="preserve">The prices are those appearing on the order form or the accepted quote. They are expressed in euros and are exclusive of taxes, value added tax and any applicable tax being in addition to the rate in force.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Tariff element</w:t>
            </w:r>
          </w:p>
        </w:tc>
        <w:tc>
          <w:tcPr/>
          <w:p>
            <w:pPr>
              <w:pStyle w:val="Compact"/>
            </w:pPr>
            <w:r>
              <w:rPr>
                <w:lang w:val="en-GB"/>
              </w:rPr>
              <w:t xml:space="preserve">Basis</w:t>
            </w:r>
          </w:p>
        </w:tc>
        <w:tc>
          <w:tcPr/>
          <w:p>
            <w:pPr>
              <w:pStyle w:val="Compact"/>
            </w:pPr>
            <w:r>
              <w:rPr>
                <w:lang w:val="en-GB"/>
              </w:rPr>
              <w:t xml:space="preserve">Amount</w:t>
            </w:r>
          </w:p>
        </w:tc>
      </w:tr>
      <w:tr>
        <w:trPr>
          <w:cantSplit/>
        </w:trPr>
        <w:tc>
          <w:tcPr/>
          <w:p>
            <w:pPr>
              <w:pStyle w:val="Compact"/>
            </w:pPr>
            <w:r>
              <w:rPr>
                <w:lang w:val="en-GB"/>
              </w:rPr>
              <w:t xml:space="preserve">SaaS Subscription (Option A)</w:t>
            </w:r>
          </w:p>
        </w:tc>
        <w:tc>
          <w:tcPr/>
          <w:p>
            <w:pPr>
              <w:pStyle w:val="Compact"/>
            </w:pPr>
            <w:r>
              <w:rPr>
                <w:lang w:val="en-GB"/>
              </w:rPr>
              <w:t xml:space="preserve">By [TO BE COMPLETED: unit — organization / user / volume level] and by period</w:t>
            </w:r>
          </w:p>
        </w:tc>
        <w:tc>
          <w:tcPr/>
          <w:p>
            <w:pPr>
              <w:pStyle w:val="Compact"/>
            </w:pPr>
            <w:r>
              <w:rPr>
                <w:lang w:val="en-GB"/>
              </w:rPr>
              <w:t xml:space="preserve">[TO BE COMPLETED: amount]</w:t>
            </w:r>
          </w:p>
        </w:tc>
      </w:tr>
      <w:tr>
        <w:trPr>
          <w:cantSplit/>
        </w:trPr>
        <w:tc>
          <w:tcPr/>
          <w:p>
            <w:pPr>
              <w:pStyle w:val="Compact"/>
            </w:pPr>
            <w:r>
              <w:rPr>
                <w:lang w:val="en-GB"/>
              </w:rPr>
              <w:t xml:space="preserve">On-premise license (Option B)</w:t>
            </w:r>
          </w:p>
        </w:tc>
        <w:tc>
          <w:tcPr/>
          <w:p>
            <w:pPr>
              <w:pStyle w:val="Compact"/>
            </w:pPr>
            <w:r>
              <w:rPr>
                <w:lang w:val="en-GB"/>
              </w:rPr>
              <w:t xml:space="preserve">By [TO BE COMPLETED: license unit]</w:t>
            </w:r>
          </w:p>
        </w:tc>
        <w:tc>
          <w:tcPr/>
          <w:p>
            <w:pPr>
              <w:pStyle w:val="Compact"/>
            </w:pPr>
            <w:r>
              <w:rPr>
                <w:lang w:val="en-GB"/>
              </w:rPr>
              <w:t xml:space="preserve">[TO BE COMPLETED: amount]</w:t>
            </w:r>
          </w:p>
        </w:tc>
      </w:tr>
      <w:tr>
        <w:trPr>
          <w:cantSplit/>
        </w:trPr>
        <w:tc>
          <w:tcPr/>
          <w:p>
            <w:pPr>
              <w:pStyle w:val="Compact"/>
            </w:pPr>
            <w:r>
              <w:rPr>
                <w:lang w:val="en-GB"/>
              </w:rPr>
              <w:t xml:space="preserve">Maintenance and support (Option B)</w:t>
            </w:r>
          </w:p>
        </w:tc>
        <w:tc>
          <w:tcPr/>
          <w:p>
            <w:pPr>
              <w:pStyle w:val="Compact"/>
            </w:pPr>
            <w:r>
              <w:rPr>
                <w:lang w:val="en-GB"/>
              </w:rPr>
              <w:t xml:space="preserve">Annual percentage of the license price or package</w:t>
            </w:r>
          </w:p>
        </w:tc>
        <w:tc>
          <w:tcPr/>
          <w:p>
            <w:pPr>
              <w:pStyle w:val="Compact"/>
            </w:pPr>
            <w:r>
              <w:rPr>
                <w:lang w:val="en-GB"/>
              </w:rPr>
              <w:t xml:space="preserve">[TO BE COMPLETED: amount or rate]</w:t>
            </w:r>
          </w:p>
        </w:tc>
      </w:tr>
      <w:tr>
        <w:trPr>
          <w:cantSplit/>
        </w:trPr>
        <w:tc>
          <w:tcPr/>
          <w:p>
            <w:pPr>
              <w:pStyle w:val="Compact"/>
            </w:pPr>
            <w:r>
              <w:rPr>
                <w:lang w:val="en-GB"/>
              </w:rPr>
              <w:t xml:space="preserve">Implementation service</w:t>
            </w:r>
          </w:p>
        </w:tc>
        <w:tc>
          <w:tcPr/>
          <w:p>
            <w:pPr>
              <w:pStyle w:val="Compact"/>
            </w:pPr>
            <w:r>
              <w:rPr>
                <w:lang w:val="en-GB"/>
              </w:rPr>
              <w:t xml:space="preserve">Package or management</w:t>
            </w:r>
          </w:p>
        </w:tc>
        <w:tc>
          <w:tcPr/>
          <w:p>
            <w:pPr>
              <w:pStyle w:val="Compact"/>
            </w:pPr>
            <w:r>
              <w:rPr>
                <w:lang w:val="en-GB"/>
              </w:rPr>
              <w:t xml:space="preserve">[TO BE COMPLETED: amount]</w:t>
            </w:r>
          </w:p>
        </w:tc>
      </w:tr>
      <w:tr>
        <w:trPr>
          <w:cantSplit/>
        </w:trPr>
        <w:tc>
          <w:tcPr/>
          <w:p>
            <w:pPr>
              <w:pStyle w:val="Compact"/>
            </w:pPr>
            <w:r>
              <w:rPr>
                <w:lang w:val="en-GB"/>
              </w:rPr>
              <w:t xml:space="preserve">Additional services</w:t>
            </w:r>
          </w:p>
        </w:tc>
        <w:tc>
          <w:tcPr/>
          <w:p>
            <w:pPr>
              <w:pStyle w:val="Compact"/>
            </w:pPr>
            <w:r>
              <w:rPr>
                <w:lang w:val="en-GB"/>
              </w:rPr>
              <w:t xml:space="preserve">On quote</w:t>
            </w:r>
          </w:p>
        </w:tc>
        <w:tc>
          <w:tcPr/>
          <w:p>
            <w:pPr>
              <w:pStyle w:val="Compact"/>
            </w:pPr>
            <w:r>
              <w:rPr>
                <w:lang w:val="en-GB"/>
              </w:rPr>
              <w:t xml:space="preserve">[TO BE COMPLETED: conditions]</w:t>
            </w:r>
          </w:p>
        </w:tc>
      </w:tr>
    </w:tbl>
    <w:bookmarkEnd w:id="26"/>
    <w:bookmarkStart w:id="27" w:name="Xe7b3bd34afd2c74c6f4a3fa06951ef874be78c8"/>
    <w:p>
      <w:pPr>
        <w:pStyle w:val="Heading3"/>
        <w:keepNext/>
        <w:keepLines/>
      </w:pPr>
      <w:r>
        <w:rPr>
          <w:color w:val="000000"/>
          <w:lang w:val="en-GB"/>
        </w:rPr>
        <w:t xml:space="preserve">4.2 Billing and payment</w:t>
      </w:r>
    </w:p>
    <w:p>
      <w:pPr>
        <w:pStyle w:val="FirstParagraph"/>
      </w:pPr>
      <w:r>
        <w:rPr>
          <w:lang w:val="en-GB"/>
        </w:rPr>
        <w:t xml:space="preserve">In SaaS Mode, the subscription is invoiced [TO COMPLETE: frequency — monthly / quarterly / annually], [TO COMPLETE: in advance / in arrears]. In on-premise Mode, the licence is invoiced on delivery and annual maintenance at the end of each period.</w:t>
      </w:r>
    </w:p>
    <w:p>
      <w:pPr>
        <w:pStyle w:val="BodyText"/>
      </w:pPr>
      <w:r>
        <w:rPr>
          <w:lang w:val="en-GB"/>
        </w:rPr>
        <w:t xml:space="preserve">Invoices are payable at [TO BE COMPLETED: payment deadline, within the legal limit of 60 days from the date of issue, or 45 days end of month] by [TO BE COMPLETED: means of payment].</w:t>
      </w:r>
    </w:p>
    <w:bookmarkEnd w:id="27"/>
    <w:bookmarkStart w:id="28" w:name="Xb8a5ed9c1ea1f71a52285cc681b69a2726474fe"/>
    <w:p>
      <w:pPr>
        <w:pStyle w:val="Heading3"/>
        <w:keepNext/>
        <w:keepLines/>
      </w:pPr>
      <w:r>
        <w:rPr>
          <w:color w:val="000000"/>
          <w:lang w:val="en-GB"/>
        </w:rPr>
        <w:t xml:space="preserve">4.3 Late payment</w:t>
      </w:r>
    </w:p>
    <w:p>
      <w:pPr>
        <w:pStyle w:val="FirstParagraph"/>
      </w:pPr>
      <w:r>
        <w:rPr>
          <w:lang w:val="en-GB"/>
        </w:rPr>
        <w:t xml:space="preserve">Any late payment automatically entails, without prior notice, the application of late payment penalties calculated at the rate provided for in Article L. 441-10 of the Commercial Code, as well as fixed compensation for recovery costs of forty (40) euros. OHADJA reserves the right to suspend access to the Solution after formal notice remains without effect for [TO BE COMPLETED: deadline].</w:t>
      </w:r>
    </w:p>
    <w:bookmarkEnd w:id="28"/>
    <w:bookmarkStart w:id="29" w:name="X6a36c543605d00afebbb6192ce2c488e6ea045a"/>
    <w:p>
      <w:pPr>
        <w:pStyle w:val="Heading3"/>
        <w:keepNext/>
        <w:keepLines/>
      </w:pPr>
      <w:r>
        <w:rPr>
          <w:color w:val="000000"/>
          <w:lang w:val="en-GB"/>
        </w:rPr>
        <w:t xml:space="preserve">4.4 Price review</w:t>
      </w:r>
    </w:p>
    <w:p>
      <w:pPr>
        <w:pStyle w:val="FirstParagraph"/>
      </w:pPr>
      <w:r>
        <w:rPr>
          <w:lang w:val="en-GB"/>
        </w:rPr>
        <w:t xml:space="preserve">Prices may be revised at each renewal, upon written notice of [TO BE COMPLETED: notice, ex. 3 months] before maturity.</w:t>
      </w:r>
    </w:p>
    <w:p>
      <w:r>
        <w:pict>
          <v:rect style="width:0;height:1.5pt" o:hralign="center" o:hrstd="t" o:hr="t"/>
        </w:pict>
      </w:r>
    </w:p>
    <w:bookmarkEnd w:id="29"/>
    <w:bookmarkEnd w:id="30"/>
    <w:bookmarkStart w:id="35" w:name="Xe0854fd2a66c567a99cd1c0db0f3fadceac7b5a"/>
    <w:p>
      <w:pPr>
        <w:pStyle w:val="Heading2"/>
        <w:keepNext/>
        <w:keepLines/>
      </w:pPr>
      <w:r>
        <w:rPr>
          <w:color w:val="000000"/>
          <w:lang w:val="en-GB"/>
        </w:rPr>
        <w:t xml:space="preserve">Article 5 — Duration, renewal and termination</w:t>
      </w:r>
    </w:p>
    <w:bookmarkStart w:id="31" w:name="X49652cce112a73bae82357e686fc2e76f2b7d01"/>
    <w:p>
      <w:pPr>
        <w:pStyle w:val="Heading3"/>
        <w:keepNext/>
        <w:keepLines/>
      </w:pPr>
      <w:r>
        <w:rPr>
          <w:color w:val="000000"/>
          <w:lang w:val="en-GB"/>
        </w:rPr>
        <w:t xml:space="preserve">5.1 Duration</w:t>
      </w:r>
    </w:p>
    <w:p>
      <w:pPr>
        <w:pStyle w:val="FirstParagraph"/>
      </w:pPr>
      <w:r>
        <w:rPr>
          <w:lang w:val="en-GB"/>
        </w:rPr>
        <w:t xml:space="preserve">The Contract is concluded for the duration indicated on the order form. If not specified, the initial duration is [TO BE COMPLETED: initial duration, e.g. 12 months] from delivery.</w:t>
      </w:r>
    </w:p>
    <w:bookmarkEnd w:id="31"/>
    <w:bookmarkStart w:id="32" w:name="X5ed32690737873463fea37eb4ccd0f9fe212862"/>
    <w:p>
      <w:pPr>
        <w:pStyle w:val="Heading3"/>
        <w:keepNext/>
        <w:keepLines/>
      </w:pPr>
      <w:r>
        <w:rPr>
          <w:color w:val="000000"/>
          <w:lang w:val="en-GB"/>
        </w:rPr>
        <w:t xml:space="preserve">5.2 Renewal</w:t>
      </w:r>
    </w:p>
    <w:p>
      <w:pPr>
        <w:pStyle w:val="FirstParagraph"/>
      </w:pPr>
      <w:r>
        <w:rPr>
          <w:lang w:val="en-GB"/>
        </w:rPr>
        <w:t xml:space="preserve">The Contract is renewed by tacit agreement for successive periods of [TO BE COMPLETED: renewal period], unless terminated by one of the Parties addressed in writing to the other upon notice of [TO BE COMPLETED: notice, e.g. 3 months] before the current deadline.</w:t>
      </w:r>
    </w:p>
    <w:bookmarkEnd w:id="32"/>
    <w:bookmarkStart w:id="33" w:name="X16661962c17eae5ab6db1bdfa24b9b48cc90354"/>
    <w:p>
      <w:pPr>
        <w:pStyle w:val="Heading3"/>
        <w:keepNext/>
        <w:keepLines/>
      </w:pPr>
      <w:r>
        <w:rPr>
          <w:color w:val="000000"/>
          <w:lang w:val="en-GB"/>
        </w:rPr>
        <w:t xml:space="preserve">5.3 Termination for breach</w:t>
      </w:r>
    </w:p>
    <w:p>
      <w:pPr>
        <w:pStyle w:val="FirstParagraph"/>
      </w:pPr>
      <w:r>
        <w:rPr>
          <w:lang w:val="en-GB"/>
        </w:rPr>
        <w:t xml:space="preserve">In the event of a serious breach by one of the Parties of its obligations, not remedied within thirty (30) calendar days following the sending of a written and reasoned formal notice which remains without effect, the other Party may terminate the Contract as of right, without prejudice to any damages and interest due.</w:t>
      </w:r>
    </w:p>
    <w:bookmarkEnd w:id="33"/>
    <w:bookmarkStart w:id="34" w:name="Xe28ef8c5ae32ef1523fbf33ecb47c747365dd77"/>
    <w:p>
      <w:pPr>
        <w:pStyle w:val="Heading3"/>
        <w:keepNext/>
        <w:keepLines/>
      </w:pPr>
      <w:r>
        <w:rPr>
          <w:color w:val="000000"/>
          <w:lang w:val="en-GB"/>
        </w:rPr>
        <w:t xml:space="preserve">5.4 Effects of termination</w:t>
      </w:r>
    </w:p>
    <w:p>
      <w:pPr>
        <w:pStyle w:val="FirstParagraph"/>
      </w:pPr>
      <w:r>
        <w:rPr>
          <w:lang w:val="en-GB"/>
        </w:rPr>
        <w:t xml:space="preserve">Termination entails the cessation of the right to use the Solution and implements the reversibility operations provided for in Article 12. The sums due for services already performed remain acquired by OHADJA.</w:t>
      </w:r>
    </w:p>
    <w:p>
      <w:r>
        <w:pict>
          <v:rect style="width:0;height:1.5pt" o:hralign="center" o:hrstd="t" o:hr="t"/>
        </w:pict>
      </w:r>
    </w:p>
    <w:bookmarkEnd w:id="34"/>
    <w:bookmarkEnd w:id="35"/>
    <w:bookmarkStart w:id="41" w:name="article-6--maintenance-et-support"/>
    <w:p>
      <w:pPr>
        <w:pStyle w:val="Heading2"/>
        <w:keepNext/>
        <w:keepLines/>
      </w:pPr>
      <w:r>
        <w:rPr>
          <w:color w:val="000000"/>
          <w:lang w:val="en-GB"/>
        </w:rPr>
        <w:t xml:space="preserve">Article 6 — Maintenance and support</w:t>
      </w:r>
    </w:p>
    <w:bookmarkStart w:id="36" w:name="X673e57832d50283a4fef64c8f5fdd984604e394"/>
    <w:p>
      <w:pPr>
        <w:pStyle w:val="Heading3"/>
        <w:keepNext/>
        <w:keepLines/>
      </w:pPr>
      <w:r>
        <w:rPr>
          <w:color w:val="000000"/>
          <w:lang w:val="en-GB"/>
        </w:rPr>
        <w:t xml:space="preserve">6.1 Scope of maintenance</w:t>
      </w:r>
    </w:p>
    <w:p>
      <w:pPr>
        <w:pStyle w:val="FirstParagraph"/>
      </w:pPr>
      <w:r>
        <w:rPr>
          <w:lang w:val="en-GB"/>
        </w:rPr>
        <w:t xml:space="preserve">During the duration of the Contract, and subject to payment of the sums due, OHADJA provides the following maintenance services:</w:t>
      </w:r>
    </w:p>
    <w:p>
      <w:pPr>
        <w:pStyle w:val="Compact"/>
        <w:numPr>
          <w:ilvl w:val="0"/>
          <w:numId w:val="1002"/>
        </w:numPr>
      </w:pPr>
      <w:r>
        <w:rPr>
          <w:b/>
          <w:bCs/>
          <w:lang w:val="en-GB"/>
        </w:rPr>
        <w:t xml:space="preserve">Corrective maintenance: </w:t>
      </w:r>
      <w:r>
        <w:rPr>
          <w:lang w:val="en-GB"/>
        </w:rPr>
        <w:t xml:space="preserve"/>
      </w:r>
      <w:r>
        <w:rPr>
          <w:lang w:val="en-GB"/>
        </w:rPr>
        <w:t xml:space="preserve">diagnosis and correction of Incidents affecting the Solution, under the conditions of consideration of Article 6.4.</w:t>
      </w:r>
    </w:p>
    <w:p>
      <w:pPr>
        <w:pStyle w:val="Compact"/>
        <w:numPr>
          <w:ilvl w:val="0"/>
          <w:numId w:val="1002"/>
        </w:numPr>
      </w:pPr>
      <w:r>
        <w:rPr>
          <w:b/>
          <w:bCs/>
          <w:lang w:val="en-GB"/>
        </w:rPr>
        <w:t xml:space="preserve">Evolutionary maintenance: </w:t>
      </w:r>
      <w:r>
        <w:rPr>
          <w:lang w:val="en-GB"/>
        </w:rPr>
        <w:t xml:space="preserve"/>
      </w:r>
      <w:r>
        <w:rPr>
          <w:lang w:val="en-GB"/>
        </w:rPr>
        <w:t xml:space="preserve">provision of new versions and functional improvements of the Solution published by OHADJA, at no additional cost when they are included in the subscribed offer.</w:t>
      </w:r>
    </w:p>
    <w:p>
      <w:pPr>
        <w:pStyle w:val="Compact"/>
        <w:numPr>
          <w:ilvl w:val="0"/>
          <w:numId w:val="1002"/>
        </w:numPr>
      </w:pPr>
      <w:r>
        <w:rPr>
          <w:b/>
          <w:bCs/>
          <w:lang w:val="en-GB"/>
        </w:rPr>
        <w:t xml:space="preserve">Security updates: </w:t>
      </w:r>
      <w:r>
        <w:rPr>
          <w:lang w:val="en-GB"/>
        </w:rPr>
        <w:t xml:space="preserve">correction </w:t>
      </w:r>
      <w:r>
        <w:rPr>
          <w:lang w:val="en-GB"/>
        </w:rPr>
        <w:t xml:space="preserve">of vulnerabilities affecting the Solution and its components, prioritized according to their criticality, exploitability and exposure.</w:t>
      </w:r>
    </w:p>
    <w:p>
      <w:pPr>
        <w:pStyle w:val="FirstParagraph"/>
      </w:pPr>
      <w:r>
        <w:rPr>
          <w:lang w:val="en-GB"/>
        </w:rPr>
        <w:t xml:space="preserve">In SaaS Mode, updates are deployed by OHADJA to the production environment. In on-premise Mode, they are made available to the Customer, it is up to him to proceed with their effective deployment, unless deployment mission entrusted to OHADJA in the order form.</w:t>
      </w:r>
    </w:p>
    <w:bookmarkEnd w:id="36"/>
    <w:bookmarkStart w:id="37" w:name="X830b4979545a185e94eae7fcd8132e3f317db9a"/>
    <w:p>
      <w:pPr>
        <w:pStyle w:val="Heading3"/>
        <w:keepNext/>
        <w:keepLines/>
      </w:pPr>
      <w:r>
        <w:rPr>
          <w:color w:val="000000"/>
          <w:lang w:val="en-GB"/>
        </w:rPr>
        <w:t xml:space="preserve">6.2 Exclusions from maintenance</w:t>
      </w:r>
    </w:p>
    <w:p>
      <w:pPr>
        <w:pStyle w:val="FirstParagraph"/>
      </w:pPr>
      <w:r>
        <w:rPr>
          <w:lang w:val="en-GB"/>
        </w:rPr>
        <w:t xml:space="preserve">Maintenance does not cover malfunctions resulting from: use not in accordance with the Documentation; a modification of the Solution not authorized by OHADJA; a defect in the Customer's infrastructure, network, workstations or third-party software (in on-premise Mode); a case of force majeure; or the non-deployment, by the Customer, of the updates made available to it.</w:t>
      </w:r>
    </w:p>
    <w:bookmarkEnd w:id="37"/>
    <w:bookmarkStart w:id="38" w:name="Xb2f5fdc13a273b96bb93f053d53153c9f893f46"/>
    <w:p>
      <w:pPr>
        <w:pStyle w:val="Heading3"/>
        <w:keepNext/>
        <w:keepLines/>
      </w:pPr>
      <w:r>
        <w:rPr>
          <w:color w:val="000000"/>
          <w:lang w:val="en-GB"/>
        </w:rPr>
        <w:t xml:space="preserve">6.3 Support Channels and Times</w:t>
      </w:r>
    </w:p>
    <w:p>
      <w:pPr>
        <w:pStyle w:val="FirstParagraph"/>
      </w:pPr>
      <w:r>
        <w:rPr>
          <w:lang w:val="en-GB"/>
        </w:rPr>
        <w:t xml:space="preserve">Technical support can be reached by email at </w:t>
      </w:r>
      <w:r>
        <w:rPr>
          <w:lang w:val="en-GB"/>
        </w:rPr>
        <w:t xml:space="preserve"/>
      </w:r>
      <w:hyperlink r:id="rId11">
        <w:r>
          <w:rPr>
            <w:rStyle w:val="Hyperlink"/>
            <w:lang w:val="en-GB"/>
          </w:rPr>
          <w:t xml:space="preserve">support@transcribia.eu</w:t>
        </w:r>
      </w:hyperlink>
      <w:r>
        <w:rPr>
          <w:lang w:val="en-GB"/>
        </w:rPr>
        <w:t xml:space="preserve">. Requests are processed on Business Days, during Business Hours (9:00 a.m.–6:00 p.m. Central European Time). Requests received outside of this window are deemed received at the opening of the next Business Day.</w:t>
      </w:r>
    </w:p>
    <w:bookmarkEnd w:id="38"/>
    <w:bookmarkStart w:id="39" w:name="X8ca21d31bc85988755cd74a428742f0a4c91a7d"/>
    <w:p>
      <w:pPr>
        <w:pStyle w:val="Heading3"/>
        <w:keepNext/>
        <w:keepLines/>
      </w:pPr>
      <w:r>
        <w:rPr>
          <w:color w:val="000000"/>
          <w:lang w:val="en-GB"/>
        </w:rPr>
        <w:t xml:space="preserve">6.4 Response-time commitments (guaranteed intervention time)</w:t>
      </w:r>
    </w:p>
    <w:p>
      <w:pPr>
        <w:pStyle w:val="FirstParagraph"/>
      </w:pPr>
      <w:r>
        <w:rPr>
          <w:lang w:val="en-GB"/>
        </w:rPr>
        <w:t xml:space="preserve">OHADJA proposes the following </w:t>
      </w:r>
      <w:r>
        <w:rPr>
          <w:lang w:val="en-GB"/>
        </w:rPr>
        <w:t xml:space="preserve"/>
      </w:r>
      <w:r>
        <w:rPr>
          <w:b/>
          <w:bCs/>
          <w:lang w:val="en-GB"/>
        </w:rPr>
        <w:t xml:space="preserve">response-time </w:t>
      </w:r>
      <w:r>
        <w:rPr>
          <w:lang w:val="en-GB"/>
        </w:rPr>
        <w:t xml:space="preserve"/>
      </w:r>
      <w:r>
        <w:rPr>
          <w:lang w:val="en-GB"/>
        </w:rPr>
        <w:t xml:space="preserve">commitments (guaranteed intervention time, GTI), measured in Business Hours or Business Days from receipt of the Customer’s qualified request:</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n-GB"/>
              </w:rPr>
              <w:t xml:space="preserve">Severity level</w:t>
            </w:r>
          </w:p>
        </w:tc>
        <w:tc>
          <w:tcPr/>
          <w:p>
            <w:pPr>
              <w:pStyle w:val="Compact"/>
            </w:pPr>
            <w:r>
              <w:rPr>
                <w:lang w:val="en-GB"/>
              </w:rPr>
              <w:t xml:space="preserve">Description</w:t>
            </w:r>
          </w:p>
        </w:tc>
        <w:tc>
          <w:tcPr/>
          <w:p>
            <w:pPr>
              <w:pStyle w:val="Compact"/>
            </w:pPr>
            <w:r>
              <w:rPr>
                <w:lang w:val="en-GB"/>
              </w:rPr>
              <w:t xml:space="preserve">Proposed consideration</w:t>
            </w:r>
          </w:p>
        </w:tc>
      </w:tr>
      <w:tr>
        <w:trPr>
          <w:cantSplit/>
        </w:trPr>
        <w:tc>
          <w:tcPr/>
          <w:p>
            <w:pPr>
              <w:pStyle w:val="Compact"/>
            </w:pPr>
            <w:r>
              <w:rPr>
                <w:lang w:val="en-GB"/>
              </w:rPr>
              <w:t xml:space="preserve">Blocking</w:t>
            </w:r>
          </w:p>
        </w:tc>
        <w:tc>
          <w:tcPr/>
          <w:p>
            <w:pPr>
              <w:pStyle w:val="Compact"/>
            </w:pPr>
            <w:r>
              <w:rPr>
                <w:lang w:val="en-GB"/>
              </w:rPr>
              <w:t xml:space="preserve">The Solution is unusable or an essential function is completely unavailable, without workaround</w:t>
            </w:r>
          </w:p>
        </w:tc>
        <w:tc>
          <w:tcPr/>
          <w:p>
            <w:pPr>
              <w:pStyle w:val="Compact"/>
            </w:pPr>
            <w:r>
              <w:rPr>
                <w:lang w:val="en-GB"/>
              </w:rPr>
              <w:t xml:space="preserve">4 working hours</w:t>
            </w:r>
          </w:p>
        </w:tc>
      </w:tr>
      <w:tr>
        <w:trPr>
          <w:cantSplit/>
        </w:trPr>
        <w:tc>
          <w:tcPr/>
          <w:p>
            <w:pPr>
              <w:pStyle w:val="Compact"/>
            </w:pPr>
            <w:r>
              <w:rPr>
                <w:lang w:val="en-GB"/>
              </w:rPr>
              <w:t xml:space="preserve">Major</w:t>
            </w:r>
          </w:p>
        </w:tc>
        <w:tc>
          <w:tcPr/>
          <w:p>
            <w:pPr>
              <w:pStyle w:val="Compact"/>
            </w:pPr>
            <w:r>
              <w:rPr>
                <w:lang w:val="en-GB"/>
              </w:rPr>
              <w:t xml:space="preserve">An important function is degraded or unavailable, with possible workaround</w:t>
            </w:r>
          </w:p>
        </w:tc>
        <w:tc>
          <w:tcPr/>
          <w:p>
            <w:pPr>
              <w:pStyle w:val="Compact"/>
            </w:pPr>
            <w:r>
              <w:rPr>
                <w:lang w:val="en-GB"/>
              </w:rPr>
              <w:t xml:space="preserve">1 working day</w:t>
            </w:r>
          </w:p>
        </w:tc>
      </w:tr>
      <w:tr>
        <w:trPr>
          <w:cantSplit/>
        </w:trPr>
        <w:tc>
          <w:tcPr/>
          <w:p>
            <w:pPr>
              <w:pStyle w:val="Compact"/>
            </w:pPr>
            <w:r>
              <w:rPr>
                <w:lang w:val="en-GB"/>
              </w:rPr>
              <w:t xml:space="preserve">Minor</w:t>
            </w:r>
          </w:p>
        </w:tc>
        <w:tc>
          <w:tcPr/>
          <w:p>
            <w:pPr>
              <w:pStyle w:val="Compact"/>
            </w:pPr>
            <w:r>
              <w:rPr>
                <w:lang w:val="en-GB"/>
              </w:rPr>
              <w:t xml:space="preserve">Anomaly without significant impact on operations, request for information or development</w:t>
            </w:r>
          </w:p>
        </w:tc>
        <w:tc>
          <w:tcPr/>
          <w:p>
            <w:pPr>
              <w:pStyle w:val="Compact"/>
            </w:pPr>
            <w:r>
              <w:rPr>
                <w:lang w:val="en-GB"/>
              </w:rPr>
              <w:t xml:space="preserve">Best-effort treatment</w:t>
            </w:r>
          </w:p>
        </w:tc>
      </w:tr>
    </w:tbl>
    <w:p>
      <w:pPr>
        <w:pStyle w:val="BodyText"/>
      </w:pPr>
      <w:r>
        <w:rPr>
          <w:i/>
          <w:iCs/>
          <w:lang w:val="en-GB"/>
        </w:rPr>
        <w:t xml:space="preserve">[Standard proposal — to be adjusted commercially.] </w:t>
      </w:r>
      <w:r>
        <w:rPr>
          <w:lang w:val="en-GB"/>
        </w:rPr>
        <w:t xml:space="preserve"/>
      </w:r>
      <w:r>
        <w:rPr>
          <w:lang w:val="en-GB"/>
        </w:rPr>
        <w:t xml:space="preserve">The above commitments relate to the time taken to </w:t>
      </w:r>
      <w:r>
        <w:rPr>
          <w:lang w:val="en-GB"/>
        </w:rPr>
        <w:t xml:space="preserve"/>
      </w:r>
      <w:r>
        <w:rPr>
          <w:b/>
          <w:bCs/>
          <w:lang w:val="en-GB"/>
        </w:rPr>
        <w:t xml:space="preserve">take the request </w:t>
      </w:r>
      <w:r>
        <w:rPr>
          <w:lang w:val="en-GB"/>
        </w:rPr>
        <w:t xml:space="preserve"/>
      </w:r>
      <w:r>
        <w:rPr>
          <w:lang w:val="en-GB"/>
        </w:rPr>
        <w:t xml:space="preserve">into account (qualified acknowledgment of receipt and start of diagnosis), and not to a guaranteed resolution time, the resolution time depending on the nature and complexity of the Incident. The qualification of the severity level is carried out by OHADJA in consultation with the Client on the basis of objective elements.</w:t>
      </w:r>
    </w:p>
    <w:bookmarkEnd w:id="39"/>
    <w:bookmarkStart w:id="40" w:name="Xcd695a3a3eea8e699acc22ae062ec58b1732093"/>
    <w:p>
      <w:pPr>
        <w:pStyle w:val="Heading3"/>
        <w:keepNext/>
        <w:keepLines/>
      </w:pPr>
      <w:r>
        <w:rPr>
          <w:color w:val="000000"/>
          <w:lang w:val="en-GB"/>
        </w:rPr>
        <w:t xml:space="preserve">6.5 Operating objectives and availability</w:t>
      </w:r>
    </w:p>
    <w:p>
      <w:pPr>
        <w:pStyle w:val="FirstParagraph"/>
      </w:pPr>
      <w:r>
        <w:rPr>
          <w:lang w:val="en-GB"/>
        </w:rPr>
        <w:t xml:space="preserve">In SaaS Mode, OHADJA implements reasonable means to ensure the availability and continuity of the Solution: supervision, automatic resumption of blocked processing, separation of components, backups.</w:t>
      </w:r>
    </w:p>
    <w:p>
      <w:pPr>
        <w:pStyle w:val="BodyText"/>
      </w:pPr>
      <w:r>
        <w:rPr>
          <w:lang w:val="en-GB"/>
        </w:rPr>
        <w:t xml:space="preserve">The operating objectives applicable to the continuity plan </w:t>
      </w:r>
      <w:r>
        <w:rPr>
          <w:lang w:val="en-GB"/>
        </w:rPr>
        <w:t xml:space="preserve"/>
      </w:r>
      <w:r>
        <w:rPr>
          <w:b/>
          <w:bCs/>
          <w:lang w:val="en-GB"/>
        </w:rPr>
        <w:t xml:space="preserve">are: recovery point objective (RPO) of 24 </w:t>
      </w:r>
      <w:r>
        <w:rPr>
          <w:lang w:val="en-GB"/>
        </w:rPr>
        <w:t xml:space="preserve"/>
      </w:r>
      <w:r>
        <w:rPr>
          <w:lang w:val="en-GB"/>
        </w:rPr>
        <w:t xml:space="preserve">hours </w:t>
      </w:r>
      <w:r>
        <w:rPr>
          <w:lang w:val="en-GB"/>
        </w:rPr>
        <w:t xml:space="preserve"/>
      </w:r>
      <w:r>
        <w:rPr>
          <w:b/>
          <w:bCs/>
          <w:lang w:val="en-GB"/>
        </w:rPr>
        <w:t xml:space="preserve">and recovery time objective (RTO) of 4 hours. </w:t>
      </w:r>
      <w:r>
        <w:rPr>
          <w:lang w:val="en-GB"/>
        </w:rPr>
        <w:t xml:space="preserve">These values ​​constitute operating objectives intended to frame continuity plans, and not contractual commitments for results.</w:t>
      </w:r>
    </w:p>
    <w:p>
      <w:pPr>
        <w:pStyle w:val="BodyText"/>
      </w:pPr>
      <w:r>
        <w:rPr>
          <w:b/>
          <w:bCs/>
          <w:lang w:val="en-GB"/>
        </w:rPr>
        <w:t xml:space="preserve">Contractual availability commitment: [TO BE DEFINED commercially]. </w:t>
      </w:r>
      <w:r>
        <w:rPr>
          <w:lang w:val="en-GB"/>
        </w:rPr>
        <w:t xml:space="preserve"/>
      </w:r>
      <w:r>
        <w:rPr>
          <w:lang w:val="en-GB"/>
        </w:rPr>
        <w:t xml:space="preserve">No guaranteed availability rate is stipulated in these Conditions; such commitment, if agreed, is the subject of a separate service level annex (SLA) to the purchase order.</w:t>
      </w:r>
    </w:p>
    <w:p>
      <w:r>
        <w:pict>
          <v:rect style="width:0;height:1.5pt" o:hralign="center" o:hrstd="t" o:hr="t"/>
        </w:pict>
      </w:r>
    </w:p>
    <w:bookmarkEnd w:id="40"/>
    <w:bookmarkEnd w:id="41"/>
    <w:bookmarkStart w:id="42" w:name="article-7--obligations-du-client"/>
    <w:p>
      <w:pPr>
        <w:pStyle w:val="Heading2"/>
        <w:keepNext/>
        <w:keepLines/>
      </w:pPr>
      <w:r>
        <w:rPr>
          <w:color w:val="000000"/>
          <w:lang w:val="en-GB"/>
        </w:rPr>
        <w:t xml:space="preserve">Article 7 — Customer Obligations</w:t>
      </w:r>
    </w:p>
    <w:p>
      <w:pPr>
        <w:pStyle w:val="FirstParagraph"/>
      </w:pPr>
      <w:r>
        <w:rPr>
          <w:lang w:val="en-GB"/>
        </w:rPr>
        <w:t xml:space="preserve">The Client undertakes to:</w:t>
      </w:r>
    </w:p>
    <w:p>
      <w:pPr>
        <w:pStyle w:val="Compact"/>
        <w:numPr>
          <w:ilvl w:val="0"/>
          <w:numId w:val="1003"/>
        </w:numPr>
      </w:pPr>
      <w:r>
        <w:rPr>
          <w:lang w:val="en-GB"/>
        </w:rPr>
        <w:t xml:space="preserve">use the Solution in accordance with the Documentation, these Conditions and the applicable regulations;</w:t>
      </w:r>
    </w:p>
    <w:p>
      <w:pPr>
        <w:pStyle w:val="Compact"/>
        <w:numPr>
          <w:ilvl w:val="0"/>
          <w:numId w:val="1003"/>
        </w:numPr>
      </w:pPr>
      <w:r>
        <w:rPr>
          <w:lang w:val="en-GB"/>
        </w:rPr>
        <w:t xml:space="preserve">designate an authorized contact for contractual, technical and support relations;</w:t>
      </w:r>
    </w:p>
    <w:p>
      <w:pPr>
        <w:pStyle w:val="Compact"/>
        <w:numPr>
          <w:ilvl w:val="0"/>
          <w:numId w:val="1003"/>
        </w:numPr>
      </w:pPr>
      <w:r>
        <w:rPr>
          <w:lang w:val="en-GB"/>
        </w:rPr>
        <w:t xml:space="preserve">manage its own users, role assignment and protection of authentication means, and delete obsolete accounts;</w:t>
      </w:r>
    </w:p>
    <w:p>
      <w:pPr>
        <w:pStyle w:val="Compact"/>
        <w:numPr>
          <w:ilvl w:val="0"/>
          <w:numId w:val="1003"/>
        </w:numPr>
      </w:pPr>
      <w:r>
        <w:rPr>
          <w:lang w:val="en-GB"/>
        </w:rPr>
        <w:t xml:space="preserve">only upload content for which it holds the necessary rights and determine the processing carried out using the Solution;</w:t>
      </w:r>
    </w:p>
    <w:p>
      <w:pPr>
        <w:pStyle w:val="Compact"/>
        <w:numPr>
          <w:ilvl w:val="0"/>
          <w:numId w:val="1003"/>
        </w:numPr>
      </w:pPr>
      <w:r>
        <w:rPr>
          <w:lang w:val="en-GB"/>
        </w:rPr>
        <w:t xml:space="preserve">in its capacity as controller, determine the purposes, legal bases, retention periods and ensure the information of the persons concerned (see Article 11);</w:t>
      </w:r>
    </w:p>
    <w:p>
      <w:pPr>
        <w:pStyle w:val="Compact"/>
        <w:numPr>
          <w:ilvl w:val="0"/>
          <w:numId w:val="1003"/>
        </w:numPr>
      </w:pPr>
      <w:r>
        <w:rPr>
          <w:lang w:val="en-GB"/>
        </w:rPr>
        <w:t xml:space="preserve">in on-premise mode, ensure hosting, administration, security, backups and supervision of its environment, as well as the deployment of updates made available to it;</w:t>
      </w:r>
    </w:p>
    <w:p>
      <w:pPr>
        <w:pStyle w:val="Compact"/>
        <w:numPr>
          <w:ilvl w:val="0"/>
          <w:numId w:val="1003"/>
        </w:numPr>
      </w:pPr>
      <w:r>
        <w:rPr>
          <w:lang w:val="en-GB"/>
        </w:rPr>
        <w:t xml:space="preserve">pay the amounts due on the agreed due dates.</w:t>
      </w:r>
    </w:p>
    <w:p>
      <w:r>
        <w:pict>
          <v:rect style="width:0;height:1.5pt" o:hralign="center" o:hrstd="t" o:hr="t"/>
        </w:pict>
      </w:r>
    </w:p>
    <w:bookmarkEnd w:id="42"/>
    <w:bookmarkStart w:id="46" w:name="article-8--propriété-intellectuelle"/>
    <w:p>
      <w:pPr>
        <w:pStyle w:val="Heading2"/>
        <w:keepNext/>
        <w:keepLines/>
      </w:pPr>
      <w:r>
        <w:rPr>
          <w:color w:val="000000"/>
          <w:lang w:val="en-GB"/>
        </w:rPr>
        <w:t xml:space="preserve">Article 8 — Intellectual property</w:t>
      </w:r>
    </w:p>
    <w:bookmarkStart w:id="43" w:name="Xdb6c9f18f52406e0a3aeb8932bb1097c849f525"/>
    <w:p>
      <w:pPr>
        <w:pStyle w:val="Heading3"/>
        <w:keepNext/>
        <w:keepLines/>
      </w:pPr>
      <w:r>
        <w:rPr>
          <w:color w:val="000000"/>
          <w:lang w:val="en-GB"/>
        </w:rPr>
        <w:t xml:space="preserve">8.1 Ownership</w:t>
      </w:r>
    </w:p>
    <w:p>
      <w:pPr>
        <w:pStyle w:val="FirstParagraph"/>
      </w:pPr>
      <w:r>
        <w:rPr>
          <w:lang w:val="en-GB"/>
        </w:rPr>
        <w:t xml:space="preserve">The Solution, its software components, its source code, its interfaces, its Documentation and all related intellectual property rights remain the exclusive property of OHADJA or its licensors. These Conditions do not entail any transfer </w:t>
      </w:r>
      <w:r>
        <w:rPr>
          <w:lang w:val="en-GB"/>
        </w:rPr>
        <w:t xml:space="preserve"/>
      </w:r>
      <w:r>
        <w:rPr>
          <w:b/>
          <w:bCs/>
          <w:lang w:val="en-GB"/>
        </w:rPr>
        <w:t xml:space="preserve">of intellectual </w:t>
      </w:r>
      <w:r>
        <w:rPr>
          <w:lang w:val="en-GB"/>
        </w:rPr>
        <w:t xml:space="preserve"/>
      </w:r>
      <w:r>
        <w:rPr>
          <w:lang w:val="en-GB"/>
        </w:rPr>
        <w:t xml:space="preserve">property rights for the benefit of the Customer.</w:t>
      </w:r>
    </w:p>
    <w:bookmarkEnd w:id="43"/>
    <w:bookmarkStart w:id="44" w:name="X23e72cf2dfa34ed7f0b7cccaffd4dea4d0da1dc"/>
    <w:p>
      <w:pPr>
        <w:pStyle w:val="Heading3"/>
        <w:keepNext/>
        <w:keepLines/>
      </w:pPr>
      <w:r>
        <w:rPr>
          <w:color w:val="000000"/>
          <w:lang w:val="en-GB"/>
        </w:rPr>
        <w:t xml:space="preserve">8.2 User license</w:t>
      </w:r>
    </w:p>
    <w:p>
      <w:pPr>
        <w:pStyle w:val="FirstParagraph"/>
      </w:pPr>
      <w:r>
        <w:rPr>
          <w:lang w:val="en-GB"/>
        </w:rPr>
        <w:t xml:space="preserve">OHADJA grants the Client, for the duration of the Contract, a non-exclusive, non-assignable and non-transferable right to use the Solution, limited to the Client's internal needs and the scope defined in the order form. The Customer undertakes not to copy, decompile (except in legally authorized cases of interoperability), modify, adapt, distribute or make available to third parties the Solution, in whole or in part, outside of the rights expressly granted.</w:t>
      </w:r>
    </w:p>
    <w:bookmarkEnd w:id="44"/>
    <w:bookmarkStart w:id="45" w:name="X7543e65181d4e5fb2ed4e9ea316659a0c55d9fe"/>
    <w:p>
      <w:pPr>
        <w:pStyle w:val="Heading3"/>
        <w:keepNext/>
        <w:keepLines/>
      </w:pPr>
      <w:r>
        <w:rPr>
          <w:color w:val="000000"/>
          <w:lang w:val="en-GB"/>
        </w:rPr>
        <w:t xml:space="preserve">8.3 Customer data and content</w:t>
      </w:r>
    </w:p>
    <w:p>
      <w:pPr>
        <w:pStyle w:val="FirstParagraph"/>
      </w:pPr>
      <w:r>
        <w:rPr>
          <w:lang w:val="en-GB"/>
        </w:rPr>
        <w:t xml:space="preserve">The data, files and content uploaded or produced by the Client using the Solution remain the property of the Client or the rights holders concerned. OHADJA does not acquire any rights to this content, other than the right to process it for the sole purposes of providing the Service and on the instructions of the Client, under the conditions of the DPA.</w:t>
      </w:r>
    </w:p>
    <w:p>
      <w:r>
        <w:pict>
          <v:rect style="width:0;height:1.5pt" o:hralign="center" o:hrstd="t" o:hr="t"/>
        </w:pict>
      </w:r>
    </w:p>
    <w:bookmarkEnd w:id="45"/>
    <w:bookmarkEnd w:id="46"/>
    <w:bookmarkStart w:id="50" w:name="article-9--garanties-et-responsabilité"/>
    <w:p>
      <w:pPr>
        <w:pStyle w:val="Heading2"/>
        <w:keepNext/>
        <w:keepLines/>
      </w:pPr>
      <w:r>
        <w:rPr>
          <w:color w:val="000000"/>
          <w:lang w:val="en-GB"/>
        </w:rPr>
        <w:t xml:space="preserve">Article 9 — Guarantees and liability</w:t>
      </w:r>
    </w:p>
    <w:bookmarkStart w:id="47" w:name="X0b8e400bf6a0a70396db777e88e8d798a868c12"/>
    <w:p>
      <w:pPr>
        <w:pStyle w:val="Heading3"/>
        <w:keepNext/>
        <w:keepLines/>
      </w:pPr>
      <w:r>
        <w:rPr>
          <w:color w:val="000000"/>
          <w:lang w:val="en-GB"/>
        </w:rPr>
        <w:t xml:space="preserve">9.1 Guarantee of conformity</w:t>
      </w:r>
    </w:p>
    <w:p>
      <w:pPr>
        <w:pStyle w:val="FirstParagraph"/>
      </w:pPr>
      <w:r>
        <w:rPr>
          <w:lang w:val="en-GB"/>
        </w:rPr>
        <w:t xml:space="preserve">OHADJA warrants that the Solution substantially conforms to the Documentation. This guarantee is exercised through corrective maintenance (Article 6). It does not apply to malfunctions falling under the exclusions of Article 6.2.</w:t>
      </w:r>
    </w:p>
    <w:p>
      <w:pPr>
        <w:pStyle w:val="BodyText"/>
      </w:pPr>
      <w:r>
        <w:rPr>
          <w:lang w:val="en-GB"/>
        </w:rPr>
        <w:t xml:space="preserve">The Solution is provided in the state of the art; OHADJA does not guarantee that automatic transcription and processing assisted by artificial intelligence are error-free. The results produced by artificial intelligence constitute suggestions, which must be subject to human validation by the Customer before any use (see also Article 11).</w:t>
      </w:r>
    </w:p>
    <w:bookmarkEnd w:id="47"/>
    <w:bookmarkStart w:id="48" w:name="X0ad58a635193231982d26b1a55fb3177fe222b4"/>
    <w:p>
      <w:pPr>
        <w:pStyle w:val="Heading3"/>
        <w:keepNext/>
        <w:keepLines/>
      </w:pPr>
      <w:r>
        <w:rPr>
          <w:color w:val="000000"/>
          <w:lang w:val="en-GB"/>
        </w:rPr>
        <w:t xml:space="preserve">9.2 Liability</w:t>
      </w:r>
    </w:p>
    <w:p>
      <w:pPr>
        <w:pStyle w:val="FirstParagraph"/>
      </w:pPr>
      <w:r>
        <w:rPr>
          <w:lang w:val="en-GB"/>
        </w:rPr>
        <w:t xml:space="preserve">Each Party is responsible for direct damage caused to the other due to a proven breach of its contractual obligations.</w:t>
      </w:r>
    </w:p>
    <w:p>
      <w:pPr>
        <w:pStyle w:val="BodyText"/>
      </w:pPr>
      <w:r>
        <w:rPr>
          <w:lang w:val="en-GB"/>
        </w:rPr>
        <w:t xml:space="preserve">The overall liability of OHADJA, all damages and all causes combined, under the Contract, is capped </w:t>
      </w:r>
      <w:r>
        <w:rPr>
          <w:lang w:val="en-GB"/>
        </w:rPr>
        <w:t xml:space="preserve"/>
      </w:r>
      <w:r>
        <w:rPr>
          <w:b/>
          <w:bCs/>
          <w:lang w:val="en-GB"/>
        </w:rPr>
        <w:t xml:space="preserve">at [TO BE COMPLETED: liability ceiling, e.g. amount of sums paid by the Client for the twelve (12) months preceding the </w:t>
      </w:r>
      <w:r>
        <w:rPr>
          <w:lang w:val="en-GB"/>
        </w:rPr>
        <w:t xml:space="preserve">event].</w:t>
      </w:r>
    </w:p>
    <w:p>
      <w:pPr>
        <w:pStyle w:val="BodyText"/>
      </w:pPr>
      <w:r>
        <w:rPr>
          <w:lang w:val="en-GB"/>
        </w:rPr>
        <w:t xml:space="preserve">Excluded from any compensation are indirect damages, in particular: operating loss, loss of turnover, loss of data not attributable to a breach of OHADJA, loss of customers, damage to image or commercial damage.</w:t>
      </w:r>
    </w:p>
    <w:bookmarkEnd w:id="48"/>
    <w:bookmarkStart w:id="49" w:name="X1ab4bdd050dbff59b5dd52c5ce452ee2ff9286c"/>
    <w:p>
      <w:pPr>
        <w:pStyle w:val="Heading3"/>
        <w:keepNext/>
        <w:keepLines/>
      </w:pPr>
      <w:r>
        <w:rPr>
          <w:color w:val="000000"/>
          <w:lang w:val="en-GB"/>
        </w:rPr>
        <w:t xml:space="preserve">9.3 Ceiling Exclusions</w:t>
      </w:r>
    </w:p>
    <w:p>
      <w:pPr>
        <w:pStyle w:val="FirstParagraph"/>
      </w:pPr>
      <w:r>
        <w:rPr>
          <w:lang w:val="en-GB"/>
        </w:rPr>
        <w:t xml:space="preserve">The limits and exclusions of Article 9.2 do not apply in cases of fraud, gross negligence, breach of the obligation of confidentiality, infringement of intellectual property rights, or in cases where the law prohibits such limitation.</w:t>
      </w:r>
    </w:p>
    <w:p>
      <w:r>
        <w:pict>
          <v:rect style="width:0;height:1.5pt" o:hralign="center" o:hrstd="t" o:hr="t"/>
        </w:pict>
      </w:r>
    </w:p>
    <w:bookmarkEnd w:id="49"/>
    <w:bookmarkEnd w:id="50"/>
    <w:bookmarkStart w:id="51" w:name="article-10--confidentialité"/>
    <w:p>
      <w:pPr>
        <w:pStyle w:val="Heading2"/>
        <w:keepNext/>
        <w:keepLines/>
      </w:pPr>
      <w:r>
        <w:rPr>
          <w:color w:val="000000"/>
          <w:lang w:val="en-GB"/>
        </w:rPr>
        <w:t xml:space="preserve">Article 10 — Confidentiality</w:t>
      </w:r>
    </w:p>
    <w:p>
      <w:pPr>
        <w:pStyle w:val="FirstParagraph"/>
      </w:pPr>
      <w:r>
        <w:rPr>
          <w:lang w:val="en-GB"/>
        </w:rPr>
        <w:t xml:space="preserve">Each Party undertakes to maintain the confidentiality of the non-public information of the other Party to which it accesses within the framework of the Contract, to use it only for the execution of the Contract and not to disclose it to third parties without written authorization, except as required by law.</w:t>
      </w:r>
    </w:p>
    <w:p>
      <w:pPr>
        <w:pStyle w:val="BodyText"/>
      </w:pPr>
      <w:r>
        <w:rPr>
          <w:lang w:val="en-GB"/>
        </w:rPr>
        <w:t xml:space="preserve">This obligation applies for the entire duration of the Contract and survives for [TO BE COMPLETED: duration, e.g. 5 years] from its end. Public information, information already known to the Receiving Party without obligation of confidentiality, or information developed independently is not covered.</w:t>
      </w:r>
    </w:p>
    <w:p>
      <w:pPr>
        <w:pStyle w:val="BodyText"/>
      </w:pPr>
      <w:r>
        <w:rPr>
          <w:lang w:val="en-GB"/>
        </w:rPr>
        <w:t xml:space="preserve">The obligations relating to personal data are governed by Article 11 and the DPA, which take precedence over this Article as far as they are concerned.</w:t>
      </w:r>
    </w:p>
    <w:p>
      <w:r>
        <w:pict>
          <v:rect style="width:0;height:1.5pt" o:hralign="center" o:hrstd="t" o:hr="t"/>
        </w:pict>
      </w:r>
    </w:p>
    <w:bookmarkEnd w:id="51"/>
    <w:bookmarkStart w:id="52" w:name="X77a4dab9227de10d97e2d40aab3b65bdd005a15"/>
    <w:p>
      <w:pPr>
        <w:pStyle w:val="Heading2"/>
        <w:keepNext/>
        <w:keepLines/>
      </w:pPr>
      <w:r>
        <w:rPr>
          <w:color w:val="000000"/>
          <w:lang w:val="en-GB"/>
        </w:rPr>
        <w:t xml:space="preserve">Article 11 — Personal data</w:t>
      </w:r>
    </w:p>
    <w:p>
      <w:pPr>
        <w:pStyle w:val="FirstParagraph"/>
      </w:pPr>
      <w:r>
        <w:rPr>
          <w:lang w:val="en-GB"/>
        </w:rPr>
        <w:t xml:space="preserve">In providing the Solution, OHADJA acts as processor </w:t>
      </w:r>
      <w:r>
        <w:rPr>
          <w:lang w:val="en-GB"/>
        </w:rPr>
        <w:t xml:space="preserve"/>
      </w:r>
      <w:r>
        <w:rPr>
          <w:b/>
          <w:bCs/>
          <w:lang w:val="en-GB"/>
        </w:rPr>
        <w:t xml:space="preserve">under </w:t>
      </w:r>
      <w:r>
        <w:rPr>
          <w:lang w:val="en-GB"/>
        </w:rPr>
        <w:t xml:space="preserve"/>
      </w:r>
      <w:r>
        <w:rPr>
          <w:lang w:val="en-GB"/>
        </w:rPr>
        <w:t xml:space="preserve">Article 28 of Regulation (EU) 2016/679 (GDPR), with the Customer </w:t>
      </w:r>
      <w:r>
        <w:rPr>
          <w:lang w:val="en-GB"/>
        </w:rPr>
        <w:t xml:space="preserve"/>
      </w:r>
      <w:r>
        <w:rPr>
          <w:b/>
          <w:bCs/>
          <w:lang w:val="en-GB"/>
        </w:rPr>
        <w:t xml:space="preserve">acting as </w:t>
      </w:r>
      <w:r>
        <w:rPr>
          <w:lang w:val="en-GB"/>
        </w:rPr>
        <w:t xml:space="preserve">controller.</w:t>
      </w:r>
    </w:p>
    <w:p>
      <w:pPr>
        <w:pStyle w:val="BodyText"/>
      </w:pPr>
      <w:r>
        <w:rPr>
          <w:lang w:val="en-GB"/>
        </w:rPr>
        <w:t xml:space="preserve">The conditions for processing personal data — documented instructions, confidentiality, technical and organizational measures (Article 32), use of subprocessors, transfers, notification of violations, assistance in exercising rights, auditing, restitution and deletion — are governed by the personal </w:t>
      </w:r>
      <w:r>
        <w:rPr>
          <w:b/>
          <w:bCs/>
          <w:lang w:val="en-GB"/>
        </w:rPr>
        <w:t xml:space="preserve">data Processing Agreement (DPA, Article 28 GDPR) attached to the </w:t>
      </w:r>
      <w:r>
        <w:rPr>
          <w:lang w:val="en-GB"/>
        </w:rPr>
        <w:t xml:space="preserve"/>
      </w:r>
      <w:r>
        <w:rPr>
          <w:lang w:val="en-GB"/>
        </w:rPr>
        <w:t xml:space="preserve">Contract, which forms an integral part of it.</w:t>
      </w:r>
    </w:p>
    <w:p>
      <w:pPr>
        <w:pStyle w:val="BodyText"/>
      </w:pPr>
      <w:r>
        <w:rPr>
          <w:lang w:val="en-GB"/>
        </w:rPr>
        <w:t xml:space="preserve">In the event of a contradiction between these Conditions and the DPA relating to the protection of personal data, the stipulations of the DPA prevail.</w:t>
      </w:r>
    </w:p>
    <w:p>
      <w:pPr>
        <w:pStyle w:val="BodyText"/>
      </w:pPr>
      <w:r>
        <w:rPr>
          <w:lang w:val="en-GB"/>
        </w:rPr>
        <w:t xml:space="preserve">The Customer remains responsible for the lawfulness of the processing, the determination of the purposes and legal bases, the information of the persons concerned, the management of their rights and, where applicable, the carrying out of an impact analysis relating to data protection (article 35 GDPR).</w:t>
      </w:r>
    </w:p>
    <w:p>
      <w:r>
        <w:pict>
          <v:rect style="width:0;height:1.5pt" o:hralign="center" o:hrstd="t" o:hr="t"/>
        </w:pict>
      </w:r>
    </w:p>
    <w:bookmarkEnd w:id="52"/>
    <w:bookmarkStart w:id="53" w:name="article-12--réversibilité"/>
    <w:p>
      <w:pPr>
        <w:pStyle w:val="Heading2"/>
        <w:keepNext/>
        <w:keepLines/>
      </w:pPr>
      <w:r>
        <w:rPr>
          <w:color w:val="000000"/>
          <w:lang w:val="en-GB"/>
        </w:rPr>
        <w:t xml:space="preserve">Article 12 — Reversibility</w:t>
      </w:r>
    </w:p>
    <w:p>
      <w:pPr>
        <w:pStyle w:val="FirstParagraph"/>
      </w:pPr>
      <w:r>
        <w:rPr>
          <w:lang w:val="en-GB"/>
        </w:rPr>
        <w:t xml:space="preserve">At the end of the Contract, whatever the cause, OHADJA implements the reversibility operations provided for in </w:t>
      </w:r>
      <w:r>
        <w:rPr>
          <w:lang w:val="en-GB"/>
        </w:rPr>
        <w:t xml:space="preserve"/>
      </w:r>
      <w:r>
        <w:rPr>
          <w:b/>
          <w:bCs/>
          <w:lang w:val="en-GB"/>
        </w:rPr>
        <w:t xml:space="preserve">paragraph 11 of the </w:t>
      </w:r>
      <w:r>
        <w:rPr>
          <w:lang w:val="en-GB"/>
        </w:rPr>
        <w:t xml:space="preserve"/>
      </w:r>
      <w:r>
        <w:rPr>
          <w:lang w:val="en-GB"/>
        </w:rPr>
        <w:t xml:space="preserve">DPA:</w:t>
      </w:r>
    </w:p>
    <w:p>
      <w:pPr>
        <w:pStyle w:val="Compact"/>
        <w:numPr>
          <w:ilvl w:val="0"/>
          <w:numId w:val="1004"/>
        </w:numPr>
      </w:pPr>
      <w:r>
        <w:rPr>
          <w:b/>
          <w:bCs/>
          <w:lang w:val="en-GB"/>
        </w:rPr>
        <w:t xml:space="preserve">Restitution: </w:t>
      </w:r>
      <w:r>
        <w:rPr>
          <w:lang w:val="en-GB"/>
        </w:rPr>
        <w:t xml:space="preserve"/>
      </w:r>
      <w:r>
        <w:rPr>
          <w:lang w:val="en-GB"/>
        </w:rPr>
        <w:t xml:space="preserve">provision to the Client of exportable data in a standard format available in the Solution (complete export by organization, signed). The Customer can also carry out this self-service export from the Solution before the end date.</w:t>
      </w:r>
    </w:p>
    <w:p>
      <w:pPr>
        <w:pStyle w:val="Compact"/>
        <w:numPr>
          <w:ilvl w:val="0"/>
          <w:numId w:val="1004"/>
        </w:numPr>
      </w:pPr>
      <w:r>
        <w:rPr>
          <w:b/>
          <w:bCs/>
          <w:lang w:val="en-GB"/>
        </w:rPr>
        <w:t xml:space="preserve">Deletion: </w:t>
      </w:r>
      <w:r>
        <w:rPr>
          <w:lang w:val="en-GB"/>
        </w:rPr>
        <w:t xml:space="preserve"/>
      </w:r>
      <w:r>
        <w:rPr>
          <w:lang w:val="en-GB"/>
        </w:rPr>
        <w:t xml:space="preserve">deletion of the Customer's production data within a maximum period </w:t>
      </w:r>
      <w:r>
        <w:rPr>
          <w:lang w:val="en-GB"/>
        </w:rPr>
        <w:t xml:space="preserve"/>
      </w:r>
      <w:r>
        <w:rPr>
          <w:b/>
          <w:bCs/>
          <w:lang w:val="en-GB"/>
        </w:rPr>
        <w:t xml:space="preserve">of thirty (30) calendar </w:t>
      </w:r>
      <w:r>
        <w:rPr>
          <w:lang w:val="en-GB"/>
        </w:rPr>
        <w:t xml:space="preserve"/>
      </w:r>
      <w:r>
        <w:rPr>
          <w:lang w:val="en-GB"/>
        </w:rPr>
        <w:t xml:space="preserve">days following the effective end of the Contract or receipt of the written deletion instruction, whichever is later.</w:t>
      </w:r>
    </w:p>
    <w:p>
      <w:pPr>
        <w:pStyle w:val="Compact"/>
        <w:numPr>
          <w:ilvl w:val="0"/>
          <w:numId w:val="1004"/>
        </w:numPr>
      </w:pPr>
      <w:r>
        <w:rPr>
          <w:b/>
          <w:bCs/>
          <w:lang w:val="en-GB"/>
        </w:rPr>
        <w:t xml:space="preserve">Purge of backups: </w:t>
      </w:r>
      <w:r>
        <w:rPr>
          <w:lang w:val="en-GB"/>
        </w:rPr>
        <w:t xml:space="preserve"/>
      </w:r>
      <w:r>
        <w:rPr>
          <w:lang w:val="en-GB"/>
        </w:rPr>
        <w:t xml:space="preserve">purge of residual technical backups according to their normal rotation cycle, within a maximum </w:t>
      </w:r>
      <w:r>
        <w:rPr>
          <w:lang w:val="en-GB"/>
        </w:rPr>
        <w:t xml:space="preserve"/>
      </w:r>
      <w:r>
        <w:rPr>
          <w:b/>
          <w:bCs/>
          <w:lang w:val="en-GB"/>
        </w:rPr>
        <w:t xml:space="preserve">period of ninety (90) calendar </w:t>
      </w:r>
      <w:r>
        <w:rPr>
          <w:lang w:val="en-GB"/>
        </w:rPr>
        <w:t xml:space="preserve">days.</w:t>
      </w:r>
    </w:p>
    <w:p>
      <w:pPr>
        <w:pStyle w:val="Compact"/>
        <w:numPr>
          <w:ilvl w:val="0"/>
          <w:numId w:val="1004"/>
        </w:numPr>
      </w:pPr>
      <w:r>
        <w:rPr>
          <w:b/>
          <w:bCs/>
          <w:lang w:val="en-GB"/>
        </w:rPr>
        <w:t xml:space="preserve">Certificate: </w:t>
      </w:r>
      <w:r>
        <w:rPr>
          <w:lang w:val="en-GB"/>
        </w:rPr>
        <w:t xml:space="preserve"/>
      </w:r>
      <w:r>
        <w:rPr>
          <w:lang w:val="en-GB"/>
        </w:rPr>
        <w:t xml:space="preserve">upon written request, delivery of a certificate of deletion or restitution within thirty (30) calendar days after completion of the operation concerned.</w:t>
      </w:r>
    </w:p>
    <w:p>
      <w:pPr>
        <w:pStyle w:val="FirstParagraph"/>
      </w:pPr>
      <w:r>
        <w:rPr>
          <w:lang w:val="en-GB"/>
        </w:rPr>
        <w:t xml:space="preserve">The operating objectives linked to the continuity plan (24-hour RPO / 4-hour RTO) are recalled in Article 6.5. No contractual availability commitment is stipulated herein; it remains to be defined commercially if necessary.</w:t>
      </w:r>
    </w:p>
    <w:p>
      <w:r>
        <w:pict>
          <v:rect style="width:0;height:1.5pt" o:hralign="center" o:hrstd="t" o:hr="t"/>
        </w:pict>
      </w:r>
    </w:p>
    <w:bookmarkEnd w:id="53"/>
    <w:bookmarkStart w:id="54" w:name="article-13--force-majeure"/>
    <w:p>
      <w:pPr>
        <w:pStyle w:val="Heading2"/>
        <w:keepNext/>
        <w:keepLines/>
      </w:pPr>
      <w:r>
        <w:rPr>
          <w:color w:val="000000"/>
          <w:lang w:val="en-GB"/>
        </w:rPr>
        <w:t xml:space="preserve">Article 13 — Force majeure</w:t>
      </w:r>
    </w:p>
    <w:p>
      <w:pPr>
        <w:pStyle w:val="FirstParagraph"/>
      </w:pPr>
      <w:r>
        <w:rPr>
          <w:lang w:val="en-GB"/>
        </w:rPr>
        <w:t xml:space="preserve">Neither Party may be held responsible for a failure to fulfill its obligations resulting from a case of force majeure within the meaning of Article 1218 of the Civil Code and the case law of the French courts.</w:t>
      </w:r>
    </w:p>
    <w:p>
      <w:pPr>
        <w:pStyle w:val="BodyText"/>
      </w:pPr>
      <w:r>
        <w:rPr>
          <w:lang w:val="en-GB"/>
        </w:rPr>
        <w:t xml:space="preserve">The affected Party shall inform the other without delay. Affected obligations are suspended for the duration of the event. If the force majeure continues beyond [TO BE COMPLETED: duration, e.g. 60 days], each Party may terminate the Contract automatically, without compensation, by registered letter with acknowledgment of receipt.</w:t>
      </w:r>
    </w:p>
    <w:p>
      <w:r>
        <w:pict>
          <v:rect style="width:0;height:1.5pt" o:hralign="center" o:hrstd="t" o:hr="t"/>
        </w:pict>
      </w:r>
    </w:p>
    <w:bookmarkEnd w:id="54"/>
    <w:bookmarkStart w:id="55" w:name="Xc4b392dafc8714d4a4ae6a67b462422fb2e378b"/>
    <w:p>
      <w:pPr>
        <w:pStyle w:val="Heading2"/>
        <w:keepNext/>
        <w:keepLines/>
      </w:pPr>
      <w:r>
        <w:rPr>
          <w:color w:val="000000"/>
          <w:lang w:val="en-GB"/>
        </w:rPr>
        <w:t xml:space="preserve">Article 14 — Applicable law and jurisdiction</w:t>
      </w:r>
    </w:p>
    <w:p>
      <w:pPr>
        <w:pStyle w:val="FirstParagraph"/>
      </w:pPr>
      <w:r>
        <w:rPr>
          <w:lang w:val="en-GB"/>
        </w:rPr>
        <w:t xml:space="preserve">These Terms are governed by </w:t>
      </w:r>
      <w:r>
        <w:rPr>
          <w:lang w:val="en-GB"/>
        </w:rPr>
        <w:t xml:space="preserve"/>
      </w:r>
      <w:r>
        <w:rPr>
          <w:b/>
          <w:bCs/>
          <w:lang w:val="en-GB"/>
        </w:rPr>
        <w:t xml:space="preserve">French </w:t>
      </w:r>
      <w:r>
        <w:rPr>
          <w:lang w:val="en-GB"/>
        </w:rPr>
        <w:t xml:space="preserve">law.</w:t>
      </w:r>
    </w:p>
    <w:p>
      <w:pPr>
        <w:pStyle w:val="BodyText"/>
      </w:pPr>
      <w:r>
        <w:rPr>
          <w:lang w:val="en-GB"/>
        </w:rPr>
        <w:t xml:space="preserve">Any dispute concerning their validity, interpretation, performance or termination, failing amicable settlement, falls within the exclusive jurisdiction of </w:t>
      </w:r>
      <w:r>
        <w:rPr>
          <w:lang w:val="en-GB"/>
        </w:rPr>
        <w:t xml:space="preserve"/>
      </w:r>
      <w:r>
        <w:rPr>
          <w:b/>
          <w:bCs/>
          <w:lang w:val="en-GB"/>
        </w:rPr>
        <w:t xml:space="preserve">the courts of Paris, </w:t>
      </w:r>
      <w:r>
        <w:rPr>
          <w:lang w:val="en-GB"/>
        </w:rPr>
        <w:t xml:space="preserve">unless a contrary mandatory provision applies to the Customer, particularly where it is a public-law entity.</w:t>
      </w:r>
    </w:p>
    <w:p>
      <w:r>
        <w:pict>
          <v:rect style="width:0;height:1.5pt" o:hralign="center" o:hrstd="t" o:hr="t"/>
        </w:pict>
      </w:r>
    </w:p>
    <w:bookmarkEnd w:id="55"/>
    <w:bookmarkStart w:id="56" w:name="article-15--stipulations-diverses"/>
    <w:p>
      <w:pPr>
        <w:pStyle w:val="Heading2"/>
        <w:keepNext/>
        <w:keepLines/>
      </w:pPr>
      <w:r>
        <w:rPr>
          <w:color w:val="000000"/>
          <w:lang w:val="en-GB"/>
        </w:rPr>
        <w:t xml:space="preserve">Article 15 — Miscellaneous stipulations</w:t>
      </w:r>
    </w:p>
    <w:p>
      <w:pPr>
        <w:pStyle w:val="Compact"/>
        <w:numPr>
          <w:ilvl w:val="0"/>
          <w:numId w:val="1005"/>
        </w:numPr>
      </w:pPr>
      <w:r>
        <w:rPr>
          <w:b/>
          <w:bCs/>
          <w:lang w:val="en-GB"/>
        </w:rPr>
        <w:t xml:space="preserve">Completeness: </w:t>
      </w:r>
      <w:r>
        <w:rPr>
          <w:lang w:val="en-GB"/>
        </w:rPr>
        <w:t xml:space="preserve"/>
      </w:r>
      <w:r>
        <w:rPr>
          <w:lang w:val="en-GB"/>
        </w:rPr>
        <w:t xml:space="preserve">the Contract expresses the entire agreement of the Parties on its subject matter and takes precedence over any prior exchange.</w:t>
      </w:r>
    </w:p>
    <w:p>
      <w:pPr>
        <w:pStyle w:val="Compact"/>
        <w:numPr>
          <w:ilvl w:val="0"/>
          <w:numId w:val="1005"/>
        </w:numPr>
      </w:pPr>
      <w:r>
        <w:rPr>
          <w:b/>
          <w:bCs/>
          <w:lang w:val="en-GB"/>
        </w:rPr>
        <w:t xml:space="preserve">Partial nullity: </w:t>
      </w:r>
      <w:r>
        <w:rPr>
          <w:lang w:val="en-GB"/>
        </w:rPr>
        <w:t xml:space="preserve"/>
      </w:r>
      <w:r>
        <w:rPr>
          <w:lang w:val="en-GB"/>
        </w:rPr>
        <w:t xml:space="preserve">if a stipulation is declared void or inapplicable, the others remain in force; the Parties replace it with a stipulation of equivalent effect.</w:t>
      </w:r>
    </w:p>
    <w:p>
      <w:pPr>
        <w:pStyle w:val="Compact"/>
        <w:numPr>
          <w:ilvl w:val="0"/>
          <w:numId w:val="1005"/>
        </w:numPr>
      </w:pPr>
      <w:r>
        <w:rPr>
          <w:b/>
          <w:bCs/>
          <w:lang w:val="en-GB"/>
        </w:rPr>
        <w:t xml:space="preserve">No waiver: </w:t>
      </w:r>
      <w:r>
        <w:rPr>
          <w:lang w:val="en-GB"/>
        </w:rPr>
        <w:t xml:space="preserve"/>
      </w:r>
      <w:r>
        <w:rPr>
          <w:lang w:val="en-GB"/>
        </w:rPr>
        <w:t xml:space="preserve">a Party’s failure to invoke a breach does not waive its right to invoke it subsequently.</w:t>
      </w:r>
    </w:p>
    <w:p>
      <w:pPr>
        <w:pStyle w:val="Compact"/>
        <w:numPr>
          <w:ilvl w:val="0"/>
          <w:numId w:val="1005"/>
        </w:numPr>
      </w:pPr>
      <w:r>
        <w:rPr>
          <w:b/>
          <w:bCs/>
          <w:lang w:val="en-GB"/>
        </w:rPr>
        <w:t xml:space="preserve">Assignment: </w:t>
      </w:r>
      <w:r>
        <w:rPr>
          <w:lang w:val="en-GB"/>
        </w:rPr>
        <w:t xml:space="preserve"/>
      </w:r>
      <w:r>
        <w:rPr>
          <w:lang w:val="en-GB"/>
        </w:rPr>
        <w:t xml:space="preserve">the Contract may not be assigned by the Client without the prior written consent of OHADJA.</w:t>
      </w:r>
    </w:p>
    <w:p>
      <w:pPr>
        <w:pStyle w:val="Compact"/>
        <w:numPr>
          <w:ilvl w:val="0"/>
          <w:numId w:val="1005"/>
        </w:numPr>
      </w:pPr>
      <w:r>
        <w:rPr>
          <w:b/>
          <w:bCs/>
          <w:lang w:val="en-GB"/>
        </w:rPr>
        <w:t xml:space="preserve">Modification: </w:t>
      </w:r>
      <w:r>
        <w:rPr>
          <w:lang w:val="en-GB"/>
        </w:rPr>
        <w:t xml:space="preserve"/>
      </w:r>
      <w:r>
        <w:rPr>
          <w:lang w:val="en-GB"/>
        </w:rPr>
        <w:t xml:space="preserve">any modification is subject to a written amendment accepted by the Parties.</w:t>
      </w:r>
    </w:p>
    <w:p>
      <w:r>
        <w:pict>
          <v:rect style="width:0;height:1.5pt" o:hralign="center" o:hrstd="t" o:hr="t"/>
        </w:pict>
      </w:r>
    </w:p>
    <w:p>
      <w:pPr>
        <w:pStyle w:val="FirstParagraph"/>
      </w:pPr>
      <w:r>
        <w:rPr>
          <w:i/>
          <w:iCs/>
          <w:lang w:val="en-GB"/>
        </w:rPr>
        <w:t xml:space="preserve">Working document established by OHADJA — to be validated by your legal advisor / DPO before signature.</w:t>
      </w:r>
    </w:p>
    <w:bookmarkEnd w:id="56"/>
    <w:bookmarkEnd w:id="57"/>
    <w:p>
      <w:pPr>
        <w:pStyle w:val="Heading1"/>
        <w:pageBreakBefore/>
        <w:keepNext/>
        <w:keepLines/>
      </w:pPr>
      <w:r>
        <w:rPr>
          <w:lang w:val="en-GB"/>
          <w:color w:val="000000"/>
        </w:rPr>
        <w:t xml:space="preserve">Annex on national deployment rules</w:t>
      </w:r>
    </w:p>
    <w:p>
      <w:pPr>
        <w:pStyle w:val="Heading2"/>
        <w:keepNext/>
        <w:keepLines/>
      </w:pPr>
      <w:r>
        <w:rPr>
          <w:lang w:val="en-GB"/>
          <w:color w:val="000000"/>
        </w:rPr>
        <w:t xml:space="preserve">Scope of this annex</w:t>
      </w:r>
    </w:p>
    <w:p>
      <w:pPr>
        <w:pStyle w:val="BodyText"/>
      </w:pPr>
      <w:r>
        <w:rPr>
          <w:lang w:val="en-GB"/>
        </w:rPr>
        <w:t xml:space="preserve">This edition covers the European Union GDPR framework and the deployment considerations below for France, Ireland, the Netherlands, Spain and Portugal. The notices must be read according to the Customer’s actual country and use, regardless of the document’s language. They supplement the project documents without automatically changing the parties’ identities, the chosen French governing law or the designated courts. Applicable mandatory rules remain reserved. French national references in the main document remain identified as such; they do not constitute foreign equivalents.</w:t>
      </w:r>
    </w:p>
    <w:p>
      <w:pPr>
        <w:pStyle w:val="Heading2"/>
        <w:keepNext/>
        <w:keepLines/>
      </w:pPr>
      <w:r>
        <w:rPr>
          <w:lang w:val="en-GB"/>
          <w:color w:val="000000"/>
        </w:rPr>
        <w:t xml:space="preserve">European framework to document before commissioning</w:t>
      </w:r>
    </w:p>
    <w:p>
      <w:pPr>
        <w:pStyle w:val="BodyText"/>
      </w:pPr>
      <w:r>
        <w:rPr>
          <w:lang w:val="en-GB"/>
        </w:rPr>
        <w:t xml:space="preserve">The Customer must determine the purpose, necessity, proportionality and lawful basis of every recording and processing operation; inform individuals before collection; define recipients, retention periods and arrangements for exercising rights; and conclude an Article 28-compliant agreement for operations entrusted to a processor. Information, consultation or human validation alone does not make processing lawful. Employee consent must be considered cautiously given the imbalance with the employer.</w:t>
      </w:r>
    </w:p>
    <w:p>
      <w:pPr>
        <w:pStyle w:val="BodyText"/>
      </w:pPr>
      <w:r>
        <w:rPr>
          <w:lang w:val="en-GB"/>
        </w:rPr>
        <w:t xml:space="preserve">If special categories of data are processed, an applicable Article 9 condition must be identified in addition to the Article 6 basis. Voice comparison intended for unique identification must be assessed in terms of biometrics, even without a persistent template. An impact assessment must be conducted before processing likely to result in a high risk, and the rules on prior consultation of the authority remain applicable where Article 36 conditions are met. Neither local hosting nor an addendum removes the need for this assessment.</w:t>
      </w:r>
    </w:p>
    <w:p>
      <w:pPr>
        <w:pStyle w:val="BodyText"/>
      </w:pPr>
      <w:r>
        <w:rPr>
          <w:lang w:val="en-GB"/>
        </w:rPr>
        <w:t xml:space="preserve">The competent authority depends on GDPR rules, particularly for cross-border processing; it does not depend on the selected language. The processor alerts the Customer without undue delay. The controller notifies the competent authority under Article 33 conditions, where feasible within 72 hours of becoming aware of a breach, unless it is unlikely to result in a risk to rights and freedoms. Communication to individuals is subject to Article 34 conditions.</w:t>
      </w:r>
    </w:p>
    <w:p>
      <w:pPr>
        <w:pStyle w:val="BodyText"/>
      </w:pPr>
      <w:r>
        <w:rPr>
          <w:lang w:val="en-GB"/>
        </w:rPr>
        <w:t xml:space="preserve">European sources https://eur-lex.europa.eu/eli/reg/2016/679/oj and https://www.edpb.europa.eu/documents/guideline/guidelines-052020-on-consent-under-regulation-2016679_en</w:t>
      </w:r>
    </w:p>
    <w:p>
      <w:pPr>
        <w:pStyle w:val="Heading2"/>
        <w:keepNext/>
        <w:keepLines/>
      </w:pPr>
      <w:r>
        <w:rPr>
          <w:lang w:val="en-GB"/>
          <w:color w:val="000000"/>
        </w:rPr>
        <w:t xml:space="preserve">France</w:t>
      </w:r>
    </w:p>
    <w:p>
      <w:pPr>
        <w:pStyle w:val="BodyText"/>
      </w:pPr>
      <w:r>
        <w:rPr>
          <w:lang w:val="en-GB"/>
        </w:rPr>
        <w:t xml:space="preserve">For deployment in France, determine employee information and prior CSE consultation obligations according to the system, workforce size and applicable legal scope. The French Labour Code covers, in particular, techniques enabling activity monitoring, even if the product is presented as drafting assistance. Information and consultation do not replace the assessment of lawfulness, necessity and proportionality, or rules concerning private conversations, sensitive data and confidentiality. The CNIL is the national authority, subject to GDPR jurisdiction rules.</w:t>
      </w:r>
    </w:p>
    <w:p>
      <w:pPr>
        <w:pStyle w:val="BodyText"/>
      </w:pPr>
      <w:r>
        <w:rPr>
          <w:lang w:val="en-GB"/>
        </w:rPr>
        <w:t xml:space="preserve">French sources Labour Code Articles L1222-4 and L2312-38 https://www.legifrance.gouv.fr/codes/article_lc/LEGIARTI000006900861 and https://www.legifrance.gouv.fr/codes/section_lc/LEGITEXT000006072050/LEGISCTA000035610273/</w:t>
      </w:r>
    </w:p>
    <w:p>
      <w:pPr>
        <w:pStyle w:val="Heading2"/>
        <w:keepNext/>
        <w:keepLines/>
      </w:pPr>
      <w:r>
        <w:rPr>
          <w:lang w:val="en-GB"/>
          <w:color w:val="000000"/>
        </w:rPr>
        <w:t xml:space="preserve">Ireland</w:t>
      </w:r>
    </w:p>
    <w:p>
      <w:pPr>
        <w:pStyle w:val="BodyText"/>
      </w:pPr>
      <w:r>
        <w:rPr>
          <w:lang w:val="en-GB"/>
        </w:rPr>
        <w:t xml:space="preserve">For deployment in Ireland, apply the GDPR and national framework; document the lawful basis and inform participants before recording. Examine employee information and consultation obligations according to scope, workforce size, collective agreements and existing arrangements. The Irish system is distinct from the French CSE and does not create an identical consultation requirement for every employer. The Data Protection Commission is the national authority, subject to cross-border jurisdiction rules.</w:t>
      </w:r>
    </w:p>
    <w:p>
      <w:pPr>
        <w:pStyle w:val="BodyText"/>
      </w:pPr>
      <w:r>
        <w:rPr>
          <w:lang w:val="en-GB"/>
        </w:rPr>
        <w:t xml:space="preserve">Irish sources https://www.dataprotection.ie/en/dpc-guidance/video-recording and Employees (Provision of Information and Consultation) Act 2006 https://www.irishstatutebook.ie/eli/2006/act/9/enacted/en/print</w:t>
      </w:r>
    </w:p>
    <w:p>
      <w:pPr>
        <w:pStyle w:val="Heading2"/>
        <w:keepNext/>
        <w:keepLines/>
      </w:pPr>
      <w:r>
        <w:rPr>
          <w:lang w:val="en-GB"/>
          <w:color w:val="000000"/>
        </w:rPr>
        <w:t xml:space="preserve">The Netherlands</w:t>
      </w:r>
    </w:p>
    <w:p>
      <w:pPr>
        <w:pStyle w:val="BodyText"/>
      </w:pPr>
      <w:r>
        <w:rPr>
          <w:lang w:val="en-GB"/>
        </w:rPr>
        <w:t xml:space="preserve">For deployment in the Netherlands, examine the powers of the ondernemingsraad or OR. A system capable of monitoring attendance, behaviour or performance may fall within its right of prior approval under the Wet op de ondernemingsraden, even if it is not yet used for that purpose. OR approval replaces neither the lawful basis of processing nor the conditions applicable to biometrics and sensitive data. The Autoriteit Persoonsgegevens is the national authority, subject to GDPR jurisdiction rules.</w:t>
      </w:r>
    </w:p>
    <w:p>
      <w:pPr>
        <w:pStyle w:val="BodyText"/>
      </w:pPr>
      <w:r>
        <w:rPr>
          <w:lang w:val="en-GB"/>
        </w:rPr>
        <w:t xml:space="preserve">Dutch source Autoriteit Persoonsgegevens https://autoriteitpersoonsgegevens.nl/en/themes/employment-and-benefits/works-council/the-works-council-and-staff-tracking-systems</w:t>
      </w:r>
    </w:p>
    <w:p>
      <w:pPr>
        <w:pStyle w:val="Heading2"/>
        <w:keepNext/>
        <w:keepLines/>
      </w:pPr>
      <w:r>
        <w:rPr>
          <w:lang w:val="en-GB"/>
          <w:color w:val="000000"/>
        </w:rPr>
        <w:t xml:space="preserve">Spain</w:t>
      </w:r>
    </w:p>
    <w:p>
      <w:pPr>
        <w:pStyle w:val="BodyText"/>
      </w:pPr>
      <w:r>
        <w:rPr>
          <w:lang w:val="en-GB"/>
        </w:rPr>
        <w:t xml:space="preserve">For deployment in Spain, distinguish meeting transcription from the use of audio surveillance systems. Within the scope of Article 89 of Ley Orgánica 3/2018, workplace sound recording is strictly limited to certain security risks, with proportionality, minimal intervention and safeguards; rest areas are protected. Examine representatives’ information and consultation rights and applicable agreements. These provisions must not be extended without assessment to every occasional meeting, and participants’ agreement is not general authorisation. Identify the AEPD or competent regional authority according to the processing.</w:t>
      </w:r>
    </w:p>
    <w:p>
      <w:pPr>
        <w:pStyle w:val="BodyText"/>
      </w:pPr>
      <w:r>
        <w:rPr>
          <w:lang w:val="en-GB"/>
        </w:rPr>
        <w:t xml:space="preserve">Spanish sources Ley Orgánica 3/2018 Article 89 https://www.boe.es/buscar/act.php?id=BOE-A-2018-16673#a89 and Estatuto de los Trabajadores Article 64 https://www.boe.es/buscar/act.php?id=BOE-A-2015-11430#a64</w:t>
      </w:r>
    </w:p>
    <w:p>
      <w:pPr>
        <w:pStyle w:val="Heading2"/>
        <w:keepNext/>
        <w:keepLines/>
      </w:pPr>
      <w:r>
        <w:rPr>
          <w:lang w:val="en-GB"/>
          <w:color w:val="000000"/>
        </w:rPr>
        <w:t xml:space="preserve">Portugal</w:t>
      </w:r>
    </w:p>
    <w:p>
      <w:pPr>
        <w:pStyle w:val="BodyText"/>
      </w:pPr>
      <w:r>
        <w:rPr>
          <w:lang w:val="en-GB"/>
        </w:rPr>
        <w:t xml:space="preserve">For deployment in Portugal, examine the Código do Trabalho, Lei 58/2019 and rules applicable to the specific system. Remote surveillance intended to monitor professional performance is prohibited. Sound capture within a video surveillance system is subject to specific restrictions; this means neither that every meeting recording is prohibited nor that it is always authorised. Determine obligations towards workers and their representatives before commissioning. The Comissão Nacional de Proteção de Dados is the national authority, subject to GDPR jurisdiction rules.</w:t>
      </w:r>
    </w:p>
    <w:p>
      <w:pPr>
        <w:pStyle w:val="BodyText"/>
      </w:pPr>
      <w:r>
        <w:rPr>
          <w:lang w:val="en-GB"/>
        </w:rPr>
        <w:t xml:space="preserve">Portuguese sources Código do Trabalho Articles 20 and 21 https://diariodarepublica.pt/dr/legislacao-consolidada/lei/2009-34546475-211441911 and CNPD https://www.cnpd.pt/organizacoes/areas-tematicas/videovigilancia/</w:t>
      </w:r>
    </w:p>
    <w:p>
      <w:pPr>
        <w:pStyle w:val="Heading2"/>
        <w:keepNext/>
        <w:keepLines/>
      </w:pPr>
      <w:r>
        <w:rPr>
          <w:lang w:val="en-GB"/>
          <w:color w:val="000000"/>
        </w:rPr>
        <w:t xml:space="preserve">French frameworks and project commitments</w:t>
      </w:r>
    </w:p>
    <w:p>
      <w:pPr>
        <w:pStyle w:val="BodyText"/>
      </w:pPr>
      <w:r>
        <w:rPr>
          <w:lang w:val="en-GB"/>
        </w:rPr>
        <w:t xml:space="preserve">The terms CSE, CGCT, HDS, SecNumCloud, ANSSI and RGAA refer to French institutions, rules or frameworks. They establish neither TranscribIA certification nor automatic compliance with a foreign framework. Amounts and payment mechanisms in the terms of sale, including the reference to the French Commercial Code, must be considered together with the chosen law, the Customer’s status and applicable mandatory rules; they must not be presented as transpositions of each national law. Arrangements applicable to public procurement, consumers and regulated sectors must be specified separately where relevant.</w:t>
      </w:r>
    </w:p>
    <w:p>
      <w:pPr>
        <w:pStyle w:val="BodyText"/>
      </w:pPr>
      <w:r>
        <w:rPr>
          <w:lang w:val="en-GB"/>
        </w:rPr>
        <w:t xml:space="preserve">Before signature, complete and verify the project annexes concerning the parties, SaaS or on-premise configuration, processing and access locations, subprocessors, transfers, actual security measures, retention and service levels. This annex does not establish that a technical measure is already deployed and does not replace agreed specific commitments. British and Belgian regimes and other countries are not covered by these national notices; they require separate adaptation.</w:t>
      </w:r>
    </w:p>
    <w:p>
      <w:pPr>
        <w:pStyle w:val="BodyText"/>
      </w:pPr>
      <w:r>
        <w:rPr>
          <w:lang w:val="en-GB"/>
        </w:rPr>
        <w:t xml:space="preserve">Interface screenshots and examples from the application may remain in French. Explanatory text and document captions are translated; commands, filenames, technical identifiers and document references must be preserved exactly.</w:t>
      </w:r>
    </w:p>
    <w:p>
      <w:pPr>
        <w:pStyle w:val="Heading1"/>
        <w:keepNext/>
        <w:keepLines/>
      </w:pPr>
      <w:r>
        <w:rPr>
          <w:lang w:val="en-GB"/>
          <w:color w:val="000000"/>
        </w:rPr>
        <w:t>History of this edition</w:t>
      </w:r>
    </w:p>
    <w:p>
      <w:pPr>
        <w:pStyle w:val="BodyText"/>
      </w:pPr>
      <w:r>
        <w:rPr>
          <w:lang w:val="en-GB"/>
        </w:rPr>
        <w:t>1.1 — 2026-10-17</w:t>
      </w:r>
    </w:p>
    <w:p>
      <w:pPr>
        <w:pStyle w:val="BodyText"/>
      </w:pPr>
      <w:r>
        <w:rPr>
          <w:lang w:val="en-GB"/>
        </w:rPr>
        <w:t>Multilingual edition and document corrections. Earlier versions and their dates are retained. The French text is authoritative; translations aid reading and do not change the parties or applicable law.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_rels/footnotes.xml.rels><?xml version="1.0" encoding="UTF-8"?><Relationships xmlns="http://schemas.openxmlformats.org/package/2006/relationships"><Relationship Type="http://schemas.openxmlformats.org/officeDocument/2006/relationships/hyperlink" Id="rId10" Target="mailto:contact@transcribia.eu" TargetMode="External" /><Relationship Type="http://schemas.openxmlformats.org/officeDocument/2006/relationships/hyperlink" Id="rId12" Target="mailto:privacy@transcribia.eu" TargetMode="External" /><Relationship Type="http://schemas.openxmlformats.org/officeDocument/2006/relationships/hyperlink" Id="rId11" Target="mailto:support@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