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2" w:name="X00aa6aba2b399654b9aa2d8ce2e008f4b303369"/>
    <w:p>
      <w:pPr>
        <w:pStyle w:val="Title"/>
        <w:keepNext/>
        <w:keepLines/>
      </w:pPr>
      <w:r>
        <w:rPr>
          <w:color w:val="000000"/>
          <w:lang w:val="en-GB"/>
        </w:rPr>
        <w:t xml:space="preserve">GDPR Data Processing Agreement (Article 28) — TranscribIA</w:t>
      </w:r>
    </w:p>
    <w:p>
      <w:pPr>
        <w:pStyle w:val="BodyText"/>
      </w:pPr>
      <w:r>
        <w:rPr>
          <w:lang w:val="en-GB"/>
        </w:rPr>
        <w:t xml:space="preserve">Localised edition v1.2-draft — 2026-10-17</w:t>
      </w:r>
    </w:p>
    <w:p>
      <w:pPr>
        <w:pStyle w:val="BodyText"/>
      </w:pPr>
      <w:r>
        <w:rPr>
          <w:lang w:val="en-GB"/>
        </w:rPr>
        <w:t xml:space="preserve">The French text is authoritative. This edition covers France, Ireland, the Netherlands, Spain and Portugal. Language does not select the deployment country, parties or applicable law. Read the national annex at the end of this document according to the actual country and use.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Reference</w:t>
            </w:r>
          </w:p>
        </w:tc>
        <w:tc>
          <w:tcPr/>
          <w:p>
            <w:pPr>
              <w:pStyle w:val="Compact"/>
            </w:pPr>
            <w:r>
              <w:rPr>
                <w:lang w:val="en-GB"/>
              </w:rPr>
              <w:t xml:space="preserve">TRB-CONF-01.02</w:t>
            </w:r>
          </w:p>
        </w:tc>
      </w:tr>
      <w:tr>
        <w:trPr>
          <w:cantSplit/>
        </w:trPr>
        <w:tc>
          <w:tcPr/>
          <w:p>
            <w:pPr>
              <w:pStyle w:val="Compact"/>
            </w:pPr>
            <w:r>
              <w:rPr>
                <w:lang w:val="en-GB"/>
              </w:rPr>
              <w:t xml:space="preserve">Version</w:t>
            </w:r>
          </w:p>
        </w:tc>
        <w:tc>
          <w:tcPr/>
          <w:p>
            <w:pPr>
              <w:pStyle w:val="Compact"/>
            </w:pPr>
            <w:r>
              <w:rPr>
                <w:lang w:val="en-GB"/>
              </w:rPr>
              <w:t xml:space="preserve">1.1-draft — 2026-07-24</w:t>
            </w:r>
          </w:p>
        </w:tc>
      </w:tr>
      <w:tr>
        <w:trPr>
          <w:cantSplit/>
        </w:trPr>
        <w:tc>
          <w:tcPr/>
          <w:p>
            <w:pPr>
              <w:pStyle w:val="Compact"/>
            </w:pPr>
            <w:r>
              <w:rPr>
                <w:lang w:val="en-GB"/>
              </w:rPr>
              <w:t xml:space="preserve">Date</w:t>
            </w:r>
          </w:p>
        </w:tc>
        <w:tc>
          <w:tcPr/>
          <w:p>
            <w:pPr>
              <w:pStyle w:val="Compact"/>
            </w:pPr>
            <w:r>
              <w:rPr>
                <w:lang w:val="en-GB"/>
              </w:rPr>
              <w:t xml:space="preserve">2026-07-24</w:t>
            </w:r>
          </w:p>
        </w:tc>
      </w:tr>
      <w:tr>
        <w:trPr>
          <w:cantSplit/>
        </w:trPr>
        <w:tc>
          <w:tcPr/>
          <w:p>
            <w:pPr>
              <w:pStyle w:val="Compact"/>
            </w:pPr>
            <w:r>
              <w:rPr>
                <w:lang w:val="en-GB"/>
              </w:rPr>
              <w:t xml:space="preserve">Editor</w:t>
            </w:r>
          </w:p>
        </w:tc>
        <w:tc>
          <w:tcPr/>
          <w:p>
            <w:pPr>
              <w:pStyle w:val="Compact"/>
            </w:pPr>
            <w:r>
              <w:rPr>
                <w:lang w:val="en-GB"/>
              </w:rPr>
              <w:t xml:space="preserve">OHADJA</w:t>
            </w:r>
          </w:p>
        </w:tc>
      </w:tr>
      <w:tr>
        <w:trPr>
          <w:cantSplit/>
        </w:trPr>
        <w:tc>
          <w:tcPr/>
          <w:p>
            <w:pPr>
              <w:pStyle w:val="Compact"/>
            </w:pPr>
            <w:r>
              <w:rPr>
                <w:lang w:val="en-GB"/>
              </w:rPr>
              <w:t xml:space="preserve">Classification</w:t>
            </w:r>
          </w:p>
        </w:tc>
        <w:tc>
          <w:tcPr/>
          <w:p>
            <w:pPr>
              <w:pStyle w:val="Compact"/>
            </w:pPr>
            <w:r>
              <w:rPr>
                <w:lang w:val="en-GB"/>
              </w:rPr>
              <w:t xml:space="preserve">Public — contract model (v1.1-draft, to be validated by legal advice before signature)</w:t>
            </w:r>
          </w:p>
        </w:tc>
      </w:tr>
    </w:tbl>
    <w:bookmarkStart w:id="9" w:name="historique-des-versions"/>
    <w:p>
      <w:pPr>
        <w:pStyle w:val="Heading2"/>
        <w:keepNext/>
        <w:keepLines/>
      </w:pPr>
      <w:r>
        <w:rPr>
          <w:color w:val="000000"/>
          <w:lang w:val="en-GB"/>
        </w:rPr>
        <w:t xml:space="preserve">Version history</w:t>
      </w:r>
    </w:p>
    <w:tbl>
      <w:tblPr>
        <w:tblStyle w:val="Table"/>
        <w:tblW w:type="dxa" w:w="9360"/>
        <w:tblLook w:firstRow="1" w:lastRow="0" w:firstColumn="0" w:lastColumn="0" w:noHBand="0" w:noVBand="0" w:val="0020"/>
        <w:tblLayout w:type="fixed"/>
      </w:tblPr>
      <w:tblGrid>
        <w:gridCol w:w="1310"/>
        <w:gridCol w:w="1778"/>
        <w:gridCol w:w="6272"/>
      </w:tblGrid>
      <w:tr>
        <w:trPr>
          <w:tblHeader w:val="on"/>
          <w:cantSplit/>
        </w:trPr>
        <w:tc>
          <w:tcPr>
            <w:tcW w:type="dxa" w:w="1310"/>
            <w:tcMar>
              <w:left w:type="dxa" w:w="80"/>
              <w:right w:type="dxa" w:w="80"/>
            </w:tcMar>
          </w:tcPr>
          <w:p>
            <w:pPr>
              <w:pStyle w:val="Compact"/>
            </w:pPr>
            <w:r>
              <w:rPr>
                <w:lang w:val="en-GB"/>
              </w:rPr>
              <w:t xml:space="preserve">Version</w:t>
            </w:r>
          </w:p>
        </w:tc>
        <w:tc>
          <w:tcPr>
            <w:tcW w:type="dxa" w:w="1778"/>
            <w:tcMar>
              <w:left w:type="dxa" w:w="80"/>
              <w:right w:type="dxa" w:w="80"/>
            </w:tcMar>
          </w:tcPr>
          <w:p>
            <w:pPr>
              <w:pStyle w:val="Compact"/>
            </w:pPr>
            <w:r>
              <w:rPr>
                <w:lang w:val="en-GB"/>
              </w:rPr>
              <w:t xml:space="preserve">Date</w:t>
            </w:r>
          </w:p>
        </w:tc>
        <w:tc>
          <w:tcPr>
            <w:tcW w:type="dxa" w:w="6272"/>
            <w:tcMar>
              <w:left w:type="dxa" w:w="80"/>
              <w:right w:type="dxa" w:w="80"/>
            </w:tcMar>
          </w:tcPr>
          <w:p>
            <w:pPr>
              <w:pStyle w:val="Compact"/>
            </w:pPr>
            <w:r>
              <w:rPr>
                <w:lang w:val="en-GB"/>
              </w:rPr>
              <w:t xml:space="preserve">Purpose</w:t>
            </w:r>
          </w:p>
        </w:tc>
      </w:tr>
      <w:tr>
        <w:trPr>
          <w:cantSplit/>
        </w:trPr>
        <w:tc>
          <w:tcPr>
            <w:tcW w:type="dxa" w:w="1310"/>
            <w:tcMar>
              <w:left w:type="dxa" w:w="80"/>
              <w:right w:type="dxa" w:w="80"/>
            </w:tcMar>
          </w:tcPr>
          <w:p>
            <w:pPr>
              <w:pStyle w:val="Compact"/>
            </w:pPr>
            <w:r>
              <w:rPr>
                <w:lang w:val="en-GB"/>
              </w:rPr>
              <w:t xml:space="preserve">1.0</w:t>
            </w:r>
          </w:p>
        </w:tc>
        <w:tc>
          <w:tcPr>
            <w:tcW w:type="dxa" w:w="1778"/>
            <w:tcMar>
              <w:left w:type="dxa" w:w="80"/>
              <w:right w:type="dxa" w:w="80"/>
            </w:tcMar>
          </w:tcPr>
          <w:p>
            <w:pPr>
              <w:pStyle w:val="Compact"/>
            </w:pPr>
            <w:r>
              <w:rPr>
                <w:lang w:val="en-GB"/>
              </w:rPr>
              <w:t xml:space="preserve">May 19, 2026</w:t>
            </w:r>
          </w:p>
        </w:tc>
        <w:tc>
          <w:tcPr>
            <w:tcW w:type="dxa" w:w="6272"/>
            <w:tcMar>
              <w:left w:type="dxa" w:w="80"/>
              <w:right w:type="dxa" w:w="80"/>
            </w:tcMar>
          </w:tcPr>
          <w:p>
            <w:pPr>
              <w:pStyle w:val="Compact"/>
            </w:pPr>
            <w:r>
              <w:rPr>
                <w:lang w:val="en-GB"/>
              </w:rPr>
              <w:t xml:space="preserve">Initial version. Processor entity: AMBASSADIA SARL.</w:t>
            </w:r>
          </w:p>
        </w:tc>
      </w:tr>
      <w:tr>
        <w:trPr>
          <w:cantSplit/>
        </w:trPr>
        <w:tc>
          <w:tcPr>
            <w:tcW w:type="dxa" w:w="1310"/>
            <w:tcMar>
              <w:left w:type="dxa" w:w="80"/>
              <w:right w:type="dxa" w:w="80"/>
            </w:tcMar>
          </w:tcPr>
          <w:p>
            <w:pPr>
              <w:pStyle w:val="Compact"/>
            </w:pPr>
            <w:r>
              <w:rPr>
                <w:lang w:val="en-GB"/>
              </w:rPr>
              <w:t xml:space="preserve">1.1-draft</w:t>
            </w:r>
          </w:p>
        </w:tc>
        <w:tc>
          <w:tcPr>
            <w:tcW w:type="dxa" w:w="1778"/>
            <w:tcMar>
              <w:left w:type="dxa" w:w="80"/>
              <w:right w:type="dxa" w:w="80"/>
            </w:tcMar>
          </w:tcPr>
          <w:p>
            <w:pPr>
              <w:pStyle w:val="Compact"/>
            </w:pPr>
            <w:r>
              <w:rPr>
                <w:lang w:val="en-GB"/>
              </w:rPr>
              <w:t xml:space="preserve">2026-07-24</w:t>
            </w:r>
          </w:p>
        </w:tc>
        <w:tc>
          <w:tcPr>
            <w:tcW w:type="dxa" w:w="6272"/>
            <w:tcMar>
              <w:left w:type="dxa" w:w="80"/>
              <w:right w:type="dxa" w:w="80"/>
            </w:tcMar>
          </w:tcPr>
          <w:p>
            <w:pPr>
              <w:pStyle w:val="Compact"/>
            </w:pPr>
            <w:r>
              <w:rPr>
                <w:lang w:val="en-GB"/>
              </w:rPr>
              <w:t xml:space="preserve">Replacement of the processor entity (OHADJA, publisher established in Paris, replaces AMBASSADIA SARL, now a commercial reseller/distributor); update to the production URL (client.transcribia.eu), subprocessors (primary AI path on EU vLLM servers controlled by OHADJA, OpenRouter fallback, Scaleway backups) and location (administration and support exclusively from France/the EU). Draft to be reviewed by legal counsel before signature.</w:t>
            </w:r>
          </w:p>
        </w:tc>
      </w:tr>
    </w:tbl>
    <w:bookmarkEnd w:id="9"/>
    <w:bookmarkStart w:id="11" w:name="X8dc6cc9f59c22f3e6d209c81e77fec2d0b2e226"/>
    <w:p>
      <w:pPr>
        <w:pStyle w:val="Heading2"/>
        <w:keepNext/>
        <w:keepLines/>
      </w:pPr>
      <w:r>
        <w:rPr>
          <w:color w:val="000000"/>
          <w:lang w:val="en-GB"/>
        </w:rPr>
        <w:t xml:space="preserve">1. PREAMBLE AND IDENTIFICATION OF THE PARTIES</w:t>
      </w:r>
    </w:p>
    <w:p>
      <w:pPr>
        <w:pStyle w:val="FirstParagraph"/>
      </w:pPr>
      <w:r>
        <w:rPr>
          <w:lang w:val="en-GB"/>
        </w:rPr>
        <w:t xml:space="preserve">This GDPR Data Processing Agreement, version 1.1-draft dated 2026-07-24 (see the version history above), is concluded between the Customer, acting as controller under the GDPR, and OHADJA, acting as processor for operation of the TranscribIA solution.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Party</w:t>
            </w:r>
          </w:p>
        </w:tc>
        <w:tc>
          <w:tcPr/>
          <w:p>
            <w:pPr>
              <w:pStyle w:val="Compact"/>
            </w:pPr>
            <w:r>
              <w:rPr>
                <w:lang w:val="en-GB"/>
              </w:rPr>
              <w:t xml:space="preserve">Identification</w:t>
            </w:r>
          </w:p>
        </w:tc>
      </w:tr>
      <w:tr>
        <w:trPr>
          <w:cantSplit/>
        </w:trPr>
        <w:tc>
          <w:tcPr/>
          <w:p>
            <w:pPr>
              <w:pStyle w:val="Compact"/>
            </w:pPr>
            <w:r>
              <w:rPr>
                <w:lang w:val="en-GB"/>
              </w:rPr>
              <w:t xml:space="preserve">Customer / Controller</w:t>
            </w:r>
          </w:p>
        </w:tc>
        <w:tc>
          <w:tcPr/>
          <w:p>
            <w:pPr>
              <w:pStyle w:val="Compact"/>
            </w:pPr>
            <w:r>
              <w:rPr>
                <w:lang w:val="en-GB"/>
              </w:rPr>
              <w:t xml:space="preserve">[company name to be completed by the customer]</w:t>
            </w:r>
          </w:p>
        </w:tc>
      </w:tr>
      <w:tr>
        <w:trPr>
          <w:cantSplit/>
        </w:trPr>
        <w:tc>
          <w:tcPr/>
          <w:p>
            <w:pPr>
              <w:pStyle w:val="Compact"/>
            </w:pPr>
            <w:r>
              <w:rPr>
                <w:lang w:val="en-GB"/>
              </w:rPr>
              <w:t xml:space="preserve">Legal form</w:t>
            </w:r>
          </w:p>
        </w:tc>
        <w:tc>
          <w:tcPr/>
          <w:p>
            <w:pPr>
              <w:pStyle w:val="Compact"/>
            </w:pPr>
            <w:r>
              <w:rPr>
                <w:lang w:val="en-GB"/>
              </w:rPr>
              <w:t xml:space="preserve">[to be completed by the customer]</w:t>
            </w:r>
          </w:p>
        </w:tc>
      </w:tr>
      <w:tr>
        <w:trPr>
          <w:cantSplit/>
        </w:trPr>
        <w:tc>
          <w:tcPr/>
          <w:p>
            <w:pPr>
              <w:pStyle w:val="Compact"/>
            </w:pPr>
            <w:r>
              <w:rPr>
                <w:lang w:val="en-GB"/>
              </w:rPr>
              <w:t xml:space="preserve">Share capital</w:t>
            </w:r>
          </w:p>
        </w:tc>
        <w:tc>
          <w:tcPr/>
          <w:p>
            <w:pPr>
              <w:pStyle w:val="Compact"/>
            </w:pPr>
            <w:r>
              <w:rPr>
                <w:lang w:val="en-GB"/>
              </w:rPr>
              <w:t xml:space="preserve">[to be completed by the customer]</w:t>
            </w:r>
          </w:p>
        </w:tc>
      </w:tr>
      <w:tr>
        <w:trPr>
          <w:cantSplit/>
        </w:trPr>
        <w:tc>
          <w:tcPr/>
          <w:p>
            <w:pPr>
              <w:pStyle w:val="Compact"/>
            </w:pPr>
            <w:r>
              <w:rPr>
                <w:lang w:val="en-GB"/>
              </w:rPr>
              <w:t xml:space="preserve">Registration</w:t>
            </w:r>
          </w:p>
        </w:tc>
        <w:tc>
          <w:tcPr/>
          <w:p>
            <w:pPr>
              <w:pStyle w:val="Compact"/>
            </w:pPr>
            <w:r>
              <w:rPr>
                <w:lang w:val="en-GB"/>
              </w:rPr>
              <w:t xml:space="preserve">[to be completed by the customer]</w:t>
            </w:r>
          </w:p>
        </w:tc>
      </w:tr>
      <w:tr>
        <w:trPr>
          <w:cantSplit/>
        </w:trPr>
        <w:tc>
          <w:tcPr/>
          <w:p>
            <w:pPr>
              <w:pStyle w:val="Compact"/>
            </w:pPr>
            <w:r>
              <w:rPr>
                <w:lang w:val="en-GB"/>
              </w:rPr>
              <w:t xml:space="preserve">Head office</w:t>
            </w:r>
          </w:p>
        </w:tc>
        <w:tc>
          <w:tcPr/>
          <w:p>
            <w:pPr>
              <w:pStyle w:val="Compact"/>
            </w:pPr>
            <w:r>
              <w:rPr>
                <w:lang w:val="en-GB"/>
              </w:rPr>
              <w:t xml:space="preserve">[to be completed by the customer]</w:t>
            </w:r>
          </w:p>
        </w:tc>
      </w:tr>
      <w:tr>
        <w:trPr>
          <w:cantSplit/>
        </w:trPr>
        <w:tc>
          <w:tcPr/>
          <w:p>
            <w:pPr>
              <w:pStyle w:val="Compact"/>
            </w:pPr>
            <w:r>
              <w:rPr>
                <w:lang w:val="en-GB"/>
              </w:rPr>
              <w:t xml:space="preserve">Legal representative</w:t>
            </w:r>
          </w:p>
        </w:tc>
        <w:tc>
          <w:tcPr/>
          <w:p>
            <w:pPr>
              <w:pStyle w:val="Compact"/>
            </w:pPr>
            <w:r>
              <w:rPr>
                <w:lang w:val="en-GB"/>
              </w:rPr>
              <w:t xml:space="preserve">[name, quality to be completed by the customer]</w:t>
            </w:r>
          </w:p>
        </w:tc>
      </w:tr>
      <w:tr>
        <w:trPr>
          <w:cantSplit/>
        </w:trPr>
        <w:tc>
          <w:tcPr/>
          <w:p>
            <w:pPr>
              <w:pStyle w:val="Compact"/>
            </w:pPr>
            <w:r>
              <w:rPr>
                <w:lang w:val="en-GB"/>
              </w:rPr>
              <w:t xml:space="preserve">Contact GDPR / DPO</w:t>
            </w:r>
          </w:p>
        </w:tc>
        <w:tc>
          <w:tcPr/>
          <w:p>
            <w:pPr>
              <w:pStyle w:val="Compact"/>
            </w:pPr>
            <w:r>
              <w:rPr>
                <w:lang w:val="en-GB"/>
              </w:rPr>
              <w:t xml:space="preserve">[email to be completed by the customer]</w:t>
            </w:r>
          </w:p>
        </w:tc>
      </w:tr>
      <w:tr>
        <w:trPr>
          <w:cantSplit/>
        </w:trPr>
        <w:tc>
          <w:tcPr/>
          <w:p>
            <w:pPr>
              <w:pStyle w:val="Compact"/>
            </w:pPr>
            <w:r>
              <w:rPr>
                <w:lang w:val="en-GB"/>
              </w:rPr>
              <w:t xml:space="preserve">Processor</w:t>
            </w:r>
          </w:p>
        </w:tc>
        <w:tc>
          <w:tcPr/>
          <w:p>
            <w:pPr>
              <w:pStyle w:val="Compact"/>
            </w:pPr>
            <w:r>
              <w:rPr>
                <w:lang w:val="en-GB"/>
              </w:rPr>
              <w:t xml:space="preserve">OHADJA</w:t>
            </w:r>
          </w:p>
        </w:tc>
      </w:tr>
      <w:tr>
        <w:trPr>
          <w:cantSplit/>
        </w:trPr>
        <w:tc>
          <w:tcPr/>
          <w:p>
            <w:pPr>
              <w:pStyle w:val="Compact"/>
            </w:pPr>
            <w:r>
              <w:rPr>
                <w:lang w:val="en-GB"/>
              </w:rPr>
              <w:t xml:space="preserve">Legal form</w:t>
            </w:r>
          </w:p>
        </w:tc>
        <w:tc>
          <w:tcPr/>
          <w:p>
            <w:pPr>
              <w:pStyle w:val="Compact"/>
            </w:pPr>
            <w:r>
              <w:rPr>
                <w:lang w:val="en-GB"/>
              </w:rPr>
              <w:t xml:space="preserve">French simplified joint-stock company (société par actions simplifiée, SAS)</w:t>
            </w:r>
          </w:p>
        </w:tc>
      </w:tr>
      <w:tr>
        <w:trPr>
          <w:cantSplit/>
        </w:trPr>
        <w:tc>
          <w:tcPr/>
          <w:p>
            <w:pPr>
              <w:pStyle w:val="Compact"/>
            </w:pPr>
            <w:r>
              <w:rPr>
                <w:lang w:val="en-GB"/>
              </w:rPr>
              <w:t xml:space="preserve">Intracommunity VAT number</w:t>
            </w:r>
          </w:p>
        </w:tc>
        <w:tc>
          <w:tcPr/>
          <w:p>
            <w:pPr>
              <w:pStyle w:val="Compact"/>
            </w:pPr>
            <w:r>
              <w:rPr>
                <w:lang w:val="en-GB"/>
              </w:rPr>
              <w:t xml:space="preserve">FR78992146480</w:t>
            </w:r>
          </w:p>
        </w:tc>
      </w:tr>
      <w:tr>
        <w:trPr>
          <w:cantSplit/>
        </w:trPr>
        <w:tc>
          <w:tcPr/>
          <w:p>
            <w:pPr>
              <w:pStyle w:val="Compact"/>
            </w:pPr>
            <w:r>
              <w:rPr>
                <w:lang w:val="en-GB"/>
              </w:rPr>
              <w:t xml:space="preserve">Registration</w:t>
            </w:r>
          </w:p>
        </w:tc>
        <w:tc>
          <w:tcPr/>
          <w:p>
            <w:pPr>
              <w:pStyle w:val="Compact"/>
            </w:pPr>
            <w:r>
              <w:rPr>
                <w:lang w:val="en-GB"/>
              </w:rPr>
              <w:t xml:space="preserve">992 146 480 R.C.S. Paris — SIRET of the headquarters: 992 146 480 00015</w:t>
            </w:r>
          </w:p>
        </w:tc>
      </w:tr>
      <w:tr>
        <w:trPr>
          <w:cantSplit/>
        </w:trPr>
        <w:tc>
          <w:tcPr/>
          <w:p>
            <w:pPr>
              <w:pStyle w:val="Compact"/>
            </w:pPr>
            <w:r>
              <w:rPr>
                <w:lang w:val="en-GB"/>
              </w:rPr>
              <w:t xml:space="preserve">Head office</w:t>
            </w:r>
          </w:p>
        </w:tc>
        <w:tc>
          <w:tcPr/>
          <w:p>
            <w:pPr>
              <w:pStyle w:val="Compact"/>
            </w:pPr>
            <w:r>
              <w:rPr>
                <w:lang w:val="en-GB"/>
              </w:rPr>
              <w:t xml:space="preserve">60 rue François 1er, 75008 Paris, France</w:t>
            </w:r>
          </w:p>
        </w:tc>
      </w:tr>
      <w:tr>
        <w:trPr>
          <w:cantSplit/>
        </w:trPr>
        <w:tc>
          <w:tcPr/>
          <w:p>
            <w:pPr>
              <w:pStyle w:val="Compact"/>
            </w:pPr>
            <w:r>
              <w:rPr>
                <w:lang w:val="en-GB"/>
              </w:rPr>
              <w:t xml:space="preserve">Legal representative</w:t>
            </w:r>
          </w:p>
        </w:tc>
        <w:tc>
          <w:tcPr/>
          <w:p>
            <w:pPr>
              <w:pStyle w:val="Compact"/>
            </w:pPr>
            <w:r>
              <w:rPr>
                <w:lang w:val="en-GB"/>
              </w:rPr>
              <w:t xml:space="preserve">Olivier Dupont, President</w:t>
            </w:r>
          </w:p>
        </w:tc>
      </w:tr>
      <w:tr>
        <w:trPr>
          <w:cantSplit/>
        </w:trPr>
        <w:tc>
          <w:tcPr/>
          <w:p>
            <w:pPr>
              <w:pStyle w:val="Compact"/>
            </w:pPr>
            <w:r>
              <w:rPr>
                <w:lang w:val="en-GB"/>
              </w:rPr>
              <w:t xml:space="preserve">Contact GDPR / DPO</w:t>
            </w:r>
          </w:p>
        </w:tc>
        <w:tc>
          <w:tcPr/>
          <w:p>
            <w:pPr>
              <w:pStyle w:val="Compact"/>
            </w:pPr>
            <w:hyperlink r:id="rId10">
              <w:r>
                <w:rPr>
                  <w:rStyle w:val="Hyperlink"/>
                  <w:lang w:val="en-GB"/>
                </w:rPr>
                <w:t xml:space="preserve">privacy@transcribia.eu</w:t>
              </w:r>
            </w:hyperlink>
          </w:p>
        </w:tc>
      </w:tr>
      <w:tr>
        <w:trPr>
          <w:cantSplit/>
        </w:trPr>
        <w:tc>
          <w:tcPr/>
          <w:p>
            <w:pPr>
              <w:pStyle w:val="Compact"/>
            </w:pPr>
            <w:r>
              <w:rPr>
                <w:lang w:val="en-GB"/>
              </w:rPr>
              <w:t xml:space="preserve">Department concerned</w:t>
            </w:r>
          </w:p>
        </w:tc>
        <w:tc>
          <w:tcPr/>
          <w:p>
            <w:pPr>
              <w:pStyle w:val="Compact"/>
            </w:pPr>
            <w:r>
              <w:rPr>
                <w:lang w:val="en-GB"/>
              </w:rPr>
              <w:t xml:space="preserve">TranscribIA, SaaS solution and/or on-premise Docker deployment for audio transcription, exploitation of transcriptions, AI assistance and speaker identification suggestion</w:t>
            </w:r>
          </w:p>
        </w:tc>
      </w:tr>
      <w:tr>
        <w:trPr>
          <w:cantSplit/>
        </w:trPr>
        <w:tc>
          <w:tcPr/>
          <w:p>
            <w:pPr>
              <w:pStyle w:val="Compact"/>
            </w:pPr>
            <w:r>
              <w:rPr>
                <w:lang w:val="en-GB"/>
              </w:rPr>
              <w:t xml:space="preserve">Version of the Agreement</w:t>
            </w:r>
          </w:p>
        </w:tc>
        <w:tc>
          <w:tcPr/>
          <w:p>
            <w:pPr>
              <w:pStyle w:val="Compact"/>
            </w:pPr>
            <w:r>
              <w:rPr>
                <w:lang w:val="en-GB"/>
              </w:rPr>
              <w:t xml:space="preserve">1.1-draft — 2026-07-24</w:t>
            </w:r>
          </w:p>
        </w:tc>
      </w:tr>
      <w:tr>
        <w:trPr>
          <w:cantSplit/>
        </w:trPr>
        <w:tc>
          <w:tcPr/>
          <w:p>
            <w:pPr>
              <w:pStyle w:val="Compact"/>
            </w:pPr>
            <w:r>
              <w:rPr>
                <w:lang w:val="en-GB"/>
              </w:rPr>
              <w:t xml:space="preserve">Effective date</w:t>
            </w:r>
          </w:p>
        </w:tc>
        <w:tc>
          <w:tcPr/>
          <w:p>
            <w:pPr>
              <w:pStyle w:val="Compact"/>
            </w:pPr>
            <w:r>
              <w:rPr>
                <w:lang w:val="en-GB"/>
              </w:rPr>
              <w:t xml:space="preserve">[date to be completed]</w:t>
            </w:r>
          </w:p>
        </w:tc>
      </w:tr>
    </w:tbl>
    <w:p>
      <w:pPr>
        <w:pStyle w:val="BodyText"/>
      </w:pPr>
      <w:r>
        <w:rPr>
          <w:lang w:val="en-GB"/>
        </w:rPr>
        <w:t xml:space="preserve">The Parties agree that the Client determines the purposes and essential means of the processing carried out using the Service. OHADJA processes Personal data solely on behalf of Customer, subject to the Master Agreement, this Agreement and Customer’s documented instructions.</w:t>
      </w:r>
    </w:p>
    <w:bookmarkEnd w:id="11"/>
    <w:bookmarkStart w:id="13" w:name="X0e1a19f325594220583e00426b84baa7865d939"/>
    <w:p>
      <w:pPr>
        <w:pStyle w:val="Heading2"/>
        <w:keepNext/>
        <w:keepLines/>
      </w:pPr>
      <w:r>
        <w:rPr>
          <w:color w:val="000000"/>
          <w:lang w:val="en-GB"/>
        </w:rPr>
        <w:t xml:space="preserve">2. DEFINITIONS</w:t>
      </w:r>
    </w:p>
    <w:p>
      <w:pPr>
        <w:pStyle w:val="FirstParagraph"/>
      </w:pPr>
      <w:r>
        <w:rPr>
          <w:lang w:val="en-GB"/>
        </w:rPr>
        <w:t xml:space="preserve">“Application” or “Service” refers to the TranscribIA solution, accessible in particular at the address </w:t>
      </w:r>
      <w:r>
        <w:rPr>
          <w:lang w:val="en-GB"/>
        </w:rPr>
        <w:t xml:space="preserve"/>
      </w:r>
      <w:r>
        <w:rPr>
          <w:rStyle w:val="VerbatimChar"/>
          <w:lang w:val="en-GB"/>
        </w:rPr>
        <w:t xml:space="preserve">https://client.transcribia.eu</w:t>
      </w:r>
      <w:r>
        <w:rPr>
          <w:lang w:val="en-GB"/>
        </w:rPr>
        <w:t xml:space="preserve"> </w:t>
      </w:r>
      <w:r>
        <w:rPr>
          <w:lang w:val="en-GB"/>
        </w:rPr>
        <w:t xml:space="preserve">in SaaS mode, as well as its application components, API, administration interfaces, transcription processing, AI processing, voice correlation functionalities, exports, audit logs and, where applicable, its on-premise Docker deployment.</w:t>
      </w:r>
    </w:p>
    <w:p>
      <w:pPr>
        <w:pStyle w:val="BodyText"/>
      </w:pPr>
      <w:r>
        <w:rPr>
          <w:lang w:val="en-GB"/>
        </w:rPr>
        <w:t xml:space="preserve">“Personal data” means any information relating to an identified or identifiable natural person, within the meaning of article 4.1 of GDPR.</w:t>
      </w:r>
    </w:p>
    <w:p>
      <w:pPr>
        <w:pStyle w:val="BodyText"/>
      </w:pPr>
      <w:r>
        <w:rPr>
          <w:lang w:val="en-GB"/>
        </w:rPr>
        <w:t xml:space="preserve">“Security Incident” means any event compromising or likely to compromise the confidentiality, integrity, availability or resilience of systems or Data, including any violation of Personal data within the meaning of article 4.12 of GDPR.</w:t>
      </w:r>
    </w:p>
    <w:p>
      <w:pPr>
        <w:pStyle w:val="BodyText"/>
      </w:pPr>
      <w:r>
        <w:rPr>
          <w:lang w:val="en-GB"/>
        </w:rPr>
        <w:t xml:space="preserve">“MTOs” designates the technical and organizational measures implemented to ensure a level of security adapted to the risk, in particular in accordance with article 32 of GDPR.</w:t>
      </w:r>
    </w:p>
    <w:p>
      <w:pPr>
        <w:pStyle w:val="BodyText"/>
      </w:pPr>
      <w:r>
        <w:rPr>
          <w:lang w:val="en-GB"/>
        </w:rPr>
        <w:t xml:space="preserve">“Data Subject” means any natural person whose Personal data data is processed as part of the Service, in particular the Client's users, recorded speakers, meeting participants, persons mentioned in transcriptions, documents or metadata.</w:t>
      </w:r>
    </w:p>
    <w:p>
      <w:pPr>
        <w:pStyle w:val="BodyText"/>
      </w:pPr>
      <w:r>
        <w:rPr>
          <w:lang w:val="en-GB"/>
        </w:rPr>
        <w:t xml:space="preserve">“Controller” means the legal entity or body that determines the purposes and means of Processing, within the meaning of GDPR Article 4(7). Under this Agreement, the Customer acts in that capacity.</w:t>
      </w:r>
    </w:p>
    <w:p>
      <w:pPr>
        <w:pStyle w:val="BodyText"/>
      </w:pPr>
      <w:r>
        <w:rPr>
          <w:lang w:val="en-GB"/>
        </w:rPr>
        <w:t xml:space="preserve">“GDPR” means Regulation (EU) 2016/679 of April 27, 2016, in particular its articles 28, 32, 33, 34, 35 and 36, the official text of which is published by the CNIL at the following address: </w:t>
      </w:r>
      <w:r>
        <w:rPr>
          <w:lang w:val="en-GB"/>
        </w:rPr>
        <w:t xml:space="preserve"/>
      </w:r>
      <w:hyperlink r:id="rId12">
        <w:r>
          <w:rPr>
            <w:rStyle w:val="Hyperlink"/>
            <w:lang w:val="en-GB"/>
          </w:rPr>
          <w:t xml:space="preserve">https://www.cnil.fr/fr/reglement-europeen-protection-donnees/chapitre4</w:t>
        </w:r>
      </w:hyperlink>
      <w:r>
        <w:rPr>
          <w:lang w:val="en-GB"/>
        </w:rPr>
        <w:t xml:space="preserve">.</w:t>
      </w:r>
    </w:p>
    <w:p>
      <w:pPr>
        <w:pStyle w:val="BodyText"/>
      </w:pPr>
      <w:r>
        <w:rPr>
          <w:lang w:val="en-GB"/>
        </w:rPr>
        <w:t xml:space="preserve">“Processor” means the legal entity that processes Personal Data on behalf of the Controller, within the meaning of GDPR Article 4(8). Under this Agreement, OHADJA acts in that capacity.</w:t>
      </w:r>
    </w:p>
    <w:p>
      <w:pPr>
        <w:pStyle w:val="BodyText"/>
      </w:pPr>
      <w:r>
        <w:rPr>
          <w:lang w:val="en-GB"/>
        </w:rPr>
        <w:t xml:space="preserve">“Subprocessor” means any provider engaged by OHADJA to carry out specific processing activities on the Customer’s behalf, under GDPR Articles 28(2) and 28(4).</w:t>
      </w:r>
    </w:p>
    <w:p>
      <w:pPr>
        <w:pStyle w:val="BodyText"/>
      </w:pPr>
      <w:r>
        <w:rPr>
          <w:lang w:val="en-GB"/>
        </w:rPr>
        <w:t xml:space="preserve">“Processing” means any operation or set of operations carried out or not using automated processes and applied to Personal data, within the meaning of article 4.2 of GDPR.</w:t>
      </w:r>
    </w:p>
    <w:bookmarkEnd w:id="13"/>
    <w:bookmarkStart w:id="14" w:name="Xc17c9d865baca38989ae11d25b8e8a34111b524"/>
    <w:p>
      <w:pPr>
        <w:pStyle w:val="Heading2"/>
        <w:keepNext/>
        <w:keepLines/>
      </w:pPr>
      <w:r>
        <w:rPr>
          <w:color w:val="000000"/>
          <w:lang w:val="en-GB"/>
        </w:rPr>
        <w:t xml:space="preserve">3. PURPOSE AND CONTRACTUAL HIERARCHY</w:t>
      </w:r>
    </w:p>
    <w:p>
      <w:pPr>
        <w:pStyle w:val="FirstParagraph"/>
      </w:pPr>
      <w:r>
        <w:rPr>
          <w:lang w:val="en-GB"/>
        </w:rPr>
        <w:t xml:space="preserve">The purpose of this Agreement is to define the conditions under which OHADJA processes Personal data on behalf of the Customer within the framework of the TranscribIA Service, in accordance with article 28 of GDPR.</w:t>
      </w:r>
    </w:p>
    <w:p>
      <w:pPr>
        <w:pStyle w:val="BodyText"/>
      </w:pPr>
      <w:r>
        <w:rPr>
          <w:lang w:val="en-GB"/>
        </w:rPr>
        <w:t xml:space="preserve">This Agreement supplements the main contract, the special conditions, purchase orders, accepted quotes, general conditions of service, technical annexes and any other contractual document governing the provision of the Service to the Customer.</w:t>
      </w:r>
    </w:p>
    <w:p>
      <w:pPr>
        <w:pStyle w:val="BodyText"/>
      </w:pPr>
      <w:r>
        <w:rPr>
          <w:lang w:val="en-GB"/>
        </w:rPr>
        <w:t xml:space="preserve">In the event of any contradiction between this Agreement and the Main Contract regarding the protection of Personal data, the security of processing, the Client's instructions, Subprocessors, international transfers, restitution or deletion of Data, the provisions of this Agreement shall prevail.</w:t>
      </w:r>
    </w:p>
    <w:p>
      <w:pPr>
        <w:pStyle w:val="BodyText"/>
      </w:pPr>
      <w:r>
        <w:rPr>
          <w:lang w:val="en-GB"/>
        </w:rPr>
        <w:t xml:space="preserve">This Agreement does not confer controller status on OHADJA for processing performed on the Customer’s behalf. The Customer remains responsible for the lawfulness of processing, determining its purposes and lawful basis, informing Data Subjects, managing rights and, where applicable, conducting a data protection impact assessment under GDPR Article 35.</w:t>
      </w:r>
    </w:p>
    <w:bookmarkEnd w:id="14"/>
    <w:bookmarkStart w:id="15" w:name="X4deae1a1998fbf12bc78ab23704a7b9750f2830"/>
    <w:p>
      <w:pPr>
        <w:pStyle w:val="Heading2"/>
        <w:keepNext/>
        <w:keepLines/>
      </w:pPr>
      <w:r>
        <w:rPr>
          <w:color w:val="000000"/>
          <w:lang w:val="en-GB"/>
        </w:rPr>
        <w:t xml:space="preserve">4. DESCRIPTION OF THE TREATMENT</w:t>
      </w:r>
    </w:p>
    <w:p>
      <w:pPr>
        <w:pStyle w:val="FirstParagraph"/>
      </w:pPr>
      <w:r>
        <w:rPr>
          <w:lang w:val="en-GB"/>
        </w:rPr>
        <w:t xml:space="preserve">The detailed characteristics of the Processing, including its object, its duration, its nature, its purposes, the categories of Data processed, the categories of Persons concerned, the retention periods and the guarantees specific to the voice correlation functionality, appear in Appendix 1.</w:t>
      </w:r>
    </w:p>
    <w:p>
      <w:pPr>
        <w:pStyle w:val="BodyText"/>
      </w:pPr>
      <w:r>
        <w:rPr>
          <w:lang w:val="en-GB"/>
        </w:rPr>
        <w:t xml:space="preserve">The Service is provided according to one of the following options, to be checked by the Parties:</w:t>
      </w:r>
    </w:p>
    <w:tbl>
      <w:tblPr>
        <w:tblStyle w:val="Table"/>
        <w:tblW w:type="dxa" w:w="9360"/>
        <w:tblLook w:firstRow="1" w:lastRow="0" w:firstColumn="0" w:lastColumn="0" w:noHBand="0" w:noVBand="0" w:val="0020"/>
        <w:tblLayout w:type="fixed"/>
      </w:tblPr>
      <w:tblGrid>
        <w:gridCol w:w="1498"/>
        <w:gridCol w:w="6926"/>
        <w:gridCol w:w="936"/>
      </w:tblGrid>
      <w:tr>
        <w:trPr>
          <w:tblHeader w:val="on"/>
          <w:cantSplit/>
        </w:trPr>
        <w:tc>
          <w:tcPr>
            <w:tcW w:type="dxa" w:w="1498"/>
            <w:tcMar>
              <w:left w:type="dxa" w:w="80"/>
              <w:right w:type="dxa" w:w="80"/>
            </w:tcMar>
          </w:tcPr>
          <w:p>
            <w:pPr>
              <w:pStyle w:val="Compact"/>
            </w:pPr>
            <w:r>
              <w:rPr>
                <w:lang w:val="en-GB"/>
              </w:rPr>
              <w:t xml:space="preserve">Options</w:t>
            </w:r>
          </w:p>
        </w:tc>
        <w:tc>
          <w:tcPr>
            <w:tcW w:type="dxa" w:w="6926"/>
            <w:tcMar>
              <w:left w:type="dxa" w:w="80"/>
              <w:right w:type="dxa" w:w="80"/>
            </w:tcMar>
          </w:tcPr>
          <w:p>
            <w:pPr>
              <w:pStyle w:val="Compact"/>
            </w:pPr>
            <w:r>
              <w:rPr>
                <w:lang w:val="en-GB"/>
              </w:rPr>
              <w:t xml:space="preserve">Mode of supply</w:t>
            </w:r>
          </w:p>
        </w:tc>
        <w:tc>
          <w:tcPr>
            <w:tcW w:type="dxa" w:w="936"/>
            <w:tcMar>
              <w:left w:type="dxa" w:w="80"/>
              <w:right w:type="dxa" w:w="80"/>
            </w:tcMar>
          </w:tcPr>
          <w:p>
            <w:pPr>
              <w:pStyle w:val="Compact"/>
            </w:pPr>
            <w:r>
              <w:rPr>
                <w:lang w:val="en-GB"/>
              </w:rPr>
              <w:t xml:space="preserve">Choice</w:t>
            </w:r>
          </w:p>
        </w:tc>
      </w:tr>
      <w:tr>
        <w:trPr>
          <w:cantSplit/>
        </w:trPr>
        <w:tc>
          <w:tcPr>
            <w:tcW w:type="dxa" w:w="1498"/>
            <w:tcMar>
              <w:left w:type="dxa" w:w="80"/>
              <w:right w:type="dxa" w:w="80"/>
            </w:tcMar>
          </w:tcPr>
          <w:p>
            <w:pPr>
              <w:pStyle w:val="Compact"/>
            </w:pPr>
            <w:r>
              <w:rPr>
                <w:lang w:val="en-GB"/>
              </w:rPr>
              <w:t xml:space="preserve">Option A</w:t>
            </w:r>
          </w:p>
        </w:tc>
        <w:tc>
          <w:tcPr>
            <w:tcW w:type="dxa" w:w="6926"/>
            <w:tcMar>
              <w:left w:type="dxa" w:w="80"/>
              <w:right w:type="dxa" w:w="80"/>
            </w:tcMar>
          </w:tcPr>
          <w:p>
            <w:pPr>
              <w:pStyle w:val="Compact"/>
            </w:pPr>
            <w:r>
              <w:rPr>
                <w:lang w:val="en-GB"/>
              </w:rPr>
              <w:t xml:space="preserve">SaaS TranscribIA hosted and operated by OHADJA, with hosting in France or the European Union</w:t>
            </w:r>
          </w:p>
        </w:tc>
        <w:tc>
          <w:tcPr>
            <w:tcW w:type="dxa" w:w="936"/>
            <w:tcMar>
              <w:left w:type="dxa" w:w="80"/>
              <w:right w:type="dxa" w:w="80"/>
            </w:tcMar>
          </w:tcPr>
          <w:p>
            <w:pPr>
              <w:pStyle w:val="Compact"/>
            </w:pPr>
            <w:r>
              <w:rPr>
                <w:lang w:val="en-GB"/>
              </w:rPr>
              <w:t xml:space="preserve">[ ]</w:t>
            </w:r>
          </w:p>
        </w:tc>
      </w:tr>
      <w:tr>
        <w:trPr>
          <w:cantSplit/>
        </w:trPr>
        <w:tc>
          <w:tcPr>
            <w:tcW w:type="dxa" w:w="1498"/>
            <w:tcMar>
              <w:left w:type="dxa" w:w="80"/>
              <w:right w:type="dxa" w:w="80"/>
            </w:tcMar>
          </w:tcPr>
          <w:p>
            <w:pPr>
              <w:pStyle w:val="Compact"/>
            </w:pPr>
            <w:r>
              <w:rPr>
                <w:lang w:val="en-GB"/>
              </w:rPr>
              <w:t xml:space="preserve">Option B</w:t>
            </w:r>
          </w:p>
        </w:tc>
        <w:tc>
          <w:tcPr>
            <w:tcW w:type="dxa" w:w="6926"/>
            <w:tcMar>
              <w:left w:type="dxa" w:w="80"/>
              <w:right w:type="dxa" w:w="80"/>
            </w:tcMar>
          </w:tcPr>
          <w:p>
            <w:pPr>
              <w:pStyle w:val="Compact"/>
            </w:pPr>
            <w:r>
              <w:rPr>
                <w:lang w:val="en-GB"/>
              </w:rPr>
              <w:t xml:space="preserve">On-premise Docker deployment at the Customer or in the infrastructure designated by the Customer</w:t>
            </w:r>
          </w:p>
        </w:tc>
        <w:tc>
          <w:tcPr>
            <w:tcW w:type="dxa" w:w="936"/>
            <w:tcMar>
              <w:left w:type="dxa" w:w="80"/>
              <w:right w:type="dxa" w:w="80"/>
            </w:tcMar>
          </w:tcPr>
          <w:p>
            <w:pPr>
              <w:pStyle w:val="Compact"/>
            </w:pPr>
            <w:r>
              <w:rPr>
                <w:lang w:val="en-GB"/>
              </w:rPr>
              <w:t xml:space="preserve">[ ]</w:t>
            </w:r>
          </w:p>
        </w:tc>
      </w:tr>
    </w:tbl>
    <w:p>
      <w:pPr>
        <w:pStyle w:val="BodyText"/>
      </w:pPr>
      <w:r>
        <w:rPr>
          <w:lang w:val="en-GB"/>
        </w:rPr>
        <w:t xml:space="preserve">In Option A, OHADJA ensures application operation, hosting, maintenance, supervision, technical backups, updates and operational security of the Service, within the limits of the Main Contract and the MTOs described in Appendix 3.</w:t>
      </w:r>
    </w:p>
    <w:p>
      <w:pPr>
        <w:pStyle w:val="BodyText"/>
      </w:pPr>
      <w:r>
        <w:rPr>
          <w:lang w:val="en-GB"/>
        </w:rPr>
        <w:t xml:space="preserve">In Option B, the Customer provides hosting, infrastructure administration, network security, backup, supervision and system access to its environment, unless otherwise stipulated. OHADJA remains Processor for the operations that it actually carries out on behalf of the Client, in particular support, maintenance, authorized remote access, application updates, technical assistance, AI processing or external transcription activated by the Client.</w:t>
      </w:r>
    </w:p>
    <w:bookmarkEnd w:id="15"/>
    <w:bookmarkStart w:id="24" w:name="X6fbe77c1f2ceb9b8fe7ce4f91ca5eec1189f452"/>
    <w:p>
      <w:pPr>
        <w:pStyle w:val="Heading2"/>
        <w:keepNext/>
        <w:keepLines/>
      </w:pPr>
      <w:r>
        <w:rPr>
          <w:color w:val="000000"/>
          <w:lang w:val="en-GB"/>
        </w:rPr>
        <w:t xml:space="preserve">5. OBLIGATIONS OF Processor</w:t>
      </w:r>
    </w:p>
    <w:bookmarkStart w:id="16" w:name="X85011d02b5293815d8a137ad98420bb0d38d2c8"/>
    <w:p>
      <w:pPr>
        <w:pStyle w:val="Heading3"/>
        <w:keepNext/>
        <w:keepLines/>
      </w:pPr>
      <w:r>
        <w:rPr>
          <w:color w:val="000000"/>
          <w:lang w:val="en-GB"/>
        </w:rPr>
        <w:t xml:space="preserve">5.1 DOCUMENTED CUSTOMER INSTRUCTIONS — ARTICLE 28.3.A GDPR</w:t>
      </w:r>
    </w:p>
    <w:p>
      <w:pPr>
        <w:pStyle w:val="FirstParagraph"/>
      </w:pPr>
      <w:r>
        <w:rPr>
          <w:lang w:val="en-GB"/>
        </w:rPr>
        <w:t xml:space="preserve">OHADJA only processes Personal data on the documented instructions of the Client, including with regard to transfers of Data to a third country or an international organization.</w:t>
      </w:r>
    </w:p>
    <w:p>
      <w:pPr>
        <w:pStyle w:val="BodyText"/>
      </w:pPr>
      <w:r>
        <w:rPr>
          <w:lang w:val="en-GB"/>
        </w:rPr>
        <w:t xml:space="preserve">The documented instructions include the Main Contract, this Agreement, the settings made by the Customer in the Application, the written requests addressed to support, the technical configurations validated by the Customer and the additional instructions formalized in writing.</w:t>
      </w:r>
    </w:p>
    <w:p>
      <w:pPr>
        <w:pStyle w:val="BodyText"/>
      </w:pPr>
      <w:r>
        <w:rPr>
          <w:lang w:val="en-GB"/>
        </w:rPr>
        <w:t xml:space="preserve">OHADJA shall inform the Client without delay if it considers that an instruction constitutes a violation of GDPR or another applicable provision of Union or French law relating to data protection, in accordance with article 28.3.h of GDPR.</w:t>
      </w:r>
    </w:p>
    <w:p>
      <w:pPr>
        <w:pStyle w:val="BodyText"/>
      </w:pPr>
      <w:r>
        <w:rPr>
          <w:lang w:val="en-GB"/>
        </w:rPr>
        <w:t xml:space="preserve">If OHADJA is required to process Data under Union law or the law of a Member State, it shall inform the Client prior to Processing, unless prohibited by law based on an important reason of public interest.</w:t>
      </w:r>
    </w:p>
    <w:bookmarkEnd w:id="16"/>
    <w:bookmarkStart w:id="17" w:name="X640541e1c00603a23593b291bac8ac454affb4b"/>
    <w:p>
      <w:pPr>
        <w:pStyle w:val="Heading3"/>
        <w:keepNext/>
        <w:keepLines/>
      </w:pPr>
      <w:r>
        <w:rPr>
          <w:color w:val="000000"/>
          <w:lang w:val="en-GB"/>
        </w:rPr>
        <w:t xml:space="preserve">5.2 CONFIDENTIALITY — ARTICLE 28.3.B GDPR</w:t>
      </w:r>
    </w:p>
    <w:p>
      <w:pPr>
        <w:pStyle w:val="FirstParagraph"/>
      </w:pPr>
      <w:r>
        <w:rPr>
          <w:lang w:val="en-GB"/>
        </w:rPr>
        <w:t xml:space="preserve">OHADJA ensures that persons authorized to process Personal data undertake to maintain confidentiality or are subject to an appropriate legal obligation of confidentiality.</w:t>
      </w:r>
    </w:p>
    <w:p>
      <w:pPr>
        <w:pStyle w:val="BodyText"/>
      </w:pPr>
      <w:r>
        <w:rPr>
          <w:lang w:val="en-GB"/>
        </w:rPr>
        <w:t xml:space="preserve">Access to the Data is limited to personnel, agents or service providers with a need to know for the execution of the Service, support, maintenance, security or a documented instruction from the Customer.</w:t>
      </w:r>
    </w:p>
    <w:p>
      <w:pPr>
        <w:pStyle w:val="BodyText"/>
      </w:pPr>
      <w:r>
        <w:rPr>
          <w:lang w:val="en-GB"/>
        </w:rPr>
        <w:t xml:space="preserve">The confidentiality undertakings remain applicable after the individuals concerned end their contractual relationship with OHADJA.</w:t>
      </w:r>
    </w:p>
    <w:bookmarkEnd w:id="17"/>
    <w:bookmarkStart w:id="18" w:name="X386434ff447907cb8c97496307d45663c82d3f0"/>
    <w:p>
      <w:pPr>
        <w:pStyle w:val="Heading3"/>
        <w:keepNext/>
        <w:keepLines/>
      </w:pPr>
      <w:r>
        <w:rPr>
          <w:color w:val="000000"/>
          <w:lang w:val="en-GB"/>
        </w:rPr>
        <w:t xml:space="preserve">5.3 SECURITY OF PROCESSING — ARTICLES 28.3.C AND 32 GDPR</w:t>
      </w:r>
    </w:p>
    <w:p>
      <w:pPr>
        <w:pStyle w:val="FirstParagraph"/>
      </w:pPr>
      <w:r>
        <w:rPr>
          <w:lang w:val="en-GB"/>
        </w:rPr>
        <w:t xml:space="preserve">OHADJA implements the MTOs described in Appendix 3 in order to guarantee a level of security adapted to the risk, in accordance with articles 32.1.a, 32.1.b, 32.1.c and 32.1.d of GDPR.</w:t>
      </w:r>
    </w:p>
    <w:p>
      <w:pPr>
        <w:pStyle w:val="BodyText"/>
      </w:pPr>
      <w:r>
        <w:rPr>
          <w:lang w:val="en-GB"/>
        </w:rPr>
        <w:t xml:space="preserve">These MTOs cover in particular encryption in transit, logical isolation of tenants, access management, logging, backups, continuity of service, vulnerability management, security of AI processing and guarantees specific to voice correlation.</w:t>
      </w:r>
    </w:p>
    <w:p>
      <w:pPr>
        <w:pStyle w:val="BodyText"/>
      </w:pPr>
      <w:r>
        <w:rPr>
          <w:lang w:val="en-GB"/>
        </w:rPr>
        <w:t xml:space="preserve">The Client acknowledges that the security of the Processing also depends on its own obligations, in particular the management of its users, the allocation of roles, the protection of identifiers, the choice of uploaded files, the information of the Persons concerned and, in Option B, the security of its infrastructure.</w:t>
      </w:r>
    </w:p>
    <w:bookmarkEnd w:id="18"/>
    <w:bookmarkStart w:id="19" w:name="Xb3486bc07c2cb7b33a0dadd72b9c7237bf29d3f"/>
    <w:p>
      <w:pPr>
        <w:pStyle w:val="Heading3"/>
        <w:keepNext/>
        <w:keepLines/>
      </w:pPr>
      <w:r>
        <w:rPr>
          <w:color w:val="000000"/>
          <w:lang w:val="en-GB"/>
        </w:rPr>
        <w:t xml:space="preserve">5.4 Subprocessors — ARTICLES 28.3.D, 28.2 AND 28.4 GDPR</w:t>
      </w:r>
    </w:p>
    <w:p>
      <w:pPr>
        <w:pStyle w:val="FirstParagraph"/>
      </w:pPr>
      <w:r>
        <w:rPr>
          <w:lang w:val="en-GB"/>
        </w:rPr>
        <w:t xml:space="preserve">OHADJA complies with the conditions provided for in articles 28.2 and 28.4 of GDPR to recruit a Subprocessor.</w:t>
      </w:r>
    </w:p>
    <w:p>
      <w:pPr>
        <w:pStyle w:val="BodyText"/>
      </w:pPr>
      <w:r>
        <w:rPr>
          <w:lang w:val="en-GB"/>
        </w:rPr>
        <w:t xml:space="preserve">OHADJA imposes on any Subprocessor, by contract or equivalent legal act, Data protection obligations at least equivalent to those of this Agreement, in particular with regard to confidentiality, security, assistance, incident notification, restitution, deletion and audit.</w:t>
      </w:r>
    </w:p>
    <w:p>
      <w:pPr>
        <w:pStyle w:val="BodyText"/>
      </w:pPr>
      <w:r>
        <w:rPr>
          <w:lang w:val="en-GB"/>
        </w:rPr>
        <w:t xml:space="preserve">OHADJA remains fully responsible to the Client for the execution by Subprocessors of their obligations relating to Data protection.</w:t>
      </w:r>
    </w:p>
    <w:bookmarkEnd w:id="19"/>
    <w:bookmarkStart w:id="20" w:name="X181e667c542a4869513196e0a56998cd3261e78"/>
    <w:p>
      <w:pPr>
        <w:pStyle w:val="Heading3"/>
        <w:keepNext/>
        <w:keepLines/>
      </w:pPr>
      <w:r>
        <w:rPr>
          <w:color w:val="000000"/>
          <w:lang w:val="en-GB"/>
        </w:rPr>
        <w:t xml:space="preserve">5.5 ASSISTANCE FOR PERSONAL RIGHTS — ARTICLE 28.3.E GDPR</w:t>
      </w:r>
    </w:p>
    <w:p>
      <w:pPr>
        <w:pStyle w:val="FirstParagraph"/>
      </w:pPr>
      <w:r>
        <w:rPr>
          <w:lang w:val="en-GB"/>
        </w:rPr>
        <w:t xml:space="preserve">Taking into account the nature of the Processing, OHADJA helps the Client, through appropriate technical and organizational measures and to the greatest extent possible, to fulfill its obligation to respond to requests to exercise the rights of Data Subjects provided for in Articles 12 to 22 of GDPR.</w:t>
      </w:r>
    </w:p>
    <w:p>
      <w:pPr>
        <w:pStyle w:val="BodyText"/>
      </w:pPr>
      <w:r>
        <w:rPr>
          <w:lang w:val="en-GB"/>
        </w:rPr>
        <w:t xml:space="preserve">This assistance may include exporting Data, searching for sessions, deleting user accounts, deleting files, rectifying information entered in the Application, accessing available logs and technical assistance necessary to identify the Data concerned.</w:t>
      </w:r>
    </w:p>
    <w:p>
      <w:pPr>
        <w:pStyle w:val="BodyText"/>
      </w:pPr>
      <w:r>
        <w:rPr>
          <w:lang w:val="en-GB"/>
        </w:rPr>
        <w:t xml:space="preserve">OHADJA does not respond directly to a Data Subject on the Customer’s behalf unless instructed to do so by the Customer through a documented instruction or required by law.</w:t>
      </w:r>
    </w:p>
    <w:bookmarkEnd w:id="20"/>
    <w:bookmarkStart w:id="21" w:name="X60f5f7b3d003ca48ae8ede0476f5c4b860bfbca"/>
    <w:p>
      <w:pPr>
        <w:pStyle w:val="Heading3"/>
        <w:keepNext/>
        <w:keepLines/>
      </w:pPr>
      <w:r>
        <w:rPr>
          <w:color w:val="000000"/>
          <w:lang w:val="en-GB"/>
        </w:rPr>
        <w:t xml:space="preserve">5.6 ASSISTANCE FOR THE OBLIGATIONS OF ARTICLES 32 TO 36 — ARTICLE 28.3.F GDPR</w:t>
      </w:r>
    </w:p>
    <w:p>
      <w:pPr>
        <w:pStyle w:val="FirstParagraph"/>
      </w:pPr>
      <w:r>
        <w:rPr>
          <w:lang w:val="en-GB"/>
        </w:rPr>
        <w:t xml:space="preserve">OHADJA helps the Client to guarantee compliance with its obligations provided for in articles 32 to 36 of GDPR, taking into account the nature of the Processing and the information at its disposal.</w:t>
      </w:r>
    </w:p>
    <w:p>
      <w:pPr>
        <w:pStyle w:val="BodyText"/>
      </w:pPr>
      <w:r>
        <w:rPr>
          <w:lang w:val="en-GB"/>
        </w:rPr>
        <w:t xml:space="preserve">This assistance covers in particular the security of the Processing, the notification of violations of Personal data, the possible communication to the Data Subjects, the impact analysis relating to data protection and the prior consultation of the supervisory authority when these obligations fall to the Client.</w:t>
      </w:r>
    </w:p>
    <w:p>
      <w:pPr>
        <w:pStyle w:val="BodyText"/>
      </w:pPr>
      <w:r>
        <w:rPr>
          <w:lang w:val="en-GB"/>
        </w:rPr>
        <w:t xml:space="preserve">OHADJA provides the Customer, upon reasonable request, with available technical information regarding the architecture of the Service, MTOs, transcription processing, AI processing, authorized Subprocessors and guarantees relating to voice correlation.</w:t>
      </w:r>
    </w:p>
    <w:bookmarkEnd w:id="21"/>
    <w:bookmarkStart w:id="22" w:name="X371a2d02ebe98ae60d5f35283993a98ae6374bb"/>
    <w:p>
      <w:pPr>
        <w:pStyle w:val="Heading3"/>
        <w:keepNext/>
        <w:keepLines/>
      </w:pPr>
      <w:r>
        <w:rPr>
          <w:color w:val="000000"/>
          <w:lang w:val="en-GB"/>
        </w:rPr>
        <w:t xml:space="preserve">5.7 RESTITUTION OR DELETION — ARTICLE 28.3.G GDPR</w:t>
      </w:r>
    </w:p>
    <w:p>
      <w:pPr>
        <w:pStyle w:val="FirstParagraph"/>
      </w:pPr>
      <w:r>
        <w:rPr>
          <w:lang w:val="en-GB"/>
        </w:rPr>
        <w:t xml:space="preserve">At the end of the provision of services relating to Processing, OHADJA deletes or returns to the Customer, according to its documented choice, all Personal Data processed on its behalf, and destroys existing copies, unless retention is required by Union law or French law.</w:t>
      </w:r>
    </w:p>
    <w:p>
      <w:pPr>
        <w:pStyle w:val="BodyText"/>
      </w:pPr>
      <w:r>
        <w:rPr>
          <w:lang w:val="en-GB"/>
        </w:rPr>
        <w:t xml:space="preserve">The operational modalities of restitution, deletion, export, deadlines and certificate are defined in section 11.</w:t>
      </w:r>
    </w:p>
    <w:bookmarkEnd w:id="22"/>
    <w:bookmarkStart w:id="23" w:name="Xbf1dd0c2929220af4686f03f916b0123ec6be16"/>
    <w:p>
      <w:pPr>
        <w:pStyle w:val="Heading3"/>
        <w:keepNext/>
        <w:keepLines/>
      </w:pPr>
      <w:r>
        <w:rPr>
          <w:color w:val="000000"/>
          <w:lang w:val="en-GB"/>
        </w:rPr>
        <w:t xml:space="preserve">5.8 DEMONSTRATION OF COMPLIANCE AND AUDIT — ARTICLE 28.3.H GDPR</w:t>
      </w:r>
    </w:p>
    <w:p>
      <w:pPr>
        <w:pStyle w:val="FirstParagraph"/>
      </w:pPr>
      <w:r>
        <w:rPr>
          <w:lang w:val="en-GB"/>
        </w:rPr>
        <w:t xml:space="preserve">OHADJA provides the Client with the information necessary to demonstrate compliance with the obligations provided for in article 28 of GDPR and allows audits, including inspections, to be carried out by the Client or an auditor mandated by him, under the conditions provided for in section 10.</w:t>
      </w:r>
    </w:p>
    <w:p>
      <w:pPr>
        <w:pStyle w:val="BodyText"/>
      </w:pPr>
      <w:r>
        <w:rPr>
          <w:lang w:val="en-GB"/>
        </w:rPr>
        <w:t xml:space="preserve">OHADJA keeps a record of the categories of processing activities carried out on behalf of the Client when this is required by article 30.2 of GDPR.</w:t>
      </w:r>
    </w:p>
    <w:bookmarkEnd w:id="23"/>
    <w:bookmarkEnd w:id="24"/>
    <w:bookmarkStart w:id="25" w:name="X6d69baf09f8184b2fba964eb0a06417a06d4abe"/>
    <w:p>
      <w:pPr>
        <w:pStyle w:val="Heading2"/>
        <w:keepNext/>
        <w:keepLines/>
      </w:pPr>
      <w:r>
        <w:rPr>
          <w:color w:val="000000"/>
          <w:lang w:val="en-GB"/>
        </w:rPr>
        <w:t xml:space="preserve">6. Subprocessors</w:t>
      </w:r>
    </w:p>
    <w:p>
      <w:pPr>
        <w:pStyle w:val="FirstParagraph"/>
      </w:pPr>
      <w:r>
        <w:rPr>
          <w:lang w:val="en-GB"/>
        </w:rPr>
        <w:t xml:space="preserve">The Client grants OHADJA general written authorization to use the Subprocessors listed in Appendix 2 for the purposes described therein, in accordance with article 28.2 of GDPR.</w:t>
      </w:r>
    </w:p>
    <w:p>
      <w:pPr>
        <w:pStyle w:val="BodyText"/>
      </w:pPr>
      <w:r>
        <w:rPr>
          <w:lang w:val="en-GB"/>
        </w:rPr>
        <w:t xml:space="preserve">OHADJA informs the Customer of any planned addition or replacement of Subprocessor at least thirty (30) calendar days before its implementation, by email, contractual notification, notification in the Application or any other written means allowing proof of it to be preserved.</w:t>
      </w:r>
    </w:p>
    <w:p>
      <w:pPr>
        <w:pStyle w:val="BodyText"/>
      </w:pPr>
      <w:r>
        <w:rPr>
          <w:lang w:val="en-GB"/>
        </w:rPr>
        <w:t xml:space="preserve">The Client may formulate a written, reasoned and reasonable objection within this thirty (30) day period, when he demonstrates that the Subprocessor envisaged does not present sufficient guarantees with regard to the GDPR or creates a significant risk for the rights and freedoms of the Persons concerned.</w:t>
      </w:r>
    </w:p>
    <w:p>
      <w:pPr>
        <w:pStyle w:val="BodyText"/>
      </w:pPr>
      <w:r>
        <w:rPr>
          <w:lang w:val="en-GB"/>
        </w:rPr>
        <w:t xml:space="preserve">In the event of an objection, the Parties shall consult in good faith in order to identify a reasonable alternative solution. If no solution is possible without compromising the provision of the Service, the Customer may terminate the relevant part of the Service under the conditions of the Main Contract, without prejudice to the sums due for the services already performed.</w:t>
      </w:r>
    </w:p>
    <w:bookmarkEnd w:id="25"/>
    <w:bookmarkStart w:id="26" w:name="Xbaa5908aea5f579a0a9d81c1240fc2d1c4637db"/>
    <w:p>
      <w:pPr>
        <w:pStyle w:val="Heading2"/>
        <w:keepNext/>
        <w:keepLines/>
      </w:pPr>
      <w:r>
        <w:rPr>
          <w:color w:val="000000"/>
          <w:lang w:val="en-GB"/>
        </w:rPr>
        <w:t xml:space="preserve">7. DATA LOCALIZATION AND OUTSIDE-EU TRANSFERS</w:t>
      </w:r>
    </w:p>
    <w:p>
      <w:pPr>
        <w:pStyle w:val="FirstParagraph"/>
      </w:pPr>
      <w:r>
        <w:rPr>
          <w:lang w:val="en-GB"/>
        </w:rPr>
        <w:t xml:space="preserve">In Option A, OHADJA undertakes to host the Customer's Production Data in France or, failing that, in the European Union or the European Economic Area, with service providers offering sufficient guarantees with regard to GDPR.</w:t>
      </w:r>
    </w:p>
    <w:p>
      <w:pPr>
        <w:pStyle w:val="BodyText"/>
      </w:pPr>
      <w:r>
        <w:rPr>
          <w:lang w:val="en-GB"/>
        </w:rPr>
        <w:t xml:space="preserve">As of the date of this version, the SaaS Service TranscribIA is hosted in France on a Hostinger infrastructure and accessible via </w:t>
      </w:r>
      <w:r>
        <w:rPr>
          <w:lang w:val="en-GB"/>
        </w:rPr>
        <w:t xml:space="preserve"/>
      </w:r>
      <w:r>
        <w:rPr>
          <w:rStyle w:val="VerbatimChar"/>
          <w:lang w:val="en-GB"/>
        </w:rPr>
        <w:t xml:space="preserve">https://client.transcribia.eu</w:t>
      </w:r>
      <w:r>
        <w:rPr>
          <w:lang w:val="en-GB"/>
        </w:rPr>
        <w:t xml:space="preserve">. Backups of Production Data are encrypted before outsourcing and stored at Scaleway (France, European Union).</w:t>
      </w:r>
    </w:p>
    <w:p>
      <w:pPr>
        <w:pStyle w:val="BodyText"/>
      </w:pPr>
      <w:r>
        <w:rPr>
          <w:lang w:val="en-GB"/>
        </w:rPr>
        <w:t xml:space="preserve">The AI functions are based by default on vLLM inference servers controlled by OHADJA, hosted in Europe (mainly Strasbourg and Paris), with open-weight models; on this primary route, no Data is transmitted to a third-party model provider or transferred outside the European Union. Processing carried out via OpenRouter only occurs as a failover, is limited to the Client's instructions and the parameters activated in the Service, and can be deactivated by the Client. OHADJA favors configurations, endpoints, regions or contractual commitments enabling processing in the European Union or European Economic Area where these are available for the applicable service.</w:t>
      </w:r>
    </w:p>
    <w:p>
      <w:pPr>
        <w:pStyle w:val="BodyText"/>
      </w:pPr>
      <w:r>
        <w:rPr>
          <w:lang w:val="en-GB"/>
        </w:rPr>
        <w:t xml:space="preserve">On-demand GPU processing, including transcription, diarization, or voice correlation, can use Vast.ai when this option is enabled. OHADJA selects resources located in the European Union or the European Economic Area when this location is required by the Client or provided for in the Main Contract.</w:t>
      </w:r>
    </w:p>
    <w:p>
      <w:pPr>
        <w:pStyle w:val="BodyText"/>
      </w:pPr>
      <w:r>
        <w:rPr>
          <w:lang w:val="en-GB"/>
        </w:rPr>
        <w:t xml:space="preserve">The administration and support of the Service are carried out exclusively from France or the European Union; no administrative access to Production Data is made from a third country.</w:t>
      </w:r>
    </w:p>
    <w:p>
      <w:pPr>
        <w:pStyle w:val="BodyText"/>
      </w:pPr>
      <w:r>
        <w:rPr>
          <w:lang w:val="en-GB"/>
        </w:rPr>
        <w:t xml:space="preserve">No transfer of Data to the United States or to a third country may be carried out by OHADJA on behalf of the Client without a valid transfer mechanism within the meaning of chapter V of GDPR. In particular, transfers to the United States are excluded in the absence of applicable standard contractual clauses, additional measures where necessary, or any other mechanism recognized as valid by GDPR.</w:t>
      </w:r>
    </w:p>
    <w:p>
      <w:pPr>
        <w:pStyle w:val="BodyText"/>
      </w:pPr>
      <w:r>
        <w:rPr>
          <w:lang w:val="en-GB"/>
        </w:rPr>
        <w:t xml:space="preserve">If a transfer outside the European Union or European Economic Area becomes necessary for the execution of the Service, OHADJA informs the Customer in advance, identifies the country concerned, the purpose, the categories of Data, the Subprocessor concerned and the applicable transfer mechanism. The Customer retains the right to object under the conditions of section 6.</w:t>
      </w:r>
    </w:p>
    <w:bookmarkEnd w:id="26"/>
    <w:bookmarkStart w:id="27" w:name="X27fdb3a5f0ec5197869ac1ed3c6478d6fcb4a09"/>
    <w:p>
      <w:pPr>
        <w:pStyle w:val="Heading2"/>
        <w:keepNext/>
        <w:keepLines/>
      </w:pPr>
      <w:r>
        <w:rPr>
          <w:color w:val="000000"/>
          <w:lang w:val="en-GB"/>
        </w:rPr>
        <w:t xml:space="preserve">8. SAFETY AND INCIDENT NOTIFICATION</w:t>
      </w:r>
    </w:p>
    <w:p>
      <w:pPr>
        <w:pStyle w:val="FirstParagraph"/>
      </w:pPr>
      <w:r>
        <w:rPr>
          <w:lang w:val="en-GB"/>
        </w:rPr>
        <w:t xml:space="preserve">OHADJA implements appropriate MTOs in accordance with articles 32.1.a to 32.1.d of GDPR, taking into account the state of knowledge, implementation costs, nature, scope, context, purposes of the Processing and the risks to the rights and freedoms of the Data Subjects.</w:t>
      </w:r>
    </w:p>
    <w:p>
      <w:pPr>
        <w:pStyle w:val="BodyText"/>
      </w:pPr>
      <w:r>
        <w:rPr>
          <w:lang w:val="en-GB"/>
        </w:rPr>
        <w:t xml:space="preserve">In the event of a Security Incident affecting or likely to affect the Customer's Data, OHADJA immediately takes the necessary measures to analyze the incident, limit its effects, restore the security of the Service and preserve the elements useful for the investigation.</w:t>
      </w:r>
    </w:p>
    <w:p>
      <w:pPr>
        <w:pStyle w:val="BodyText"/>
      </w:pPr>
      <w:r>
        <w:rPr>
          <w:lang w:val="en-GB"/>
        </w:rPr>
        <w:t xml:space="preserve">When OHADJA becomes aware of a Personal Data breach affecting the Customer's Data, it informs the Customer without undue delay under GDPR Article 33(2), including outside working days. The initial alert is not postponed pending a full investigation; available information is communicated and then supplemented in stages. No indicative contractual deadline may authorise undue delay or compromise the Customer's obligations.</w:t>
      </w:r>
    </w:p>
    <w:p>
      <w:pPr>
        <w:pStyle w:val="BodyText"/>
      </w:pPr>
      <w:r>
        <w:rPr>
          <w:lang w:val="en-GB"/>
        </w:rPr>
        <w:t xml:space="preserve">The notification sent to the Customer includes, to the extent of the information available:</w:t>
      </w:r>
    </w:p>
    <w:p>
      <w:pPr>
        <w:pStyle w:val="Compact"/>
        <w:numPr>
          <w:ilvl w:val="0"/>
          <w:numId w:val="1001"/>
        </w:numPr>
      </w:pPr>
      <w:r>
        <w:rPr>
          <w:lang w:val="en-GB"/>
        </w:rPr>
        <w:t xml:space="preserve">the nature of the violation;</w:t>
      </w:r>
    </w:p>
    <w:p>
      <w:pPr>
        <w:pStyle w:val="Compact"/>
        <w:numPr>
          <w:ilvl w:val="0"/>
          <w:numId w:val="1001"/>
        </w:numPr>
      </w:pPr>
      <w:r>
        <w:rPr>
          <w:lang w:val="en-GB"/>
        </w:rPr>
        <w:t xml:space="preserve">the categories of Data concerned;</w:t>
      </w:r>
    </w:p>
    <w:p>
      <w:pPr>
        <w:pStyle w:val="Compact"/>
        <w:numPr>
          <w:ilvl w:val="0"/>
          <w:numId w:val="1001"/>
        </w:numPr>
      </w:pPr>
      <w:r>
        <w:rPr>
          <w:lang w:val="en-GB"/>
        </w:rPr>
        <w:t xml:space="preserve">the categories and approximate number of Persons concerned, when available;</w:t>
      </w:r>
    </w:p>
    <w:p>
      <w:pPr>
        <w:pStyle w:val="Compact"/>
        <w:numPr>
          <w:ilvl w:val="0"/>
          <w:numId w:val="1001"/>
        </w:numPr>
      </w:pPr>
      <w:r>
        <w:rPr>
          <w:lang w:val="en-GB"/>
        </w:rPr>
        <w:t xml:space="preserve">the categories and approximate number of records concerned, where available;</w:t>
      </w:r>
    </w:p>
    <w:p>
      <w:pPr>
        <w:pStyle w:val="Compact"/>
        <w:numPr>
          <w:ilvl w:val="0"/>
          <w:numId w:val="1001"/>
        </w:numPr>
      </w:pPr>
      <w:r>
        <w:rPr>
          <w:lang w:val="en-GB"/>
        </w:rPr>
        <w:t xml:space="preserve">the likely consequences of the violation;</w:t>
      </w:r>
    </w:p>
    <w:p>
      <w:pPr>
        <w:pStyle w:val="Compact"/>
        <w:numPr>
          <w:ilvl w:val="0"/>
          <w:numId w:val="1001"/>
        </w:numPr>
      </w:pPr>
      <w:r>
        <w:rPr>
          <w:lang w:val="en-GB"/>
        </w:rPr>
        <w:t xml:space="preserve">the measures taken or proposed to remedy the violation;</w:t>
      </w:r>
    </w:p>
    <w:p>
      <w:pPr>
        <w:pStyle w:val="Compact"/>
        <w:numPr>
          <w:ilvl w:val="0"/>
          <w:numId w:val="1001"/>
        </w:numPr>
      </w:pPr>
      <w:r>
        <w:rPr>
          <w:lang w:val="en-GB"/>
        </w:rPr>
        <w:t xml:space="preserve">the measures proposed to mitigate the negative consequences;</w:t>
      </w:r>
    </w:p>
    <w:p>
      <w:pPr>
        <w:pStyle w:val="Compact"/>
        <w:numPr>
          <w:ilvl w:val="0"/>
          <w:numId w:val="1001"/>
        </w:numPr>
      </w:pPr>
      <w:r>
        <w:rPr>
          <w:lang w:val="en-GB"/>
        </w:rPr>
        <w:t xml:space="preserve">the contact point from which to obtain additional information.</w:t>
      </w:r>
    </w:p>
    <w:p>
      <w:pPr>
        <w:pStyle w:val="FirstParagraph"/>
      </w:pPr>
      <w:r>
        <w:rPr>
          <w:lang w:val="en-GB"/>
        </w:rPr>
        <w:t xml:space="preserve">Where all information cannot be provided simultaneously, OHADJA shall communicate it in a staggered manner, without undue delay, in accordance with Article 33.4 of GDPR.</w:t>
      </w:r>
    </w:p>
    <w:p>
      <w:pPr>
        <w:pStyle w:val="BodyText"/>
      </w:pPr>
      <w:r>
        <w:rPr>
          <w:lang w:val="en-GB"/>
        </w:rPr>
        <w:t xml:space="preserve">The Customer remains responsible for notifications to the competent supervisory authority under Article 33(1) and, where applicable, communications to Data Subjects under Article 34. OHADJA may assist or act under a written mandate, without that mandate transferring the Customer's legal responsibilities or relieving OHADJA of its own obligations.</w:t>
      </w:r>
    </w:p>
    <w:bookmarkEnd w:id="27"/>
    <w:bookmarkStart w:id="28" w:name="Xf2744e74d29e6a4838bc4c0ddd7ec9c727a38c3"/>
    <w:p>
      <w:pPr>
        <w:pStyle w:val="Heading2"/>
        <w:keepNext/>
        <w:keepLines/>
      </w:pPr>
      <w:r>
        <w:rPr>
          <w:color w:val="000000"/>
          <w:lang w:val="en-GB"/>
        </w:rPr>
        <w:t xml:space="preserve">9. RIGHTS OF PERSONS CONCERNED</w:t>
      </w:r>
    </w:p>
    <w:p>
      <w:pPr>
        <w:pStyle w:val="FirstParagraph"/>
      </w:pPr>
      <w:r>
        <w:rPr>
          <w:lang w:val="en-GB"/>
        </w:rPr>
        <w:t xml:space="preserve">The Customer is responsible for handling requests to exercise Data Subjects’ rights under GDPR Articles 12 to 22.</w:t>
      </w:r>
    </w:p>
    <w:p>
      <w:pPr>
        <w:pStyle w:val="BodyText"/>
      </w:pPr>
      <w:r>
        <w:rPr>
          <w:lang w:val="en-GB"/>
        </w:rPr>
        <w:t xml:space="preserve">OHADJA assists the Client within seven (7) working days from receipt of a complete written request from the Client, unless there is a justified emergency or particular complexity requiring additional reasonable time.</w:t>
      </w:r>
    </w:p>
    <w:p>
      <w:pPr>
        <w:pStyle w:val="BodyText"/>
      </w:pPr>
      <w:r>
        <w:rPr>
          <w:lang w:val="en-GB"/>
        </w:rPr>
        <w:t xml:space="preserve">Assistance may cover the rights of access, rectification, erasure, restriction, portability and objection, together with requests relating to automated individual decisions, where these rights apply to the Processing concerned.</w:t>
      </w:r>
    </w:p>
    <w:p>
      <w:pPr>
        <w:pStyle w:val="BodyText"/>
      </w:pPr>
      <w:r>
        <w:rPr>
          <w:lang w:val="en-GB"/>
        </w:rPr>
        <w:t xml:space="preserve">If OHADJA directly receives a request from a Data Subject relating to Customer Data, it will transmit this request to the Customer as soon as possible, when it is able to identify the Customer concerned, and will refrain from responding to it in substance unless documented instructions from the Customer or legal obligation.</w:t>
      </w:r>
    </w:p>
    <w:p>
      <w:pPr>
        <w:pStyle w:val="BodyText"/>
      </w:pPr>
      <w:r>
        <w:rPr>
          <w:lang w:val="en-GB"/>
        </w:rPr>
        <w:t xml:space="preserve">The Client acknowledges that certain Data may be contained in audio recordings, verbatim transcriptions, preparatory documents or exports produced by its users. It is up to the Client to determine the follow-up to be given to the requests of the Data Subjects, in particular when the request involves a legal assessment, a balancing of rights or the preservation of evidence.</w:t>
      </w:r>
    </w:p>
    <w:bookmarkEnd w:id="28"/>
    <w:bookmarkStart w:id="29" w:name="X5b9cdfc441acad2cdb70f1acdcfd7578fe2e93a"/>
    <w:p>
      <w:pPr>
        <w:pStyle w:val="Heading2"/>
        <w:keepNext/>
        <w:keepLines/>
      </w:pPr>
      <w:r>
        <w:rPr>
          <w:color w:val="000000"/>
          <w:lang w:val="en-GB"/>
        </w:rPr>
        <w:t xml:space="preserve">10. AUDIT AND INSPECTION</w:t>
      </w:r>
    </w:p>
    <w:p>
      <w:pPr>
        <w:pStyle w:val="FirstParagraph"/>
      </w:pPr>
      <w:r>
        <w:rPr>
          <w:lang w:val="en-GB"/>
        </w:rPr>
        <w:t xml:space="preserve">The Client has the right to audit regarding compliance by OHADJA with the obligations provided for in this Agreement and in article 28 of GDPR.</w:t>
      </w:r>
    </w:p>
    <w:p>
      <w:pPr>
        <w:pStyle w:val="BodyText"/>
      </w:pPr>
      <w:r>
        <w:rPr>
          <w:lang w:val="en-GB"/>
        </w:rPr>
        <w:t xml:space="preserve">Unless there is a serious security incident or a request from a supervisory authority, the audit is limited to one (1) audit per calendar year, with written notice of at least thirty (30) calendar days.</w:t>
      </w:r>
    </w:p>
    <w:p>
      <w:pPr>
        <w:pStyle w:val="BodyText"/>
      </w:pPr>
      <w:r>
        <w:rPr>
          <w:lang w:val="en-GB"/>
        </w:rPr>
        <w:t xml:space="preserve">The audit is carried out during OHADJA working days and hours, so as not to disrupt the security, availability or continuity of the Service, nor the confidentiality of other customers' Data.</w:t>
      </w:r>
    </w:p>
    <w:p>
      <w:pPr>
        <w:pStyle w:val="BodyText"/>
      </w:pPr>
      <w:r>
        <w:rPr>
          <w:lang w:val="en-GB"/>
        </w:rPr>
        <w:t xml:space="preserve">The Client may appoint an independent third-party auditor, provided that the latter is subject to a written obligation of confidentiality, is not a direct competitor of OHADJA and complies with the applicable security rules.</w:t>
      </w:r>
    </w:p>
    <w:p>
      <w:pPr>
        <w:pStyle w:val="BodyText"/>
      </w:pPr>
      <w:r>
        <w:rPr>
          <w:lang w:val="en-GB"/>
        </w:rPr>
        <w:t xml:space="preserve">The internal and external costs of the audit, including the fees of the auditor appointed by the Client, are the responsibility of the Client. OHADJA may invoice the Client for the reasonable time spent in preparing, supporting and monitoring the audit when this exceeds the standard compliance information made available.</w:t>
      </w:r>
    </w:p>
    <w:p>
      <w:pPr>
        <w:pStyle w:val="BodyText"/>
      </w:pPr>
      <w:r>
        <w:rPr>
          <w:lang w:val="en-GB"/>
        </w:rPr>
        <w:t xml:space="preserve">The audit cannot lead to access to the Data of other customers, to OHADJA's business secrets, to unlicensed source code, to security information whose disclosure would create a disproportionate risk, nor to information covered by an obligation of confidentiality towards a third party.</w:t>
      </w:r>
    </w:p>
    <w:p>
      <w:pPr>
        <w:pStyle w:val="BodyText"/>
      </w:pPr>
      <w:r>
        <w:rPr>
          <w:lang w:val="en-GB"/>
        </w:rPr>
        <w:t xml:space="preserve">When substantial non-conformities are noted, OHADJA establishes a proportionate remediation plan and informs the Customer of its progress.</w:t>
      </w:r>
    </w:p>
    <w:bookmarkEnd w:id="29"/>
    <w:bookmarkStart w:id="30" w:name="X73e59becb4c206e5b73713aa44c597c54fda0d1"/>
    <w:p>
      <w:pPr>
        <w:pStyle w:val="Heading2"/>
        <w:keepNext/>
        <w:keepLines/>
      </w:pPr>
      <w:r>
        <w:rPr>
          <w:color w:val="000000"/>
          <w:lang w:val="en-GB"/>
        </w:rPr>
        <w:t xml:space="preserve">11. RETURN AND DELETION</w:t>
      </w:r>
    </w:p>
    <w:p>
      <w:pPr>
        <w:pStyle w:val="FirstParagraph"/>
      </w:pPr>
      <w:r>
        <w:rPr>
          <w:lang w:val="en-GB"/>
        </w:rPr>
        <w:t xml:space="preserve">At the end of the Main Contract, whatever the cause, the Client chooses by written instruction between the return and the deletion of the Personal data processed on its behalf.</w:t>
      </w:r>
    </w:p>
    <w:p>
      <w:pPr>
        <w:pStyle w:val="BodyText"/>
      </w:pPr>
      <w:r>
        <w:rPr>
          <w:lang w:val="en-GB"/>
        </w:rPr>
        <w:t xml:space="preserve">In the event of restitution, OHADJA makes available to the Customer, in a standard format available in the Service, the exportable Data, in particular user accounts, session metadata, transcriptions, documents, audio files, available logs and generated exports, subject to the functionalities actually subscribed to and documented technical limitations.</w:t>
      </w:r>
    </w:p>
    <w:p>
      <w:pPr>
        <w:pStyle w:val="BodyText"/>
      </w:pPr>
      <w:r>
        <w:rPr>
          <w:lang w:val="en-GB"/>
        </w:rPr>
        <w:t xml:space="preserve">In the event of deletion, OHADJA deletes the Customer's Production Data within a maximum period of thirty (30) calendar days following the effective end of the Main Contract or receipt of the written deletion instruction, whichever is later.</w:t>
      </w:r>
    </w:p>
    <w:p>
      <w:pPr>
        <w:pStyle w:val="BodyText"/>
      </w:pPr>
      <w:r>
        <w:rPr>
          <w:lang w:val="en-GB"/>
        </w:rPr>
        <w:t xml:space="preserve">Residual technical backups are isolated from ordinary use and purged according to their normal rotation cycle within a maximum of ninety (90) calendar days. Further retention is possible only to the extent and for the period required by Union law or the law of the Member State to which OHADJA is subject; its basis and scope are documented. A general security, litigation or restoration need does not remove the duty to comply with lawful instructions and Article 28(3)(g).</w:t>
      </w:r>
    </w:p>
    <w:p>
      <w:pPr>
        <w:pStyle w:val="BodyText"/>
      </w:pPr>
      <w:r>
        <w:rPr>
          <w:lang w:val="en-GB"/>
        </w:rPr>
        <w:t xml:space="preserve">OHADJA provides the Customer, upon written request, with a certificate of deletion or restitution within thirty (30) calendar days after completion of the relevant transaction.</w:t>
      </w:r>
    </w:p>
    <w:p>
      <w:pPr>
        <w:pStyle w:val="BodyText"/>
      </w:pPr>
      <w:r>
        <w:rPr>
          <w:lang w:val="en-GB"/>
        </w:rPr>
        <w:t xml:space="preserve">Temporary voice embeddings used for voice correlation are excluded from any restitution, since they are temporarily calculated in RAM for the purpose of suggesting speaker identification and destroyed at the end of the request, without creating a persistent biometric template.</w:t>
      </w:r>
    </w:p>
    <w:bookmarkEnd w:id="30"/>
    <w:bookmarkStart w:id="31" w:name="X72b0836447daf89f47600fd048e1cdcf0812815"/>
    <w:p>
      <w:pPr>
        <w:pStyle w:val="Heading2"/>
        <w:keepNext/>
        <w:keepLines/>
      </w:pPr>
      <w:r>
        <w:rPr>
          <w:color w:val="000000"/>
          <w:lang w:val="en-GB"/>
        </w:rPr>
        <w:t xml:space="preserve">12. LIABILITY, INDEMNITY AND LIMITATION</w:t>
      </w:r>
    </w:p>
    <w:p>
      <w:pPr>
        <w:pStyle w:val="FirstParagraph"/>
      </w:pPr>
      <w:r>
        <w:rPr>
          <w:lang w:val="en-GB"/>
        </w:rPr>
        <w:t xml:space="preserve">Each Party is responsible for complying with its obligations under GDPR, applicable French law, the Main Contract and this Agreement.</w:t>
      </w:r>
    </w:p>
    <w:p>
      <w:pPr>
        <w:pStyle w:val="BodyText"/>
      </w:pPr>
      <w:r>
        <w:rPr>
          <w:lang w:val="en-GB"/>
        </w:rPr>
        <w:t xml:space="preserve">OHADJA is liable for damage caused by Processing only when it has not complied with the obligations of GDPR which are specifically incumbent upon processors or when it has acted outside or contrary to the lawful instructions of the Client, in accordance with the principles of article 82 of GDPR.</w:t>
      </w:r>
    </w:p>
    <w:p>
      <w:pPr>
        <w:pStyle w:val="BodyText"/>
      </w:pPr>
      <w:r>
        <w:rPr>
          <w:lang w:val="en-GB"/>
        </w:rPr>
        <w:t xml:space="preserve">The Customer is responsible for damage resulting from its purposes, legal bases, information to Data Subjects, instructions, configurations, uploaded content, decided retention periods, user authorizations, processing imposed on OHADJA or security defects falling within its scope, particularly in Option B.</w:t>
      </w:r>
    </w:p>
    <w:p>
      <w:pPr>
        <w:pStyle w:val="BodyText"/>
      </w:pPr>
      <w:r>
        <w:rPr>
          <w:lang w:val="en-GB"/>
        </w:rPr>
        <w:t xml:space="preserve">Each Party indemnifies the other against the direct consequences of a claim, sanction, judgment or transaction resulting from a proven breach of its own obligations under this Agreement, provided that the Party requesting guarantee informs the other Party without undue delay, cooperates reasonably in the defense and does not admit any liability without prior written agreement.</w:t>
      </w:r>
    </w:p>
    <w:p>
      <w:pPr>
        <w:pStyle w:val="BodyText"/>
      </w:pPr>
      <w:r>
        <w:rPr>
          <w:lang w:val="en-GB"/>
        </w:rPr>
        <w:t xml:space="preserve">Unless imperatively stipulated otherwise, the overall liability of OHADJA under this Agreement is subject to the ceilings, exclusions and limitations provided for in the Main Contract.</w:t>
      </w:r>
    </w:p>
    <w:p>
      <w:pPr>
        <w:pStyle w:val="BodyText"/>
      </w:pPr>
      <w:r>
        <w:rPr>
          <w:lang w:val="en-GB"/>
        </w:rPr>
        <w:t xml:space="preserve">No limitation of liability applies in the event of fraud, willful misconduct, gross negligence, willful breach, willful violation of the Customer's documented instructions, willful breach of confidentiality of the Data or when the law prohibits such limitation.</w:t>
      </w:r>
    </w:p>
    <w:bookmarkEnd w:id="31"/>
    <w:bookmarkStart w:id="32" w:name="Xdc52f2aec3a69fb47e64b781e77c3855826c6e4"/>
    <w:p>
      <w:pPr>
        <w:pStyle w:val="Heading2"/>
        <w:keepNext/>
        <w:keepLines/>
      </w:pPr>
      <w:r>
        <w:rPr>
          <w:color w:val="000000"/>
          <w:lang w:val="en-GB"/>
        </w:rPr>
        <w:t xml:space="preserve">13. DURATION AND TERMINATION</w:t>
      </w:r>
    </w:p>
    <w:p>
      <w:pPr>
        <w:pStyle w:val="FirstParagraph"/>
      </w:pPr>
      <w:r>
        <w:rPr>
          <w:lang w:val="en-GB"/>
        </w:rPr>
        <w:t xml:space="preserve">This Agreement enters into force on the date indicated in section 1 and remains applicable for the duration of the Main Agreement, as long as OHADJA processes Personal data on behalf of the Customer.</w:t>
      </w:r>
    </w:p>
    <w:p>
      <w:pPr>
        <w:pStyle w:val="BodyText"/>
      </w:pPr>
      <w:r>
        <w:rPr>
          <w:lang w:val="en-GB"/>
        </w:rPr>
        <w:t xml:space="preserve">This Agreement terminates automatically when all Personal data processed on behalf of Customer has been returned or deleted in accordance with Section 11, subject to obligations that survive the termination of the Main Agreement, including confidentiality, evidence, liability, post-incident auditing and legally required retention.</w:t>
      </w:r>
    </w:p>
    <w:p>
      <w:pPr>
        <w:pStyle w:val="BodyText"/>
      </w:pPr>
      <w:r>
        <w:rPr>
          <w:lang w:val="en-GB"/>
        </w:rPr>
        <w:t xml:space="preserve">In the event of a serious breach by a Party of its obligations GDPR or of this Agreement, not remedied within thirty (30) calendar days following reasoned written notification, the other Party may terminate the Main Contract or the part of the Service concerned, without prejudice to any damages due.</w:t>
      </w:r>
    </w:p>
    <w:p>
      <w:pPr>
        <w:pStyle w:val="BodyText"/>
      </w:pPr>
      <w:r>
        <w:rPr>
          <w:lang w:val="en-GB"/>
        </w:rPr>
        <w:t xml:space="preserve">In the event of a serious breach creating an imminent or significant risk for the rights and freedoms of the Data Subjects, the non-defaulting Party may suspend the processing operations concerned or immediately terminate the part of the Service concerned, after reasoned written notification, when the continuation of the Processing would be manifestly incompatible with GDPR.</w:t>
      </w:r>
    </w:p>
    <w:bookmarkEnd w:id="32"/>
    <w:bookmarkStart w:id="33" w:name="X19a4fc33a06919e64bf99252dd3d6d033695a83"/>
    <w:p>
      <w:pPr>
        <w:pStyle w:val="Heading2"/>
        <w:keepNext/>
        <w:keepLines/>
      </w:pPr>
      <w:r>
        <w:rPr>
          <w:color w:val="000000"/>
          <w:lang w:val="en-GB"/>
        </w:rPr>
        <w:t xml:space="preserve">14. FINAL STIPULATIONS</w:t>
      </w:r>
    </w:p>
    <w:p>
      <w:pPr>
        <w:pStyle w:val="FirstParagraph"/>
      </w:pPr>
      <w:r>
        <w:rPr>
          <w:lang w:val="en-GB"/>
        </w:rPr>
        <w:t xml:space="preserve">This Agreement is governed by French law.</w:t>
      </w:r>
    </w:p>
    <w:p>
      <w:pPr>
        <w:pStyle w:val="BodyText"/>
      </w:pPr>
      <w:r>
        <w:rPr>
          <w:lang w:val="en-GB"/>
        </w:rPr>
        <w:t xml:space="preserve">Any dispute concerning the validity, interpretation, performance or termination of this Agreement falls within the jurisdiction of the competent courts of Paris, unless a contrary mandatory provision applies to the Customer.</w:t>
      </w:r>
    </w:p>
    <w:p>
      <w:pPr>
        <w:pStyle w:val="BodyText"/>
      </w:pPr>
      <w:r>
        <w:rPr>
          <w:lang w:val="en-GB"/>
        </w:rPr>
        <w:t xml:space="preserve">The French-language version is authoritative. Any translation of this Agreement is provided for convenience only.</w:t>
      </w:r>
    </w:p>
    <w:p>
      <w:pPr>
        <w:pStyle w:val="BodyText"/>
      </w:pPr>
      <w:r>
        <w:rPr>
          <w:lang w:val="en-GB"/>
        </w:rPr>
        <w:t xml:space="preserve">If any stipulation of this Agreement is declared void, inapplicable or unwritten, the other stipulations remain fully applicable. The Parties replace the stipulation concerned with a valid clause producing as close an economic and legal effect as possible.</w:t>
      </w:r>
    </w:p>
    <w:p>
      <w:pPr>
        <w:pStyle w:val="BodyText"/>
      </w:pPr>
      <w:r>
        <w:rPr>
          <w:lang w:val="en-GB"/>
        </w:rPr>
        <w:t xml:space="preserve">Any modification of this Agreement must be formalized by written amendment or by contractual update accepted by the Parties. Modifications imposed by legal or regulatory developments or by a competent authority may be proposed by OHADJA with reasonable notice.</w:t>
      </w:r>
    </w:p>
    <w:p>
      <w:pPr>
        <w:pStyle w:val="BodyText"/>
      </w:pPr>
      <w:r>
        <w:rPr>
          <w:lang w:val="en-GB"/>
        </w:rPr>
        <w:t xml:space="preserve">This Agreement may be signed handwritten or by simple electronic signature. The simple electronic signature constitutes proof of the agreement of the Parties, subject to the applicable rules of proof.</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For the Customer</w:t>
            </w:r>
          </w:p>
        </w:tc>
        <w:tc>
          <w:tcPr/>
          <w:p>
            <w:pPr>
              <w:pStyle w:val="Compact"/>
            </w:pPr>
            <w:r>
              <w:rPr>
                <w:lang w:val="en-GB"/>
              </w:rPr>
              <w:t xml:space="preserve">For Processor</w:t>
            </w:r>
          </w:p>
        </w:tc>
      </w:tr>
      <w:tr>
        <w:trPr>
          <w:cantSplit/>
        </w:trPr>
        <w:tc>
          <w:tcPr/>
          <w:p>
            <w:pPr>
              <w:pStyle w:val="Compact"/>
            </w:pPr>
            <w:r>
              <w:rPr>
                <w:lang w:val="en-GB"/>
              </w:rPr>
              <w:t xml:space="preserve">Name: [to be completed by the customer]</w:t>
            </w:r>
          </w:p>
        </w:tc>
        <w:tc>
          <w:tcPr/>
          <w:p>
            <w:pPr>
              <w:pStyle w:val="Compact"/>
            </w:pPr>
            <w:r>
              <w:rPr>
                <w:lang w:val="en-GB"/>
              </w:rPr>
              <w:t xml:space="preserve">Name: Olivier Dupont</w:t>
            </w:r>
          </w:p>
        </w:tc>
      </w:tr>
      <w:tr>
        <w:trPr>
          <w:cantSplit/>
        </w:trPr>
        <w:tc>
          <w:tcPr/>
          <w:p>
            <w:pPr>
              <w:pStyle w:val="Compact"/>
            </w:pPr>
            <w:r>
              <w:rPr>
                <w:lang w:val="en-GB"/>
              </w:rPr>
              <w:t xml:space="preserve">Quality: [to be completed by the customer]</w:t>
            </w:r>
          </w:p>
        </w:tc>
        <w:tc>
          <w:tcPr/>
          <w:p>
            <w:pPr>
              <w:pStyle w:val="Compact"/>
            </w:pPr>
            <w:r>
              <w:rPr>
                <w:lang w:val="en-GB"/>
              </w:rPr>
              <w:t xml:space="preserve">Quality: President</w:t>
            </w:r>
          </w:p>
        </w:tc>
      </w:tr>
      <w:tr>
        <w:trPr>
          <w:cantSplit/>
        </w:trPr>
        <w:tc>
          <w:tcPr/>
          <w:p>
            <w:pPr>
              <w:pStyle w:val="Compact"/>
            </w:pPr>
            <w:r>
              <w:rPr>
                <w:lang w:val="en-GB"/>
              </w:rPr>
              <w:t xml:space="preserve">Date: [date to be completed]</w:t>
            </w:r>
          </w:p>
        </w:tc>
        <w:tc>
          <w:tcPr/>
          <w:p>
            <w:pPr>
              <w:pStyle w:val="Compact"/>
            </w:pPr>
            <w:r>
              <w:rPr>
                <w:lang w:val="en-GB"/>
              </w:rPr>
              <w:t xml:space="preserve">Date: [date to be completed]</w:t>
            </w:r>
          </w:p>
        </w:tc>
      </w:tr>
      <w:tr>
        <w:trPr>
          <w:cantSplit/>
        </w:trPr>
        <w:tc>
          <w:tcPr/>
          <w:p>
            <w:pPr>
              <w:pStyle w:val="Compact"/>
            </w:pPr>
            <w:r>
              <w:rPr>
                <w:lang w:val="en-GB"/>
              </w:rPr>
              <w:t xml:space="preserve">Signature:</w:t>
            </w:r>
          </w:p>
        </w:tc>
        <w:tc>
          <w:tcPr/>
          <w:p>
            <w:pPr>
              <w:pStyle w:val="Compact"/>
            </w:pPr>
            <w:r>
              <w:rPr>
                <w:lang w:val="en-GB"/>
              </w:rPr>
              <w:t xml:space="preserve">Signature:</w:t>
            </w:r>
          </w:p>
        </w:tc>
      </w:tr>
    </w:tbl>
    <w:bookmarkEnd w:id="33"/>
    <w:bookmarkStart w:id="38" w:name="X3a93e8af784e1cb01eecc7ea42e691cc888db85"/>
    <w:p>
      <w:pPr>
        <w:pStyle w:val="Heading2"/>
        <w:keepNext/>
        <w:keepLines/>
      </w:pPr>
      <w:r>
        <w:rPr>
          <w:color w:val="000000"/>
          <w:lang w:val="en-GB"/>
        </w:rPr>
        <w:t xml:space="preserve">ANNEX 1 — DETAILED DESCRIPTION OF THE TREATMENT</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Description</w:t>
            </w:r>
          </w:p>
        </w:tc>
      </w:tr>
      <w:tr>
        <w:trPr>
          <w:cantSplit/>
        </w:trPr>
        <w:tc>
          <w:tcPr/>
          <w:p>
            <w:pPr>
              <w:pStyle w:val="Compact"/>
            </w:pPr>
            <w:r>
              <w:rPr>
                <w:lang w:val="en-GB"/>
              </w:rPr>
              <w:t xml:space="preserve">Service</w:t>
            </w:r>
          </w:p>
        </w:tc>
        <w:tc>
          <w:tcPr/>
          <w:p>
            <w:pPr>
              <w:pStyle w:val="Compact"/>
            </w:pPr>
            <w:r>
              <w:rPr>
                <w:lang w:val="en-GB"/>
              </w:rPr>
              <w:t xml:space="preserve">TranscribIA</w:t>
            </w:r>
          </w:p>
        </w:tc>
      </w:tr>
      <w:tr>
        <w:trPr>
          <w:cantSplit/>
        </w:trPr>
        <w:tc>
          <w:tcPr/>
          <w:p>
            <w:pPr>
              <w:pStyle w:val="Compact"/>
            </w:pPr>
            <w:r>
              <w:rPr>
                <w:lang w:val="en-GB"/>
              </w:rPr>
              <w:t xml:space="preserve">Processor</w:t>
            </w:r>
          </w:p>
        </w:tc>
        <w:tc>
          <w:tcPr/>
          <w:p>
            <w:pPr>
              <w:pStyle w:val="Compact"/>
            </w:pPr>
            <w:r>
              <w:rPr>
                <w:lang w:val="en-GB"/>
              </w:rPr>
              <w:t xml:space="preserve">OHADJA</w:t>
            </w:r>
          </w:p>
        </w:tc>
      </w:tr>
      <w:tr>
        <w:trPr>
          <w:cantSplit/>
        </w:trPr>
        <w:tc>
          <w:tcPr/>
          <w:p>
            <w:pPr>
              <w:pStyle w:val="Compact"/>
            </w:pPr>
            <w:r>
              <w:rPr>
                <w:lang w:val="en-GB"/>
              </w:rPr>
              <w:t xml:space="preserve">Controller</w:t>
            </w:r>
          </w:p>
        </w:tc>
        <w:tc>
          <w:tcPr/>
          <w:p>
            <w:pPr>
              <w:pStyle w:val="Compact"/>
            </w:pPr>
            <w:r>
              <w:rPr>
                <w:lang w:val="en-GB"/>
              </w:rPr>
              <w:t xml:space="preserve">The Customer</w:t>
            </w:r>
          </w:p>
        </w:tc>
      </w:tr>
      <w:tr>
        <w:trPr>
          <w:cantSplit/>
        </w:trPr>
        <w:tc>
          <w:tcPr/>
          <w:p>
            <w:pPr>
              <w:pStyle w:val="Compact"/>
            </w:pPr>
            <w:r>
              <w:rPr>
                <w:lang w:val="en-GB"/>
              </w:rPr>
              <w:t xml:space="preserve">Purpose of Processing</w:t>
            </w:r>
          </w:p>
        </w:tc>
        <w:tc>
          <w:tcPr/>
          <w:p>
            <w:pPr>
              <w:pStyle w:val="Compact"/>
            </w:pPr>
            <w:r>
              <w:rPr>
                <w:lang w:val="en-GB"/>
              </w:rPr>
              <w:t xml:space="preserve">Providing a solution for audio transcription, diarization, transcription structuring, AI exploitation, document generation, session management, user management, logging and speaker identification suggestion</w:t>
            </w:r>
          </w:p>
        </w:tc>
      </w:tr>
      <w:tr>
        <w:trPr>
          <w:cantSplit/>
        </w:trPr>
        <w:tc>
          <w:tcPr/>
          <w:p>
            <w:pPr>
              <w:pStyle w:val="Compact"/>
            </w:pPr>
            <w:r>
              <w:rPr>
                <w:lang w:val="en-GB"/>
              </w:rPr>
              <w:t xml:space="preserve">Nature of Treatment</w:t>
            </w:r>
          </w:p>
        </w:tc>
        <w:tc>
          <w:tcPr/>
          <w:p>
            <w:pPr>
              <w:pStyle w:val="Compact"/>
            </w:pPr>
            <w:r>
              <w:rPr>
                <w:lang w:val="en-GB"/>
              </w:rPr>
              <w:t xml:space="preserve">Collection by upload, hosting, storage, organization, consultation, extraction, transcription, diarization, correction, AI generation, export, logging, backup, deletion and technical assistance</w:t>
            </w:r>
          </w:p>
        </w:tc>
      </w:tr>
      <w:tr>
        <w:trPr>
          <w:cantSplit/>
        </w:trPr>
        <w:tc>
          <w:tcPr/>
          <w:p>
            <w:pPr>
              <w:pStyle w:val="Compact"/>
            </w:pPr>
            <w:r>
              <w:rPr>
                <w:lang w:val="en-GB"/>
              </w:rPr>
              <w:t xml:space="preserve">Purposes of Processing</w:t>
            </w:r>
          </w:p>
        </w:tc>
        <w:tc>
          <w:tcPr/>
          <w:p>
            <w:pPr>
              <w:pStyle w:val="Compact"/>
            </w:pPr>
            <w:r>
              <w:rPr>
                <w:lang w:val="en-GB"/>
              </w:rPr>
              <w:t xml:space="preserve">Allow the Client to create sessions, upload audio files, obtain transcriptions, manage speakers, correct or enrich content, produce summaries, minutes, chapters or analyses, manage preparatory documents, ensure traceability and administer access</w:t>
            </w:r>
          </w:p>
        </w:tc>
      </w:tr>
      <w:tr>
        <w:trPr>
          <w:cantSplit/>
        </w:trPr>
        <w:tc>
          <w:tcPr/>
          <w:p>
            <w:pPr>
              <w:pStyle w:val="Compact"/>
            </w:pPr>
            <w:r>
              <w:rPr>
                <w:lang w:val="en-GB"/>
              </w:rPr>
              <w:t xml:space="preserve">Option A—SaaS</w:t>
            </w:r>
          </w:p>
        </w:tc>
        <w:tc>
          <w:tcPr/>
          <w:p>
            <w:pPr>
              <w:pStyle w:val="Compact"/>
            </w:pPr>
            <w:r>
              <w:rPr>
                <w:lang w:val="en-GB"/>
              </w:rPr>
              <w:t xml:space="preserve">[ ] Enabled. OHADJA hosts and operates the Service on behalf of the Customer</w:t>
            </w:r>
          </w:p>
        </w:tc>
      </w:tr>
      <w:tr>
        <w:trPr>
          <w:cantSplit/>
        </w:trPr>
        <w:tc>
          <w:tcPr/>
          <w:p>
            <w:pPr>
              <w:pStyle w:val="Compact"/>
            </w:pPr>
            <w:r>
              <w:rPr>
                <w:lang w:val="en-GB"/>
              </w:rPr>
              <w:t xml:space="preserve">Option B — On-premise Docker</w:t>
            </w:r>
          </w:p>
        </w:tc>
        <w:tc>
          <w:tcPr/>
          <w:p>
            <w:pPr>
              <w:pStyle w:val="Compact"/>
            </w:pPr>
            <w:r>
              <w:rPr>
                <w:lang w:val="en-GB"/>
              </w:rPr>
              <w:t xml:space="preserve">[ ] Enabled. The Client hosts the environment; OHADJA only intervenes for subcontracted operations actually carried out</w:t>
            </w:r>
          </w:p>
        </w:tc>
      </w:tr>
      <w:tr>
        <w:trPr>
          <w:cantSplit/>
        </w:trPr>
        <w:tc>
          <w:tcPr/>
          <w:p>
            <w:pPr>
              <w:pStyle w:val="Compact"/>
            </w:pPr>
            <w:r>
              <w:rPr>
                <w:lang w:val="en-GB"/>
              </w:rPr>
              <w:t xml:space="preserve">Duration of Treatment</w:t>
            </w:r>
          </w:p>
        </w:tc>
        <w:tc>
          <w:tcPr/>
          <w:p>
            <w:pPr>
              <w:pStyle w:val="Compact"/>
            </w:pPr>
            <w:r>
              <w:rPr>
                <w:lang w:val="en-GB"/>
              </w:rPr>
              <w:t xml:space="preserve">Duration of the Main Contract, increased by applicable restitution, deletion, residual backup and legal retention periods</w:t>
            </w:r>
          </w:p>
        </w:tc>
      </w:tr>
      <w:tr>
        <w:trPr>
          <w:cantSplit/>
        </w:trPr>
        <w:tc>
          <w:tcPr/>
          <w:p>
            <w:pPr>
              <w:pStyle w:val="Compact"/>
            </w:pPr>
            <w:r>
              <w:rPr>
                <w:lang w:val="en-GB"/>
              </w:rPr>
              <w:t xml:space="preserve">Treatment Frequency</w:t>
            </w:r>
          </w:p>
        </w:tc>
        <w:tc>
          <w:tcPr/>
          <w:p>
            <w:pPr>
              <w:pStyle w:val="Compact"/>
            </w:pPr>
            <w:r>
              <w:rPr>
                <w:lang w:val="en-GB"/>
              </w:rPr>
              <w:t xml:space="preserve">Continuous for SaaS functions; one-off or depending on activation by the Customer for transcription, AI, support, export, voice correlation or maintenance</w:t>
            </w:r>
          </w:p>
        </w:tc>
      </w:tr>
      <w:tr>
        <w:trPr>
          <w:cantSplit/>
        </w:trPr>
        <w:tc>
          <w:tcPr/>
          <w:p>
            <w:pPr>
              <w:pStyle w:val="Compact"/>
            </w:pPr>
            <w:r>
              <w:rPr>
                <w:lang w:val="en-GB"/>
              </w:rPr>
              <w:t xml:space="preserve">Authorized persons on the Client side</w:t>
            </w:r>
          </w:p>
        </w:tc>
        <w:tc>
          <w:tcPr/>
          <w:p>
            <w:pPr>
              <w:pStyle w:val="Compact"/>
            </w:pPr>
            <w:r>
              <w:rPr>
                <w:lang w:val="en-GB"/>
              </w:rPr>
              <w:t xml:space="preserve">Users created or invited by the Client: administrators, managers, team leads, users, authorized agents, team members</w:t>
            </w:r>
          </w:p>
        </w:tc>
      </w:tr>
      <w:tr>
        <w:trPr>
          <w:cantSplit/>
        </w:trPr>
        <w:tc>
          <w:tcPr/>
          <w:p>
            <w:pPr>
              <w:pStyle w:val="Compact"/>
            </w:pPr>
            <w:r>
              <w:rPr>
                <w:lang w:val="en-GB"/>
              </w:rPr>
              <w:t xml:space="preserve">Authorized persons on Processor side</w:t>
            </w:r>
          </w:p>
        </w:tc>
        <w:tc>
          <w:tcPr/>
          <w:p>
            <w:pPr>
              <w:pStyle w:val="Compact"/>
            </w:pPr>
            <w:r>
              <w:rPr>
                <w:lang w:val="en-GB"/>
              </w:rPr>
              <w:t xml:space="preserve">Authorized personnel of OHADJA and Subprocessors authorized, within the limit of need to know</w:t>
            </w:r>
          </w:p>
        </w:tc>
      </w:tr>
    </w:tbl>
    <w:bookmarkStart w:id="34" w:name="catégories-de-données-traitées"/>
    <w:p>
      <w:pPr>
        <w:pStyle w:val="Heading3"/>
        <w:keepNext/>
        <w:keepLines/>
      </w:pPr>
      <w:r>
        <w:rPr>
          <w:color w:val="000000"/>
          <w:lang w:val="en-GB"/>
        </w:rPr>
        <w:t xml:space="preserve">Categories of data processed</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Category</w:t>
            </w:r>
          </w:p>
        </w:tc>
        <w:tc>
          <w:tcPr/>
          <w:p>
            <w:pPr>
              <w:pStyle w:val="Compact"/>
            </w:pPr>
            <w:r>
              <w:rPr>
                <w:lang w:val="en-GB"/>
              </w:rPr>
              <w:t xml:space="preserve">Examples</w:t>
            </w:r>
          </w:p>
        </w:tc>
      </w:tr>
      <w:tr>
        <w:trPr>
          <w:cantSplit/>
        </w:trPr>
        <w:tc>
          <w:tcPr/>
          <w:p>
            <w:pPr>
              <w:pStyle w:val="Compact"/>
            </w:pPr>
            <w:r>
              <w:rPr>
                <w:lang w:val="en-GB"/>
              </w:rPr>
              <w:t xml:space="preserve">Possible audio and video recordings</w:t>
            </w:r>
          </w:p>
        </w:tc>
        <w:tc>
          <w:tcPr/>
          <w:p>
            <w:pPr>
              <w:pStyle w:val="Compact"/>
            </w:pPr>
            <w:r>
              <w:rPr>
                <w:lang w:val="en-GB"/>
              </w:rPr>
              <w:t xml:space="preserve">MP3, wav, ogg, m4a, flac, webm, mp4, avi, mkv, mov, wmv files uploaded by the Client</w:t>
            </w:r>
          </w:p>
        </w:tc>
      </w:tr>
      <w:tr>
        <w:trPr>
          <w:cantSplit/>
        </w:trPr>
        <w:tc>
          <w:tcPr/>
          <w:p>
            <w:pPr>
              <w:pStyle w:val="Compact"/>
            </w:pPr>
            <w:r>
              <w:rPr>
                <w:lang w:val="en-GB"/>
              </w:rPr>
              <w:t xml:space="preserve">Transcriptions</w:t>
            </w:r>
          </w:p>
        </w:tc>
        <w:tc>
          <w:tcPr/>
          <w:p>
            <w:pPr>
              <w:pStyle w:val="Compact"/>
            </w:pPr>
            <w:r>
              <w:rPr>
                <w:lang w:val="en-GB"/>
              </w:rPr>
              <w:t xml:space="preserve">Transcription JSON, segments, timestamps, verbatim, versions, corrections, chapters, diarization</w:t>
            </w:r>
          </w:p>
        </w:tc>
      </w:tr>
      <w:tr>
        <w:trPr>
          <w:cantSplit/>
        </w:trPr>
        <w:tc>
          <w:tcPr/>
          <w:p>
            <w:pPr>
              <w:pStyle w:val="Compact"/>
            </w:pPr>
            <w:r>
              <w:rPr>
                <w:lang w:val="en-GB"/>
              </w:rPr>
              <w:t xml:space="preserve">Speaker data</w:t>
            </w:r>
          </w:p>
        </w:tc>
        <w:tc>
          <w:tcPr/>
          <w:p>
            <w:pPr>
              <w:pStyle w:val="Compact"/>
            </w:pPr>
            <w:r>
              <w:rPr>
                <w:lang w:val="en-GB"/>
              </w:rPr>
              <w:t xml:space="preserve">Speaker names entered by users, speaker labels, proposed matches, human corrections</w:t>
            </w:r>
          </w:p>
        </w:tc>
      </w:tr>
      <w:tr>
        <w:trPr>
          <w:cantSplit/>
        </w:trPr>
        <w:tc>
          <w:tcPr/>
          <w:p>
            <w:pPr>
              <w:pStyle w:val="Compact"/>
            </w:pPr>
            <w:r>
              <w:rPr>
                <w:lang w:val="en-GB"/>
              </w:rPr>
              <w:t xml:space="preserve">Preparatory documents</w:t>
            </w:r>
          </w:p>
        </w:tc>
        <w:tc>
          <w:tcPr/>
          <w:p>
            <w:pPr>
              <w:pStyle w:val="Compact"/>
            </w:pPr>
            <w:r>
              <w:rPr>
                <w:lang w:val="en-GB"/>
              </w:rPr>
              <w:t xml:space="preserve">Agendas, previous minutes, notes, PDF/DOCX documents, text or Markdown extract</w:t>
            </w:r>
          </w:p>
        </w:tc>
      </w:tr>
      <w:tr>
        <w:trPr>
          <w:cantSplit/>
        </w:trPr>
        <w:tc>
          <w:tcPr/>
          <w:p>
            <w:pPr>
              <w:pStyle w:val="Compact"/>
            </w:pPr>
            <w:r>
              <w:rPr>
                <w:lang w:val="en-GB"/>
              </w:rPr>
              <w:t xml:space="preserve">Session metadata</w:t>
            </w:r>
          </w:p>
        </w:tc>
        <w:tc>
          <w:tcPr/>
          <w:p>
            <w:pPr>
              <w:pStyle w:val="Compact"/>
            </w:pPr>
            <w:r>
              <w:rPr>
                <w:lang w:val="en-GB"/>
              </w:rPr>
              <w:t xml:space="preserve">Title, date, location, session type, status, calendar, team, organization, linked files, functional parameters</w:t>
            </w:r>
          </w:p>
        </w:tc>
      </w:tr>
      <w:tr>
        <w:trPr>
          <w:cantSplit/>
        </w:trPr>
        <w:tc>
          <w:tcPr/>
          <w:p>
            <w:pPr>
              <w:pStyle w:val="Compact"/>
            </w:pPr>
            <w:r>
              <w:rPr>
                <w:lang w:val="en-GB"/>
              </w:rPr>
              <w:t xml:space="preserve">User accounts</w:t>
            </w:r>
          </w:p>
        </w:tc>
        <w:tc>
          <w:tcPr/>
          <w:p>
            <w:pPr>
              <w:pStyle w:val="Compact"/>
            </w:pPr>
            <w:r>
              <w:rPr>
                <w:lang w:val="en-GB"/>
              </w:rPr>
              <w:t xml:space="preserve">Last name, first name if applicable, email, role, organization, team, account status, access tokens, connection date</w:t>
            </w:r>
          </w:p>
        </w:tc>
      </w:tr>
      <w:tr>
        <w:trPr>
          <w:cantSplit/>
        </w:trPr>
        <w:tc>
          <w:tcPr/>
          <w:p>
            <w:pPr>
              <w:pStyle w:val="Compact"/>
            </w:pPr>
            <w:r>
              <w:rPr>
                <w:lang w:val="en-GB"/>
              </w:rPr>
              <w:t xml:space="preserve">Audit logs and technical traces</w:t>
            </w:r>
          </w:p>
        </w:tc>
        <w:tc>
          <w:tcPr/>
          <w:p>
            <w:pPr>
              <w:pStyle w:val="Compact"/>
            </w:pPr>
            <w:r>
              <w:rPr>
                <w:lang w:val="en-GB"/>
              </w:rPr>
              <w:t xml:space="preserve">User identifiers, actions, dates, IP addresses when collected, application events, errors, correlation IDs</w:t>
            </w:r>
          </w:p>
        </w:tc>
      </w:tr>
      <w:tr>
        <w:trPr>
          <w:cantSplit/>
        </w:trPr>
        <w:tc>
          <w:tcPr/>
          <w:p>
            <w:pPr>
              <w:pStyle w:val="Compact"/>
            </w:pPr>
            <w:r>
              <w:rPr>
                <w:lang w:val="en-GB"/>
              </w:rPr>
              <w:t xml:space="preserve">AI Generations</w:t>
            </w:r>
          </w:p>
        </w:tc>
        <w:tc>
          <w:tcPr/>
          <w:p>
            <w:pPr>
              <w:pStyle w:val="Compact"/>
            </w:pPr>
            <w:r>
              <w:rPr>
                <w:lang w:val="en-GB"/>
              </w:rPr>
              <w:t xml:space="preserve">Prompts, selected sources, generated responses, summaries, analyses, corrections, minutes, exports</w:t>
            </w:r>
          </w:p>
        </w:tc>
      </w:tr>
      <w:tr>
        <w:trPr>
          <w:cantSplit/>
        </w:trPr>
        <w:tc>
          <w:tcPr/>
          <w:p>
            <w:pPr>
              <w:pStyle w:val="Compact"/>
            </w:pPr>
            <w:r>
              <w:rPr>
                <w:lang w:val="en-GB"/>
              </w:rPr>
              <w:t xml:space="preserve">Voting or attendance data if enabled</w:t>
            </w:r>
          </w:p>
        </w:tc>
        <w:tc>
          <w:tcPr/>
          <w:p>
            <w:pPr>
              <w:pStyle w:val="Compact"/>
            </w:pPr>
            <w:r>
              <w:rPr>
                <w:lang w:val="en-GB"/>
              </w:rPr>
              <w:t xml:space="preserve">Presences, absences, proxies, voting results, quality or function of participants</w:t>
            </w:r>
          </w:p>
        </w:tc>
      </w:tr>
      <w:tr>
        <w:trPr>
          <w:cantSplit/>
        </w:trPr>
        <w:tc>
          <w:tcPr/>
          <w:p>
            <w:pPr>
              <w:pStyle w:val="Compact"/>
            </w:pPr>
            <w:r>
              <w:rPr>
                <w:lang w:val="en-GB"/>
              </w:rPr>
              <w:t xml:space="preserve">Temporary voice embeddings</w:t>
            </w:r>
          </w:p>
        </w:tc>
        <w:tc>
          <w:tcPr/>
          <w:p>
            <w:pPr>
              <w:pStyle w:val="Compact"/>
            </w:pPr>
            <w:r>
              <w:rPr>
                <w:lang w:val="en-GB"/>
              </w:rPr>
              <w:t xml:space="preserve">Numerical representations temporarily calculated in RAM for voice correlation, destroyed at the end of the request</w:t>
            </w:r>
          </w:p>
        </w:tc>
      </w:tr>
    </w:tbl>
    <w:bookmarkEnd w:id="34"/>
    <w:bookmarkStart w:id="35" w:name="catégories-de-personnes-concernées"/>
    <w:p>
      <w:pPr>
        <w:pStyle w:val="Heading3"/>
        <w:keepNext/>
        <w:keepLines/>
      </w:pPr>
      <w:r>
        <w:rPr>
          <w:color w:val="000000"/>
          <w:lang w:val="en-GB"/>
        </w:rPr>
        <w:t xml:space="preserve">Categories of people concerned</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Category</w:t>
            </w:r>
          </w:p>
        </w:tc>
        <w:tc>
          <w:tcPr/>
          <w:p>
            <w:pPr>
              <w:pStyle w:val="Compact"/>
            </w:pPr>
            <w:r>
              <w:rPr>
                <w:lang w:val="en-GB"/>
              </w:rPr>
              <w:t xml:space="preserve">Description</w:t>
            </w:r>
          </w:p>
        </w:tc>
      </w:tr>
      <w:tr>
        <w:trPr>
          <w:cantSplit/>
        </w:trPr>
        <w:tc>
          <w:tcPr/>
          <w:p>
            <w:pPr>
              <w:pStyle w:val="Compact"/>
            </w:pPr>
            <w:r>
              <w:rPr>
                <w:lang w:val="en-GB"/>
              </w:rPr>
              <w:t xml:space="preserve">Client Users</w:t>
            </w:r>
          </w:p>
        </w:tc>
        <w:tc>
          <w:tcPr/>
          <w:p>
            <w:pPr>
              <w:pStyle w:val="Compact"/>
            </w:pPr>
            <w:r>
              <w:rPr>
                <w:lang w:val="en-GB"/>
              </w:rPr>
              <w:t xml:space="preserve">Agents, employees, elected officials, practitioners, lawyers, notaries, teachers, journalists, administrators, team members</w:t>
            </w:r>
          </w:p>
        </w:tc>
      </w:tr>
      <w:tr>
        <w:trPr>
          <w:cantSplit/>
        </w:trPr>
        <w:tc>
          <w:tcPr/>
          <w:p>
            <w:pPr>
              <w:pStyle w:val="Compact"/>
            </w:pPr>
            <w:r>
              <w:rPr>
                <w:lang w:val="en-GB"/>
              </w:rPr>
              <w:t xml:space="preserve">Registered speakers</w:t>
            </w:r>
          </w:p>
        </w:tc>
        <w:tc>
          <w:tcPr/>
          <w:p>
            <w:pPr>
              <w:pStyle w:val="Compact"/>
            </w:pPr>
            <w:r>
              <w:rPr>
                <w:lang w:val="en-GB"/>
              </w:rPr>
              <w:t xml:space="preserve">Participants whose voice is captured in uploaded audio or video files</w:t>
            </w:r>
          </w:p>
        </w:tc>
      </w:tr>
      <w:tr>
        <w:trPr>
          <w:cantSplit/>
        </w:trPr>
        <w:tc>
          <w:tcPr/>
          <w:p>
            <w:pPr>
              <w:pStyle w:val="Compact"/>
            </w:pPr>
            <w:r>
              <w:rPr>
                <w:lang w:val="en-GB"/>
              </w:rPr>
              <w:t xml:space="preserve">People mentioned</w:t>
            </w:r>
          </w:p>
        </w:tc>
        <w:tc>
          <w:tcPr/>
          <w:p>
            <w:pPr>
              <w:pStyle w:val="Compact"/>
            </w:pPr>
            <w:r>
              <w:rPr>
                <w:lang w:val="en-GB"/>
              </w:rPr>
              <w:t xml:space="preserve">People cited in meetings, transcripts, preparatory documents, votes, minutes or AI generations</w:t>
            </w:r>
          </w:p>
        </w:tc>
      </w:tr>
      <w:tr>
        <w:trPr>
          <w:cantSplit/>
        </w:trPr>
        <w:tc>
          <w:tcPr/>
          <w:p>
            <w:pPr>
              <w:pStyle w:val="Compact"/>
            </w:pPr>
            <w:r>
              <w:rPr>
                <w:lang w:val="en-GB"/>
              </w:rPr>
              <w:t xml:space="preserve">Institutional contacts</w:t>
            </w:r>
          </w:p>
        </w:tc>
        <w:tc>
          <w:tcPr/>
          <w:p>
            <w:pPr>
              <w:pStyle w:val="Compact"/>
            </w:pPr>
            <w:r>
              <w:rPr>
                <w:lang w:val="en-GB"/>
              </w:rPr>
              <w:t xml:space="preserve">Board members, elected officials, collaborators, representatives, invited participants</w:t>
            </w:r>
          </w:p>
        </w:tc>
      </w:tr>
      <w:tr>
        <w:trPr>
          <w:cantSplit/>
        </w:trPr>
        <w:tc>
          <w:tcPr/>
          <w:p>
            <w:pPr>
              <w:pStyle w:val="Compact"/>
            </w:pPr>
            <w:r>
              <w:rPr>
                <w:lang w:val="en-GB"/>
              </w:rPr>
              <w:t xml:space="preserve">Staff OHADJA</w:t>
            </w:r>
          </w:p>
        </w:tc>
        <w:tc>
          <w:tcPr/>
          <w:p>
            <w:pPr>
              <w:pStyle w:val="Compact"/>
            </w:pPr>
            <w:r>
              <w:rPr>
                <w:lang w:val="en-GB"/>
              </w:rPr>
              <w:t xml:space="preserve">Only for traces of intervention, support, security or internal audit linked to the Service</w:t>
            </w:r>
          </w:p>
        </w:tc>
      </w:tr>
    </w:tbl>
    <w:bookmarkEnd w:id="35"/>
    <w:bookmarkStart w:id="36" w:name="durées-de-conservation-par-catégorie"/>
    <w:p>
      <w:pPr>
        <w:pStyle w:val="Heading3"/>
        <w:keepNext/>
        <w:keepLines/>
      </w:pPr>
      <w:r>
        <w:rPr>
          <w:color w:val="000000"/>
          <w:lang w:val="en-GB"/>
        </w:rPr>
        <w:t xml:space="preserve">Shelf life by category</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Category</w:t>
            </w:r>
          </w:p>
        </w:tc>
        <w:tc>
          <w:tcPr/>
          <w:p>
            <w:pPr>
              <w:pStyle w:val="Compact"/>
            </w:pPr>
            <w:r>
              <w:rPr>
                <w:lang w:val="en-GB"/>
              </w:rPr>
              <w:t xml:space="preserve">Standard shelf life</w:t>
            </w:r>
          </w:p>
        </w:tc>
      </w:tr>
      <w:tr>
        <w:trPr>
          <w:cantSplit/>
        </w:trPr>
        <w:tc>
          <w:tcPr/>
          <w:p>
            <w:pPr>
              <w:pStyle w:val="Compact"/>
            </w:pPr>
            <w:r>
              <w:rPr>
                <w:lang w:val="en-GB"/>
              </w:rPr>
              <w:t xml:space="preserve">Active user accounts</w:t>
            </w:r>
          </w:p>
        </w:tc>
        <w:tc>
          <w:tcPr/>
          <w:p>
            <w:pPr>
              <w:pStyle w:val="Compact"/>
            </w:pPr>
            <w:r>
              <w:rPr>
                <w:lang w:val="en-GB"/>
              </w:rPr>
              <w:t xml:space="preserve">During the term of the account and the Main Contract</w:t>
            </w:r>
          </w:p>
        </w:tc>
      </w:tr>
      <w:tr>
        <w:trPr>
          <w:cantSplit/>
        </w:trPr>
        <w:tc>
          <w:tcPr/>
          <w:p>
            <w:pPr>
              <w:pStyle w:val="Compact"/>
            </w:pPr>
            <w:r>
              <w:rPr>
                <w:lang w:val="en-GB"/>
              </w:rPr>
              <w:t xml:space="preserve">Disabled user accounts</w:t>
            </w:r>
          </w:p>
        </w:tc>
        <w:tc>
          <w:tcPr/>
          <w:p>
            <w:pPr>
              <w:pStyle w:val="Compact"/>
            </w:pPr>
            <w:r>
              <w:rPr>
                <w:lang w:val="en-GB"/>
              </w:rPr>
              <w:t xml:space="preserve">Deletion or anonymization according to the Client's instructions; failing that, at the end of the Main Contract</w:t>
            </w:r>
          </w:p>
        </w:tc>
      </w:tr>
      <w:tr>
        <w:trPr>
          <w:cantSplit/>
        </w:trPr>
        <w:tc>
          <w:tcPr/>
          <w:p>
            <w:pPr>
              <w:pStyle w:val="Compact"/>
            </w:pPr>
            <w:r>
              <w:rPr>
                <w:lang w:val="en-GB"/>
              </w:rPr>
              <w:t xml:space="preserve">Audio files</w:t>
            </w:r>
          </w:p>
        </w:tc>
        <w:tc>
          <w:tcPr/>
          <w:p>
            <w:pPr>
              <w:pStyle w:val="Compact"/>
            </w:pPr>
            <w:r>
              <w:rPr>
                <w:lang w:val="en-GB"/>
              </w:rPr>
              <w:t xml:space="preserve">During the duration configured by the Customer or, failing that, during the duration of the Main Contract</w:t>
            </w:r>
          </w:p>
        </w:tc>
      </w:tr>
      <w:tr>
        <w:trPr>
          <w:cantSplit/>
        </w:trPr>
        <w:tc>
          <w:tcPr/>
          <w:p>
            <w:pPr>
              <w:pStyle w:val="Compact"/>
            </w:pPr>
            <w:r>
              <w:rPr>
                <w:lang w:val="en-GB"/>
              </w:rPr>
              <w:t xml:space="preserve">Transcriptions and versions</w:t>
            </w:r>
          </w:p>
        </w:tc>
        <w:tc>
          <w:tcPr/>
          <w:p>
            <w:pPr>
              <w:pStyle w:val="Compact"/>
            </w:pPr>
            <w:r>
              <w:rPr>
                <w:lang w:val="en-GB"/>
              </w:rPr>
              <w:t xml:space="preserve">During the duration configured by the Customer or, failing that, during the duration of the Main Contract</w:t>
            </w:r>
          </w:p>
        </w:tc>
      </w:tr>
      <w:tr>
        <w:trPr>
          <w:cantSplit/>
        </w:trPr>
        <w:tc>
          <w:tcPr/>
          <w:p>
            <w:pPr>
              <w:pStyle w:val="Compact"/>
            </w:pPr>
            <w:r>
              <w:rPr>
                <w:lang w:val="en-GB"/>
              </w:rPr>
              <w:t xml:space="preserve">Preparatory documents</w:t>
            </w:r>
          </w:p>
        </w:tc>
        <w:tc>
          <w:tcPr/>
          <w:p>
            <w:pPr>
              <w:pStyle w:val="Compact"/>
            </w:pPr>
            <w:r>
              <w:rPr>
                <w:lang w:val="en-GB"/>
              </w:rPr>
              <w:t xml:space="preserve">During the duration configured by the Customer or, failing that, during the duration of the Main Contract</w:t>
            </w:r>
          </w:p>
        </w:tc>
      </w:tr>
      <w:tr>
        <w:trPr>
          <w:cantSplit/>
        </w:trPr>
        <w:tc>
          <w:tcPr/>
          <w:p>
            <w:pPr>
              <w:pStyle w:val="Compact"/>
            </w:pPr>
            <w:r>
              <w:rPr>
                <w:lang w:val="en-GB"/>
              </w:rPr>
              <w:t xml:space="preserve">AI generations and exports</w:t>
            </w:r>
          </w:p>
        </w:tc>
        <w:tc>
          <w:tcPr/>
          <w:p>
            <w:pPr>
              <w:pStyle w:val="Compact"/>
            </w:pPr>
            <w:r>
              <w:rPr>
                <w:lang w:val="en-GB"/>
              </w:rPr>
              <w:t xml:space="preserve">During the duration configured by the Customer or, failing that, during the duration of the Main Contract</w:t>
            </w:r>
          </w:p>
        </w:tc>
      </w:tr>
      <w:tr>
        <w:trPr>
          <w:cantSplit/>
        </w:trPr>
        <w:tc>
          <w:tcPr/>
          <w:p>
            <w:pPr>
              <w:pStyle w:val="Compact"/>
            </w:pPr>
            <w:r>
              <w:rPr>
                <w:lang w:val="en-GB"/>
              </w:rPr>
              <w:t xml:space="preserve">Application audit logs</w:t>
            </w:r>
          </w:p>
        </w:tc>
        <w:tc>
          <w:tcPr/>
          <w:p>
            <w:pPr>
              <w:pStyle w:val="Compact"/>
            </w:pPr>
            <w:r>
              <w:rPr>
                <w:lang w:val="en-GB"/>
              </w:rPr>
              <w:t xml:space="preserve">Duration necessary for security, traceability and proof, within the limit of twelve (12) months unless otherwise required or instructed</w:t>
            </w:r>
          </w:p>
        </w:tc>
      </w:tr>
      <w:tr>
        <w:trPr>
          <w:cantSplit/>
        </w:trPr>
        <w:tc>
          <w:tcPr/>
          <w:p>
            <w:pPr>
              <w:pStyle w:val="Compact"/>
            </w:pPr>
            <w:r>
              <w:rPr>
                <w:lang w:val="en-GB"/>
              </w:rPr>
              <w:t xml:space="preserve">Technical logs</w:t>
            </w:r>
          </w:p>
        </w:tc>
        <w:tc>
          <w:tcPr/>
          <w:p>
            <w:pPr>
              <w:pStyle w:val="Compact"/>
            </w:pPr>
            <w:r>
              <w:rPr>
                <w:lang w:val="en-GB"/>
              </w:rPr>
              <w:t xml:space="preserve">Duration necessary for operation, security and diagnosis, generally limited to ninety (90) days unless incidental or otherwise required</w:t>
            </w:r>
          </w:p>
        </w:tc>
      </w:tr>
      <w:tr>
        <w:trPr>
          <w:cantSplit/>
        </w:trPr>
        <w:tc>
          <w:tcPr/>
          <w:p>
            <w:pPr>
              <w:pStyle w:val="Compact"/>
            </w:pPr>
            <w:r>
              <w:rPr>
                <w:lang w:val="en-GB"/>
              </w:rPr>
              <w:t xml:space="preserve">Backups</w:t>
            </w:r>
          </w:p>
        </w:tc>
        <w:tc>
          <w:tcPr/>
          <w:p>
            <w:pPr>
              <w:pStyle w:val="Compact"/>
            </w:pPr>
            <w:r>
              <w:rPr>
                <w:lang w:val="en-GB"/>
              </w:rPr>
              <w:t xml:space="preserve">Conservation according to backup cycle, maximum ninety (90) days unless restoration, incident or legal obligation</w:t>
            </w:r>
          </w:p>
        </w:tc>
      </w:tr>
      <w:tr>
        <w:trPr>
          <w:cantSplit/>
        </w:trPr>
        <w:tc>
          <w:tcPr/>
          <w:p>
            <w:pPr>
              <w:pStyle w:val="Compact"/>
            </w:pPr>
            <w:r>
              <w:rPr>
                <w:lang w:val="en-GB"/>
              </w:rPr>
              <w:t xml:space="preserve">Temporary voice embeddings</w:t>
            </w:r>
          </w:p>
        </w:tc>
        <w:tc>
          <w:tcPr/>
          <w:p>
            <w:pPr>
              <w:pStyle w:val="Compact"/>
            </w:pPr>
            <w:r>
              <w:rPr>
                <w:lang w:val="en-GB"/>
              </w:rPr>
              <w:t xml:space="preserve">Duration strictly limited to the execution of the voice correlation request; destruction at the end of treatment</w:t>
            </w:r>
          </w:p>
        </w:tc>
      </w:tr>
    </w:tbl>
    <w:bookmarkEnd w:id="36"/>
    <w:bookmarkStart w:id="37" w:name="voice-correlation"/>
    <w:p>
      <w:pPr>
        <w:pStyle w:val="Heading3"/>
        <w:keepNext/>
        <w:keepLines/>
      </w:pPr>
      <w:r>
        <w:rPr>
          <w:color w:val="000000"/>
          <w:lang w:val="en-GB"/>
        </w:rPr>
        <w:t xml:space="preserve">Voice correlation</w:t>
      </w:r>
    </w:p>
    <w:p>
      <w:pPr>
        <w:pStyle w:val="FirstParagraph"/>
      </w:pPr>
      <w:r>
        <w:rPr>
          <w:lang w:val="en-GB"/>
        </w:rPr>
        <w:t xml:space="preserve">The voice correlation functionality, delivered on May 18, 2026, consists of temporary processing of voice data for the purpose of suggesting speaker identification, without creating a persistent biometric template.</w:t>
      </w:r>
    </w:p>
    <w:p>
      <w:pPr>
        <w:pStyle w:val="BodyText"/>
      </w:pPr>
      <w:r>
        <w:rPr>
          <w:lang w:val="en-GB"/>
        </w:rPr>
        <w:t xml:space="preserve">This functionality can compare vocal characteristics temporarily extracted from one or more audio segments with elements available in the Client's session or space, in order to offer a suggested association between a detected speaker and a speaker name entered or validated by users.</w:t>
      </w:r>
    </w:p>
    <w:p>
      <w:pPr>
        <w:pStyle w:val="BodyText"/>
      </w:pPr>
      <w:r>
        <w:rPr>
          <w:lang w:val="en-GB"/>
        </w:rPr>
        <w:t xml:space="preserve">The suggestions produced by voice correlation do not constitute a definitive automatic decision. They must be subject to human validation by an authorized user of the Client before being retained in the transcription or interface.</w:t>
      </w:r>
    </w:p>
    <w:p>
      <w:pPr>
        <w:pStyle w:val="BodyText"/>
      </w:pPr>
      <w:r>
        <w:rPr>
          <w:lang w:val="en-GB"/>
        </w:rPr>
        <w:t xml:space="preserve">Temporary voice embeddings are calculated in RAM or in controlled temporary spaces, are not kept as persistent profiles, are not used for model training by OHADJA, and are destroyed at the end of the request, including in </w:t>
      </w:r>
      <w:r>
        <w:rPr>
          <w:lang w:val="en-GB"/>
        </w:rPr>
        <w:t xml:space="preserve"/>
      </w:r>
      <w:r>
        <w:rPr>
          <w:rStyle w:val="VerbatimChar"/>
          <w:lang w:val="en-GB"/>
        </w:rPr>
        <w:t xml:space="preserve">finally</w:t>
      </w:r>
      <w:r>
        <w:rPr>
          <w:lang w:val="en-GB"/>
        </w:rPr>
        <w:t xml:space="preserve"> </w:t>
      </w:r>
      <w:r>
        <w:rPr>
          <w:lang w:val="en-GB"/>
        </w:rPr>
        <w:t xml:space="preserve">type application cleanup blocks when they are used.</w:t>
      </w:r>
    </w:p>
    <w:p>
      <w:pPr>
        <w:pStyle w:val="BodyText"/>
      </w:pPr>
      <w:r>
        <w:rPr>
          <w:lang w:val="en-GB"/>
        </w:rPr>
        <w:t xml:space="preserve">The Client remains responsible for informing the Data Subjects, choosing the legal basis, determining necessity and proportionality, as well as any internal analysis required with regard to its uses.</w:t>
      </w:r>
    </w:p>
    <w:bookmarkEnd w:id="37"/>
    <w:bookmarkEnd w:id="38"/>
    <w:bookmarkStart w:id="39" w:name="Xd31bed0aa0778d1f455c6a7f93a5eaae9719c2f"/>
    <w:p>
      <w:pPr>
        <w:pStyle w:val="Heading2"/>
        <w:keepNext/>
        <w:keepLines/>
      </w:pPr>
      <w:r>
        <w:rPr>
          <w:color w:val="000000"/>
          <w:lang w:val="en-GB"/>
        </w:rPr>
        <w:t xml:space="preserve">ANNEX 2 — LIST OF AUTHORIZED Subprocessors</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en-GB"/>
              </w:rPr>
              <w:t xml:space="preserve">Name</w:t>
            </w:r>
          </w:p>
        </w:tc>
        <w:tc>
          <w:tcPr>
            <w:tcW w:type="dxa" w:w="2340"/>
            <w:tcMar>
              <w:left w:type="dxa" w:w="80"/>
              <w:right w:type="dxa" w:w="80"/>
            </w:tcMar>
          </w:tcPr>
          <w:p>
            <w:pPr>
              <w:pStyle w:val="Compact"/>
            </w:pPr>
            <w:r>
              <w:rPr>
                <w:sz w:val="19"/>
                <w:szCs w:val="19"/>
                <w:lang w:val="en-GB"/>
              </w:rPr>
              <w:t xml:space="preserve">Purpose</w:t>
            </w:r>
          </w:p>
        </w:tc>
        <w:tc>
          <w:tcPr>
            <w:tcW w:type="dxa" w:w="2340"/>
            <w:tcMar>
              <w:left w:type="dxa" w:w="80"/>
              <w:right w:type="dxa" w:w="80"/>
            </w:tcMar>
          </w:tcPr>
          <w:p>
            <w:pPr>
              <w:pStyle w:val="Compact"/>
            </w:pPr>
            <w:r>
              <w:rPr>
                <w:sz w:val="19"/>
                <w:szCs w:val="19"/>
                <w:lang w:val="en-GB"/>
              </w:rPr>
              <w:t xml:space="preserve">Location</w:t>
            </w:r>
          </w:p>
        </w:tc>
        <w:tc>
          <w:tcPr>
            <w:tcW w:type="dxa" w:w="2340"/>
            <w:tcMar>
              <w:left w:type="dxa" w:w="80"/>
              <w:right w:type="dxa" w:w="80"/>
            </w:tcMar>
          </w:tcPr>
          <w:p>
            <w:pPr>
              <w:pStyle w:val="Compact"/>
            </w:pPr>
            <w:r>
              <w:rPr>
                <w:sz w:val="19"/>
                <w:szCs w:val="19"/>
                <w:lang w:val="en-GB"/>
              </w:rPr>
              <w:t xml:space="preserve">Contractual basis</w:t>
            </w:r>
          </w:p>
        </w:tc>
      </w:tr>
      <w:tr>
        <w:trPr>
          <w:cantSplit/>
        </w:trPr>
        <w:tc>
          <w:tcPr>
            <w:tcW w:type="dxa" w:w="2340"/>
            <w:tcMar>
              <w:left w:type="dxa" w:w="80"/>
              <w:right w:type="dxa" w:w="80"/>
            </w:tcMar>
          </w:tcPr>
          <w:p>
            <w:pPr>
              <w:pStyle w:val="Compact"/>
            </w:pPr>
            <w:r>
              <w:rPr>
                <w:sz w:val="19"/>
                <w:szCs w:val="19"/>
                <w:lang w:val="en-GB"/>
              </w:rPr>
              <w:t xml:space="preserve">Mastered LLM inference servers (vLLM, Qwen 3.6/Mistral open-weight models)</w:t>
            </w:r>
          </w:p>
        </w:tc>
        <w:tc>
          <w:tcPr>
            <w:tcW w:type="dxa" w:w="2340"/>
            <w:tcMar>
              <w:left w:type="dxa" w:w="80"/>
              <w:right w:type="dxa" w:w="80"/>
            </w:tcMar>
          </w:tcPr>
          <w:p>
            <w:pPr>
              <w:pStyle w:val="Compact"/>
            </w:pPr>
            <w:r>
              <w:rPr>
                <w:sz w:val="19"/>
                <w:szCs w:val="19"/>
                <w:lang w:val="en-GB"/>
              </w:rPr>
              <w:t xml:space="preserve">Primary pathway of AI functions: correction, summarization, text generation, analysis, structuring and AI assistance</w:t>
            </w:r>
          </w:p>
        </w:tc>
        <w:tc>
          <w:tcPr>
            <w:tcW w:type="dxa" w:w="2340"/>
            <w:tcMar>
              <w:left w:type="dxa" w:w="80"/>
              <w:right w:type="dxa" w:w="80"/>
            </w:tcMar>
          </w:tcPr>
          <w:p>
            <w:pPr>
              <w:pStyle w:val="Compact"/>
            </w:pPr>
            <w:r>
              <w:rPr>
                <w:sz w:val="19"/>
                <w:szCs w:val="19"/>
                <w:lang w:val="en-GB"/>
              </w:rPr>
              <w:t xml:space="preserve">European Union — hosted in Strasbourg and Paris</w:t>
            </w:r>
          </w:p>
        </w:tc>
        <w:tc>
          <w:tcPr>
            <w:tcW w:type="dxa" w:w="2340"/>
            <w:tcMar>
              <w:left w:type="dxa" w:w="80"/>
              <w:right w:type="dxa" w:w="80"/>
            </w:tcMar>
          </w:tcPr>
          <w:p>
            <w:pPr>
              <w:pStyle w:val="Compact"/>
            </w:pPr>
            <w:r>
              <w:rPr>
                <w:sz w:val="19"/>
                <w:szCs w:val="19"/>
                <w:lang w:val="en-GB"/>
              </w:rPr>
              <w:t xml:space="preserve">Infrastructure controlled by OHADJA; no data transmitted to a third-party model provider</w:t>
            </w:r>
          </w:p>
        </w:tc>
      </w:tr>
      <w:tr>
        <w:trPr>
          <w:cantSplit/>
        </w:trPr>
        <w:tc>
          <w:tcPr>
            <w:tcW w:type="dxa" w:w="2340"/>
            <w:tcMar>
              <w:left w:type="dxa" w:w="80"/>
              <w:right w:type="dxa" w:w="80"/>
            </w:tcMar>
          </w:tcPr>
          <w:p>
            <w:pPr>
              <w:pStyle w:val="Compact"/>
            </w:pPr>
            <w:r>
              <w:rPr>
                <w:sz w:val="19"/>
                <w:szCs w:val="19"/>
                <w:lang w:val="en-GB"/>
              </w:rPr>
              <w:t xml:space="preserve">Hostinger</w:t>
            </w:r>
          </w:p>
        </w:tc>
        <w:tc>
          <w:tcPr>
            <w:tcW w:type="dxa" w:w="2340"/>
            <w:tcMar>
              <w:left w:type="dxa" w:w="80"/>
              <w:right w:type="dxa" w:w="80"/>
            </w:tcMar>
          </w:tcPr>
          <w:p>
            <w:pPr>
              <w:pStyle w:val="Compact"/>
            </w:pPr>
            <w:r>
              <w:rPr>
                <w:sz w:val="19"/>
                <w:szCs w:val="19"/>
                <w:lang w:val="en-GB"/>
              </w:rPr>
              <w:t xml:space="preserve">Physical or cloud hosting of the SaaS Service TranscribIA, storage, network, infrastructure availability</w:t>
            </w:r>
          </w:p>
        </w:tc>
        <w:tc>
          <w:tcPr>
            <w:tcW w:type="dxa" w:w="2340"/>
            <w:tcMar>
              <w:left w:type="dxa" w:w="80"/>
              <w:right w:type="dxa" w:w="80"/>
            </w:tcMar>
          </w:tcPr>
          <w:p>
            <w:pPr>
              <w:pStyle w:val="Compact"/>
            </w:pPr>
            <w:r>
              <w:rPr>
                <w:sz w:val="19"/>
                <w:szCs w:val="19"/>
                <w:lang w:val="en-GB"/>
              </w:rPr>
              <w:t xml:space="preserve">France, European Union or European Economic Area depending on the configuration chosen</w:t>
            </w:r>
          </w:p>
        </w:tc>
        <w:tc>
          <w:tcPr>
            <w:tcW w:type="dxa" w:w="2340"/>
            <w:tcMar>
              <w:left w:type="dxa" w:w="80"/>
              <w:right w:type="dxa" w:w="80"/>
            </w:tcMar>
          </w:tcPr>
          <w:p>
            <w:pPr>
              <w:pStyle w:val="Compact"/>
            </w:pPr>
            <w:r>
              <w:rPr>
                <w:sz w:val="19"/>
                <w:szCs w:val="19"/>
                <w:lang w:val="en-GB"/>
              </w:rPr>
              <w:t xml:space="preserve">Service contract, subcontracting clauses, commitments GDPR</w:t>
            </w:r>
          </w:p>
        </w:tc>
      </w:tr>
      <w:tr>
        <w:trPr>
          <w:cantSplit/>
        </w:trPr>
        <w:tc>
          <w:tcPr>
            <w:tcW w:type="dxa" w:w="2340"/>
            <w:tcMar>
              <w:left w:type="dxa" w:w="80"/>
              <w:right w:type="dxa" w:w="80"/>
            </w:tcMar>
          </w:tcPr>
          <w:p>
            <w:pPr>
              <w:pStyle w:val="Compact"/>
            </w:pPr>
            <w:r>
              <w:rPr>
                <w:sz w:val="19"/>
                <w:szCs w:val="19"/>
                <w:lang w:val="en-GB"/>
              </w:rPr>
              <w:t xml:space="preserve">Scaleway</w:t>
            </w:r>
          </w:p>
        </w:tc>
        <w:tc>
          <w:tcPr>
            <w:tcW w:type="dxa" w:w="2340"/>
            <w:tcMar>
              <w:left w:type="dxa" w:w="80"/>
              <w:right w:type="dxa" w:w="80"/>
            </w:tcMar>
          </w:tcPr>
          <w:p>
            <w:pPr>
              <w:pStyle w:val="Compact"/>
            </w:pPr>
            <w:r>
              <w:rPr>
                <w:sz w:val="19"/>
                <w:szCs w:val="19"/>
                <w:lang w:val="en-GB"/>
              </w:rPr>
              <w:t xml:space="preserve">Storing encrypted offsite backups</w:t>
            </w:r>
          </w:p>
        </w:tc>
        <w:tc>
          <w:tcPr>
            <w:tcW w:type="dxa" w:w="2340"/>
            <w:tcMar>
              <w:left w:type="dxa" w:w="80"/>
              <w:right w:type="dxa" w:w="80"/>
            </w:tcMar>
          </w:tcPr>
          <w:p>
            <w:pPr>
              <w:pStyle w:val="Compact"/>
            </w:pPr>
            <w:r>
              <w:rPr>
                <w:sz w:val="19"/>
                <w:szCs w:val="19"/>
                <w:lang w:val="en-GB"/>
              </w:rPr>
              <w:t xml:space="preserve">France (European Union)</w:t>
            </w:r>
          </w:p>
        </w:tc>
        <w:tc>
          <w:tcPr>
            <w:tcW w:type="dxa" w:w="2340"/>
            <w:tcMar>
              <w:left w:type="dxa" w:w="80"/>
              <w:right w:type="dxa" w:w="80"/>
            </w:tcMar>
          </w:tcPr>
          <w:p>
            <w:pPr>
              <w:pStyle w:val="Compact"/>
            </w:pPr>
            <w:r>
              <w:rPr>
                <w:sz w:val="19"/>
                <w:szCs w:val="19"/>
                <w:lang w:val="en-GB"/>
              </w:rPr>
              <w:t xml:space="preserve">Service contract, subcontracting clauses, commitments GDPR</w:t>
            </w:r>
          </w:p>
        </w:tc>
      </w:tr>
      <w:tr>
        <w:trPr>
          <w:cantSplit/>
        </w:trPr>
        <w:tc>
          <w:tcPr>
            <w:tcW w:type="dxa" w:w="2340"/>
            <w:tcMar>
              <w:left w:type="dxa" w:w="80"/>
              <w:right w:type="dxa" w:w="80"/>
            </w:tcMar>
          </w:tcPr>
          <w:p>
            <w:pPr>
              <w:pStyle w:val="Compact"/>
            </w:pPr>
            <w:r>
              <w:rPr>
                <w:sz w:val="19"/>
                <w:szCs w:val="19"/>
                <w:lang w:val="en-GB"/>
              </w:rPr>
              <w:t xml:space="preserve">OpenRouter</w:t>
            </w:r>
          </w:p>
        </w:tc>
        <w:tc>
          <w:tcPr>
            <w:tcW w:type="dxa" w:w="2340"/>
            <w:tcMar>
              <w:left w:type="dxa" w:w="80"/>
              <w:right w:type="dxa" w:w="80"/>
            </w:tcMar>
          </w:tcPr>
          <w:p>
            <w:pPr>
              <w:pStyle w:val="Compact"/>
            </w:pPr>
            <w:r>
              <w:rPr>
                <w:sz w:val="19"/>
                <w:szCs w:val="19"/>
                <w:lang w:val="en-GB"/>
              </w:rPr>
              <w:t xml:space="preserve">Failover route, deactivatable by organization: brokerage of access to LLM models when the primary route is unavailable and the fallback has not been deactivated by the Client</w:t>
            </w:r>
          </w:p>
        </w:tc>
        <w:tc>
          <w:tcPr>
            <w:tcW w:type="dxa" w:w="2340"/>
            <w:tcMar>
              <w:left w:type="dxa" w:w="80"/>
              <w:right w:type="dxa" w:w="80"/>
            </w:tcMar>
          </w:tcPr>
          <w:p>
            <w:pPr>
              <w:pStyle w:val="Compact"/>
            </w:pPr>
            <w:r>
              <w:rPr>
                <w:sz w:val="19"/>
                <w:szCs w:val="19"/>
                <w:lang w:val="en-GB"/>
              </w:rPr>
              <w:t xml:space="preserve">European Union or European Economic Area when available and activated; no transfer outside the EU without chapter V mechanism GDPR</w:t>
            </w:r>
          </w:p>
        </w:tc>
        <w:tc>
          <w:tcPr>
            <w:tcW w:type="dxa" w:w="2340"/>
            <w:tcMar>
              <w:left w:type="dxa" w:w="80"/>
              <w:right w:type="dxa" w:w="80"/>
            </w:tcMar>
          </w:tcPr>
          <w:p>
            <w:pPr>
              <w:pStyle w:val="Compact"/>
            </w:pPr>
            <w:r>
              <w:rPr>
                <w:sz w:val="19"/>
                <w:szCs w:val="19"/>
                <w:lang w:val="en-GB"/>
              </w:rPr>
              <w:t xml:space="preserve">Service contract, subcontracting clauses, commitments GDPR, standard contractual clauses if necessary</w:t>
            </w:r>
          </w:p>
        </w:tc>
      </w:tr>
      <w:tr>
        <w:trPr>
          <w:cantSplit/>
        </w:trPr>
        <w:tc>
          <w:tcPr>
            <w:tcW w:type="dxa" w:w="2340"/>
            <w:tcMar>
              <w:left w:type="dxa" w:w="80"/>
              <w:right w:type="dxa" w:w="80"/>
            </w:tcMar>
          </w:tcPr>
          <w:p>
            <w:pPr>
              <w:pStyle w:val="Compact"/>
            </w:pPr>
            <w:r>
              <w:rPr>
                <w:sz w:val="19"/>
                <w:szCs w:val="19"/>
                <w:lang w:val="en-GB"/>
              </w:rPr>
              <w:t xml:space="preserve">Model providers via OpenRouter, including Anthropic or OpenAI when configured</w:t>
            </w:r>
          </w:p>
        </w:tc>
        <w:tc>
          <w:tcPr>
            <w:tcW w:type="dxa" w:w="2340"/>
            <w:tcMar>
              <w:left w:type="dxa" w:w="80"/>
              <w:right w:type="dxa" w:w="80"/>
            </w:tcMar>
          </w:tcPr>
          <w:p>
            <w:pPr>
              <w:pStyle w:val="Compact"/>
            </w:pPr>
            <w:r>
              <w:rPr>
                <w:sz w:val="19"/>
                <w:szCs w:val="19"/>
                <w:lang w:val="en-GB"/>
              </w:rPr>
              <w:t xml:space="preserve">Backup LLM inference for only AI queries initiated or configured by the Client</w:t>
            </w:r>
          </w:p>
        </w:tc>
        <w:tc>
          <w:tcPr>
            <w:tcW w:type="dxa" w:w="2340"/>
            <w:tcMar>
              <w:left w:type="dxa" w:w="80"/>
              <w:right w:type="dxa" w:w="80"/>
            </w:tcMar>
          </w:tcPr>
          <w:p>
            <w:pPr>
              <w:pStyle w:val="Compact"/>
            </w:pPr>
            <w:r>
              <w:rPr>
                <w:sz w:val="19"/>
                <w:szCs w:val="19"/>
                <w:lang w:val="en-GB"/>
              </w:rPr>
              <w:t xml:space="preserve">Depending on available configuration, with EU/EEA priority; outside EU only with valid guarantees chapter V GDPR</w:t>
            </w:r>
          </w:p>
        </w:tc>
        <w:tc>
          <w:tcPr>
            <w:tcW w:type="dxa" w:w="2340"/>
            <w:tcMar>
              <w:left w:type="dxa" w:w="80"/>
              <w:right w:type="dxa" w:w="80"/>
            </w:tcMar>
          </w:tcPr>
          <w:p>
            <w:pPr>
              <w:pStyle w:val="Compact"/>
            </w:pPr>
            <w:r>
              <w:rPr>
                <w:sz w:val="19"/>
                <w:szCs w:val="19"/>
                <w:lang w:val="en-GB"/>
              </w:rPr>
              <w:t xml:space="preserve">Supplier conditions, supplier DPA, standard contractual clauses if necessary</w:t>
            </w:r>
          </w:p>
        </w:tc>
      </w:tr>
      <w:tr>
        <w:trPr>
          <w:cantSplit/>
        </w:trPr>
        <w:tc>
          <w:tcPr>
            <w:tcW w:type="dxa" w:w="2340"/>
            <w:tcMar>
              <w:left w:type="dxa" w:w="80"/>
              <w:right w:type="dxa" w:w="80"/>
            </w:tcMar>
          </w:tcPr>
          <w:p>
            <w:pPr>
              <w:pStyle w:val="Compact"/>
            </w:pPr>
            <w:r>
              <w:rPr>
                <w:sz w:val="19"/>
                <w:szCs w:val="19"/>
                <w:lang w:val="en-GB"/>
              </w:rPr>
              <w:t xml:space="preserve">Vast.ai</w:t>
            </w:r>
          </w:p>
        </w:tc>
        <w:tc>
          <w:tcPr>
            <w:tcW w:type="dxa" w:w="2340"/>
            <w:tcMar>
              <w:left w:type="dxa" w:w="80"/>
              <w:right w:type="dxa" w:w="80"/>
            </w:tcMar>
          </w:tcPr>
          <w:p>
            <w:pPr>
              <w:pStyle w:val="Compact"/>
            </w:pPr>
            <w:r>
              <w:rPr>
                <w:sz w:val="19"/>
                <w:szCs w:val="19"/>
                <w:lang w:val="en-GB"/>
              </w:rPr>
              <w:t xml:space="preserve">On-demand rental of GPU resources for transcription, diarization, audio processing or voice correlation when this option is used</w:t>
            </w:r>
          </w:p>
        </w:tc>
        <w:tc>
          <w:tcPr>
            <w:tcW w:type="dxa" w:w="2340"/>
            <w:tcMar>
              <w:left w:type="dxa" w:w="80"/>
              <w:right w:type="dxa" w:w="80"/>
            </w:tcMar>
          </w:tcPr>
          <w:p>
            <w:pPr>
              <w:pStyle w:val="Compact"/>
            </w:pPr>
            <w:r>
              <w:rPr>
                <w:sz w:val="19"/>
                <w:szCs w:val="19"/>
                <w:lang w:val="en-GB"/>
              </w:rPr>
              <w:t xml:space="preserve">Resources selected from the European Union or European Economic Area when required; outside the EU only with agreement and guarantees chapter V GDPR</w:t>
            </w:r>
          </w:p>
        </w:tc>
        <w:tc>
          <w:tcPr>
            <w:tcW w:type="dxa" w:w="2340"/>
            <w:tcMar>
              <w:left w:type="dxa" w:w="80"/>
              <w:right w:type="dxa" w:w="80"/>
            </w:tcMar>
          </w:tcPr>
          <w:p>
            <w:pPr>
              <w:pStyle w:val="Compact"/>
            </w:pPr>
            <w:r>
              <w:rPr>
                <w:sz w:val="19"/>
                <w:szCs w:val="19"/>
                <w:lang w:val="en-GB"/>
              </w:rPr>
              <w:t xml:space="preserve">Service contract, supplier conditions, contractual clauses or equivalent guarantees where applicable</w:t>
            </w:r>
          </w:p>
        </w:tc>
      </w:tr>
      <w:tr>
        <w:trPr>
          <w:cantSplit/>
        </w:trPr>
        <w:tc>
          <w:tcPr>
            <w:tcW w:type="dxa" w:w="2340"/>
            <w:tcMar>
              <w:left w:type="dxa" w:w="80"/>
              <w:right w:type="dxa" w:w="80"/>
            </w:tcMar>
          </w:tcPr>
          <w:p>
            <w:pPr>
              <w:pStyle w:val="Compact"/>
            </w:pPr>
            <w:r>
              <w:rPr>
                <w:sz w:val="19"/>
                <w:szCs w:val="19"/>
                <w:lang w:val="en-GB"/>
              </w:rPr>
              <w:t xml:space="preserve">Transactional email providers, if activated</w:t>
            </w:r>
          </w:p>
        </w:tc>
        <w:tc>
          <w:tcPr>
            <w:tcW w:type="dxa" w:w="2340"/>
            <w:tcMar>
              <w:left w:type="dxa" w:w="80"/>
              <w:right w:type="dxa" w:w="80"/>
            </w:tcMar>
          </w:tcPr>
          <w:p>
            <w:pPr>
              <w:pStyle w:val="Compact"/>
            </w:pPr>
            <w:r>
              <w:rPr>
                <w:sz w:val="19"/>
                <w:szCs w:val="19"/>
                <w:lang w:val="en-GB"/>
              </w:rPr>
              <w:t xml:space="preserve">Sending service emails: invitation, reset, technical notifications</w:t>
            </w:r>
          </w:p>
        </w:tc>
        <w:tc>
          <w:tcPr>
            <w:tcW w:type="dxa" w:w="2340"/>
            <w:tcMar>
              <w:left w:type="dxa" w:w="80"/>
              <w:right w:type="dxa" w:w="80"/>
            </w:tcMar>
          </w:tcPr>
          <w:p>
            <w:pPr>
              <w:pStyle w:val="Compact"/>
            </w:pPr>
            <w:r>
              <w:rPr>
                <w:sz w:val="19"/>
                <w:szCs w:val="19"/>
                <w:lang w:val="en-GB"/>
              </w:rPr>
              <w:t xml:space="preserve">European Union or European Economic Area when configured; outside EU only with chapter V guarantees GDPR</w:t>
            </w:r>
          </w:p>
        </w:tc>
        <w:tc>
          <w:tcPr>
            <w:tcW w:type="dxa" w:w="2340"/>
            <w:tcMar>
              <w:left w:type="dxa" w:w="80"/>
              <w:right w:type="dxa" w:w="80"/>
            </w:tcMar>
          </w:tcPr>
          <w:p>
            <w:pPr>
              <w:pStyle w:val="Compact"/>
            </w:pPr>
            <w:r>
              <w:rPr>
                <w:sz w:val="19"/>
                <w:szCs w:val="19"/>
                <w:lang w:val="en-GB"/>
              </w:rPr>
              <w:t xml:space="preserve">Service contract, supplier DPA, standard contractual clauses if necessary</w:t>
            </w:r>
          </w:p>
        </w:tc>
      </w:tr>
      <w:tr>
        <w:trPr>
          <w:cantSplit/>
        </w:trPr>
        <w:tc>
          <w:tcPr>
            <w:tcW w:type="dxa" w:w="2340"/>
            <w:tcMar>
              <w:left w:type="dxa" w:w="80"/>
              <w:right w:type="dxa" w:w="80"/>
            </w:tcMar>
          </w:tcPr>
          <w:p>
            <w:pPr>
              <w:pStyle w:val="Compact"/>
            </w:pPr>
            <w:r>
              <w:rPr>
                <w:sz w:val="19"/>
                <w:szCs w:val="19"/>
                <w:lang w:val="en-GB"/>
              </w:rPr>
              <w:t xml:space="preserve">Supervision or security providers, if activated</w:t>
            </w:r>
          </w:p>
        </w:tc>
        <w:tc>
          <w:tcPr>
            <w:tcW w:type="dxa" w:w="2340"/>
            <w:tcMar>
              <w:left w:type="dxa" w:w="80"/>
              <w:right w:type="dxa" w:w="80"/>
            </w:tcMar>
          </w:tcPr>
          <w:p>
            <w:pPr>
              <w:pStyle w:val="Compact"/>
            </w:pPr>
            <w:r>
              <w:rPr>
                <w:sz w:val="19"/>
                <w:szCs w:val="19"/>
                <w:lang w:val="en-GB"/>
              </w:rPr>
              <w:t xml:space="preserve">Technical supervision, alerting, error diagnosis, operational security</w:t>
            </w:r>
          </w:p>
        </w:tc>
        <w:tc>
          <w:tcPr>
            <w:tcW w:type="dxa" w:w="2340"/>
            <w:tcMar>
              <w:left w:type="dxa" w:w="80"/>
              <w:right w:type="dxa" w:w="80"/>
            </w:tcMar>
          </w:tcPr>
          <w:p>
            <w:pPr>
              <w:pStyle w:val="Compact"/>
            </w:pPr>
            <w:r>
              <w:rPr>
                <w:sz w:val="19"/>
                <w:szCs w:val="19"/>
                <w:lang w:val="en-GB"/>
              </w:rPr>
              <w:t xml:space="preserve">European Union or European Economic Area when configured; outside EU only with chapter V guarantees GDPR</w:t>
            </w:r>
          </w:p>
        </w:tc>
        <w:tc>
          <w:tcPr>
            <w:tcW w:type="dxa" w:w="2340"/>
            <w:tcMar>
              <w:left w:type="dxa" w:w="80"/>
              <w:right w:type="dxa" w:w="80"/>
            </w:tcMar>
          </w:tcPr>
          <w:p>
            <w:pPr>
              <w:pStyle w:val="Compact"/>
            </w:pPr>
            <w:r>
              <w:rPr>
                <w:sz w:val="19"/>
                <w:szCs w:val="19"/>
                <w:lang w:val="en-GB"/>
              </w:rPr>
              <w:t xml:space="preserve">Service contract, supplier DPA, standard contractual clauses if necessary</w:t>
            </w:r>
          </w:p>
        </w:tc>
      </w:tr>
    </w:tbl>
    <w:bookmarkEnd w:id="39"/>
    <w:bookmarkStart w:id="51" w:name="X7523f8d50ce773b6c8cc26d7ed71f7717c2def3"/>
    <w:p>
      <w:pPr>
        <w:pStyle w:val="Heading2"/>
        <w:keepNext/>
        <w:keepLines/>
      </w:pPr>
      <w:r>
        <w:rPr>
          <w:color w:val="000000"/>
          <w:lang w:val="en-GB"/>
        </w:rPr>
        <w:t xml:space="preserve">ANNEX 3 — TECHNICAL AND ORGANIZATIONAL MEASURES</w:t>
      </w:r>
    </w:p>
    <w:bookmarkStart w:id="40" w:name="X8f3e232de8def0f8007972b4bf4a3c55c088848"/>
    <w:p>
      <w:pPr>
        <w:pStyle w:val="Heading3"/>
        <w:keepNext/>
        <w:keepLines/>
      </w:pPr>
      <w:r>
        <w:rPr>
          <w:color w:val="000000"/>
          <w:lang w:val="en-GB"/>
        </w:rPr>
        <w:t xml:space="preserve">1. Encryption and protection of flows</w:t>
      </w:r>
    </w:p>
    <w:p>
      <w:pPr>
        <w:pStyle w:val="FirstParagraph"/>
      </w:pPr>
      <w:r>
        <w:rPr>
          <w:lang w:val="en-GB"/>
        </w:rPr>
        <w:t xml:space="preserve">OHADJA implements encryption of network communications by TLS/HTTPS for application access, APIs and administration interfaces, in accordance with article 32.1.a of GDPR.</w:t>
      </w:r>
    </w:p>
    <w:p>
      <w:pPr>
        <w:pStyle w:val="BodyText"/>
      </w:pPr>
      <w:r>
        <w:rPr>
          <w:lang w:val="en-GB"/>
        </w:rPr>
        <w:t xml:space="preserve">Backups are encrypted with age (X25519 + ChaCha20-Poly1305) before off-site transfer. System disk encryption depends on the data centre offering; an upgrade (LUKS/gocryptfs) is planned.</w:t>
      </w:r>
    </w:p>
    <w:p>
      <w:pPr>
        <w:pStyle w:val="BodyText"/>
      </w:pPr>
      <w:r>
        <w:rPr>
          <w:lang w:val="en-GB"/>
        </w:rPr>
        <w:t xml:space="preserve">Audio file streaming URLs are protected by signed and temporary links. Unauthorized direct access to files is not publicly exposed.</w:t>
      </w:r>
    </w:p>
    <w:p>
      <w:pPr>
        <w:pStyle w:val="BodyText"/>
      </w:pPr>
      <w:r>
        <w:rPr>
          <w:lang w:val="en-GB"/>
        </w:rPr>
        <w:t xml:space="preserve">Application secrets, API keys, tokens and passwords are stored in environment files, vaults, secure variables or equivalent mechanisms, with access limited to authorized persons.</w:t>
      </w:r>
    </w:p>
    <w:bookmarkEnd w:id="40"/>
    <w:bookmarkStart w:id="41" w:name="Xaddc48e34396aae88c17fa247fc517b48e3185f"/>
    <w:p>
      <w:pPr>
        <w:pStyle w:val="Heading3"/>
        <w:keepNext/>
        <w:keepLines/>
      </w:pPr>
      <w:r>
        <w:rPr>
          <w:color w:val="000000"/>
          <w:lang w:val="en-GB"/>
        </w:rPr>
        <w:t xml:space="preserve">2. Insulation and logical partitioning</w:t>
      </w:r>
    </w:p>
    <w:p>
      <w:pPr>
        <w:pStyle w:val="FirstParagraph"/>
      </w:pPr>
      <w:r>
        <w:rPr>
          <w:lang w:val="en-GB"/>
        </w:rPr>
        <w:t xml:space="preserve">The SaaS Service is based on a multi-tenant architecture with logical isolation by organization. Tenant data is separated by organization-dedicated PostgreSQL schema when this architecture is enabled.</w:t>
      </w:r>
    </w:p>
    <w:p>
      <w:pPr>
        <w:pStyle w:val="BodyText"/>
      </w:pPr>
      <w:r>
        <w:rPr>
          <w:lang w:val="en-GB"/>
        </w:rPr>
        <w:t xml:space="preserve">The application middleware positions the context before executing queries, in order to limit access to the Data of the organization concerned.</w:t>
      </w:r>
    </w:p>
    <w:p>
      <w:pPr>
        <w:pStyle w:val="BodyText"/>
      </w:pPr>
      <w:r>
        <w:rPr>
          <w:lang w:val="en-GB"/>
        </w:rPr>
        <w:t xml:space="preserve">Application roles limit access according to authorized profiles: super administrator, authorized agent, manager, team lead and user.</w:t>
      </w:r>
    </w:p>
    <w:bookmarkEnd w:id="41"/>
    <w:bookmarkStart w:id="42" w:name="X60bf91a330e564937e33a5f7bf787f06d41ab37"/>
    <w:p>
      <w:pPr>
        <w:pStyle w:val="Heading3"/>
        <w:keepNext/>
        <w:keepLines/>
      </w:pPr>
      <w:r>
        <w:rPr>
          <w:color w:val="000000"/>
          <w:lang w:val="en-GB"/>
        </w:rPr>
        <w:t xml:space="preserve">3. Access management and authentication</w:t>
      </w:r>
    </w:p>
    <w:p>
      <w:pPr>
        <w:pStyle w:val="FirstParagraph"/>
      </w:pPr>
      <w:r>
        <w:rPr>
          <w:lang w:val="en-GB"/>
        </w:rPr>
        <w:t xml:space="preserve">User accounts are associated with roles and permissions. Access is granted according to the principle of least privilege.</w:t>
      </w:r>
    </w:p>
    <w:p>
      <w:pPr>
        <w:pStyle w:val="BodyText"/>
      </w:pPr>
      <w:r>
        <w:rPr>
          <w:lang w:val="en-GB"/>
        </w:rPr>
        <w:t xml:space="preserve">API tokens and application sessions are limited to necessary uses. Administration access is reserved for authorized people.</w:t>
      </w:r>
    </w:p>
    <w:p>
      <w:pPr>
        <w:pStyle w:val="BodyText"/>
      </w:pPr>
      <w:r>
        <w:rPr>
          <w:lang w:val="en-GB"/>
        </w:rPr>
        <w:t xml:space="preserve">The Customer is responsible for managing its own users, deleting obsolete accounts, assigning roles and protecting its users' means of authentication.</w:t>
      </w:r>
    </w:p>
    <w:bookmarkEnd w:id="42"/>
    <w:bookmarkStart w:id="43" w:name="Xa0655d09ab4e198a6dd70d8bc7c2e120ae9fee7"/>
    <w:p>
      <w:pPr>
        <w:pStyle w:val="Heading3"/>
        <w:keepNext/>
        <w:keepLines/>
      </w:pPr>
      <w:r>
        <w:rPr>
          <w:color w:val="000000"/>
          <w:lang w:val="en-GB"/>
        </w:rPr>
        <w:t xml:space="preserve">4. Logging and traceability</w:t>
      </w:r>
    </w:p>
    <w:p>
      <w:pPr>
        <w:pStyle w:val="FirstParagraph"/>
      </w:pPr>
      <w:r>
        <w:rPr>
          <w:lang w:val="en-GB"/>
        </w:rPr>
        <w:t xml:space="preserve">The Service keeps audit logs and technical traces allowing certain significant actions to be followed: connections, creations, modifications, deletions, uploads, processing, errors, exports and available administration operations.</w:t>
      </w:r>
    </w:p>
    <w:p>
      <w:pPr>
        <w:pStyle w:val="BodyText"/>
      </w:pPr>
      <w:r>
        <w:rPr>
          <w:lang w:val="en-GB"/>
        </w:rPr>
        <w:t xml:space="preserve">Logs are used for security, diagnostics, evidence, incident detection, and Customer support.</w:t>
      </w:r>
    </w:p>
    <w:p>
      <w:pPr>
        <w:pStyle w:val="BodyText"/>
      </w:pPr>
      <w:r>
        <w:rPr>
          <w:lang w:val="en-GB"/>
        </w:rPr>
        <w:t xml:space="preserve">Logs must not contain persistent voice embeddings. Logs related to voice correlation are limited to the necessary technical information and are subject to measures to reduce or clean sensitive data where possible.</w:t>
      </w:r>
    </w:p>
    <w:bookmarkEnd w:id="43"/>
    <w:bookmarkStart w:id="44" w:name="Xb72ff9c2aed82570f5270b78e31fe53d9046315"/>
    <w:p>
      <w:pPr>
        <w:pStyle w:val="Heading3"/>
        <w:keepNext/>
        <w:keepLines/>
      </w:pPr>
      <w:r>
        <w:rPr>
          <w:color w:val="000000"/>
          <w:lang w:val="en-GB"/>
        </w:rPr>
        <w:t xml:space="preserve">5. Backups and restoration</w:t>
      </w:r>
    </w:p>
    <w:p>
      <w:pPr>
        <w:pStyle w:val="FirstParagraph"/>
      </w:pPr>
      <w:r>
        <w:rPr>
          <w:lang w:val="en-GB"/>
        </w:rPr>
        <w:t xml:space="preserve">In Option A, OHADJA implements technical backups intended to restore the availability of the Data and access to it within appropriate time periods in the event of a physical or technical incident, in accordance with article 32.1.c of GDPR.</w:t>
      </w:r>
    </w:p>
    <w:p>
      <w:pPr>
        <w:pStyle w:val="BodyText"/>
      </w:pPr>
      <w:r>
        <w:rPr>
          <w:lang w:val="en-GB"/>
        </w:rPr>
        <w:t xml:space="preserve">Backups are encrypted before outsourcing with age (X25519 + ChaCha20-Poly1305) and synchronized to Scaleway (France); they are protected against unauthorized access and kept according to a defined rotation cycle.</w:t>
      </w:r>
    </w:p>
    <w:p>
      <w:pPr>
        <w:pStyle w:val="BodyText"/>
      </w:pPr>
      <w:r>
        <w:rPr>
          <w:lang w:val="en-GB"/>
        </w:rPr>
        <w:t xml:space="preserve">In Option B, the Customer is responsible for backups of his environment, unless expressly stipulated otherwise.</w:t>
      </w:r>
    </w:p>
    <w:bookmarkEnd w:id="44"/>
    <w:bookmarkStart w:id="45" w:name="X542d0b57a4f8fe88138a3fd867d48dcc2dbd28d"/>
    <w:p>
      <w:pPr>
        <w:pStyle w:val="Heading3"/>
        <w:keepNext/>
        <w:keepLines/>
      </w:pPr>
      <w:r>
        <w:rPr>
          <w:color w:val="000000"/>
          <w:lang w:val="en-GB"/>
        </w:rPr>
        <w:t xml:space="preserve">6. Availability, resilience and continuity</w:t>
      </w:r>
    </w:p>
    <w:p>
      <w:pPr>
        <w:pStyle w:val="FirstParagraph"/>
      </w:pPr>
      <w:r>
        <w:rPr>
          <w:lang w:val="en-GB"/>
        </w:rPr>
        <w:t xml:space="preserve">OHADJA implements reasonable means to ensure the availability, integrity and resilience of the Service, in accordance with article 32.1.b of GDPR.</w:t>
      </w:r>
    </w:p>
    <w:p>
      <w:pPr>
        <w:pStyle w:val="BodyText"/>
      </w:pPr>
      <w:r>
        <w:rPr>
          <w:lang w:val="en-GB"/>
        </w:rPr>
        <w:t xml:space="preserve">These means can include supervision, service restarts, queues, separate workers, application monitoring, separation of application components, database, cache, WebSocket and asynchronous processing.</w:t>
      </w:r>
    </w:p>
    <w:p>
      <w:pPr>
        <w:pStyle w:val="BodyText"/>
      </w:pPr>
      <w:r>
        <w:rPr>
          <w:lang w:val="en-GB"/>
        </w:rPr>
        <w:t xml:space="preserve">Availability commitments, recovery times or service levels are those provided for in the Main Contract where they exist.</w:t>
      </w:r>
    </w:p>
    <w:bookmarkEnd w:id="45"/>
    <w:bookmarkStart w:id="46" w:name="Xae371bc0d32494cdb994a420ff70400aa998f71"/>
    <w:p>
      <w:pPr>
        <w:pStyle w:val="Heading3"/>
        <w:keepNext/>
        <w:keepLines/>
      </w:pPr>
      <w:r>
        <w:rPr>
          <w:color w:val="000000"/>
          <w:lang w:val="en-GB"/>
        </w:rPr>
        <w:t xml:space="preserve">7. Vulnerability management and updates</w:t>
      </w:r>
    </w:p>
    <w:p>
      <w:pPr>
        <w:pStyle w:val="FirstParagraph"/>
      </w:pPr>
      <w:r>
        <w:rPr>
          <w:lang w:val="en-GB"/>
        </w:rPr>
        <w:t xml:space="preserve">OHADJA applies reasonable vulnerability management to the components it controls: application framework, dependencies, containers, Docker images, application server, security configuration and critical libraries.</w:t>
      </w:r>
    </w:p>
    <w:p>
      <w:pPr>
        <w:pStyle w:val="BodyText"/>
      </w:pPr>
      <w:r>
        <w:rPr>
          <w:lang w:val="en-GB"/>
        </w:rPr>
        <w:t xml:space="preserve">Security patches are prioritized based on their criticality, exploitability and exposure.</w:t>
      </w:r>
    </w:p>
    <w:p>
      <w:pPr>
        <w:pStyle w:val="BodyText"/>
      </w:pPr>
      <w:r>
        <w:rPr>
          <w:lang w:val="en-GB"/>
        </w:rPr>
        <w:t xml:space="preserve">In Option B, the Customer is responsible for the effective deployment of updates, patches and security configurations in its environment, except maintenance mission entrusted to OHADJA.</w:t>
      </w:r>
    </w:p>
    <w:bookmarkEnd w:id="46"/>
    <w:bookmarkStart w:id="47" w:name="X46530f253ecc359acdf164d54e2920564e3c8c5"/>
    <w:p>
      <w:pPr>
        <w:pStyle w:val="Heading3"/>
        <w:keepNext/>
        <w:keepLines/>
      </w:pPr>
      <w:r>
        <w:rPr>
          <w:color w:val="000000"/>
          <w:lang w:val="en-GB"/>
        </w:rPr>
        <w:t xml:space="preserve">8. Security of AI processing and transcription</w:t>
      </w:r>
    </w:p>
    <w:p>
      <w:pPr>
        <w:pStyle w:val="FirstParagraph"/>
      </w:pPr>
      <w:r>
        <w:rPr>
          <w:lang w:val="en-GB"/>
        </w:rPr>
        <w:t xml:space="preserve">The processing of transcription, diarization, AI generation, correction, summary, chaptering and speaker identification is carried out only for the purposes activated by the Client.</w:t>
      </w:r>
    </w:p>
    <w:p>
      <w:pPr>
        <w:pStyle w:val="BodyText"/>
      </w:pPr>
      <w:r>
        <w:rPr>
          <w:lang w:val="en-GB"/>
        </w:rPr>
        <w:t xml:space="preserve">AI processing is based by default on vLLM inference servers controlled by OHADJA in Europe, with open-weight models; no data is transmitted to a third-party model provider on this primary path. The OpenRouter gateway is only used as a backup, with no-train flag activated, and can be deactivated by organization.</w:t>
      </w:r>
    </w:p>
    <w:p>
      <w:pPr>
        <w:pStyle w:val="BodyText"/>
      </w:pPr>
      <w:r>
        <w:rPr>
          <w:lang w:val="en-GB"/>
        </w:rPr>
        <w:t xml:space="preserve">The prompts and sources sent to the AI models are constituted according to the Client's selections or parameters. OHADJA applies, where possible, minimization of data transmitted to necessary third-party services.</w:t>
      </w:r>
    </w:p>
    <w:p>
      <w:pPr>
        <w:pStyle w:val="BodyText"/>
      </w:pPr>
      <w:r>
        <w:rPr>
          <w:lang w:val="en-GB"/>
        </w:rPr>
        <w:t xml:space="preserve">Data transmitted to Subprocessors IAs must not be used by OHADJA to train its own models, unless expressly and separately instructed by Customer.</w:t>
      </w:r>
    </w:p>
    <w:bookmarkEnd w:id="47"/>
    <w:bookmarkStart w:id="48" w:name="X020e1c7cc680ecf4f46e5914db79ab5de3bd540"/>
    <w:p>
      <w:pPr>
        <w:pStyle w:val="Heading3"/>
        <w:keepNext/>
        <w:keepLines/>
      </w:pPr>
      <w:r>
        <w:rPr>
          <w:color w:val="000000"/>
          <w:lang w:val="en-GB"/>
        </w:rPr>
        <w:t xml:space="preserve">9. MTOs dedicated to voice correlation</w:t>
      </w:r>
    </w:p>
    <w:p>
      <w:pPr>
        <w:pStyle w:val="FirstParagraph"/>
      </w:pPr>
      <w:r>
        <w:rPr>
          <w:lang w:val="en-GB"/>
        </w:rPr>
        <w:t xml:space="preserve">Voice correlation is based on temporary processing of voice data for the purpose of suggesting speaker identification, without creating a persistent biometric template.</w:t>
      </w:r>
    </w:p>
    <w:p>
      <w:pPr>
        <w:pStyle w:val="BodyText"/>
      </w:pPr>
      <w:r>
        <w:rPr>
          <w:lang w:val="en-GB"/>
        </w:rPr>
        <w:t xml:space="preserve">The following specific safeguards are applied when the feature is enabled:</w:t>
      </w:r>
    </w:p>
    <w:p>
      <w:pPr>
        <w:pStyle w:val="Compact"/>
        <w:numPr>
          <w:ilvl w:val="0"/>
          <w:numId w:val="1002"/>
        </w:numPr>
      </w:pPr>
      <w:r>
        <w:rPr>
          <w:lang w:val="en-GB"/>
        </w:rPr>
        <w:t xml:space="preserve">activation at tenant level or by Client configuration when available;</w:t>
      </w:r>
    </w:p>
    <w:p>
      <w:pPr>
        <w:pStyle w:val="Compact"/>
        <w:numPr>
          <w:ilvl w:val="0"/>
          <w:numId w:val="1002"/>
        </w:numPr>
      </w:pPr>
      <w:r>
        <w:rPr>
          <w:lang w:val="en-GB"/>
        </w:rPr>
        <w:t xml:space="preserve">absence of creation of persistent voice profile by default;</w:t>
      </w:r>
    </w:p>
    <w:p>
      <w:pPr>
        <w:pStyle w:val="Compact"/>
        <w:numPr>
          <w:ilvl w:val="0"/>
          <w:numId w:val="1002"/>
        </w:numPr>
      </w:pPr>
      <w:r>
        <w:rPr>
          <w:lang w:val="en-GB"/>
        </w:rPr>
        <w:t xml:space="preserve">calculation of voice embeddings temporarily in RAM when technically possible;</w:t>
      </w:r>
    </w:p>
    <w:p>
      <w:pPr>
        <w:pStyle w:val="Compact"/>
        <w:numPr>
          <w:ilvl w:val="0"/>
          <w:numId w:val="1002"/>
        </w:numPr>
      </w:pPr>
      <w:r>
        <w:rPr>
          <w:lang w:val="en-GB"/>
        </w:rPr>
        <w:t xml:space="preserve">use of </w:t>
      </w:r>
      <w:r>
        <w:rPr>
          <w:lang w:val="en-GB"/>
        </w:rPr>
        <w:t xml:space="preserve"/>
      </w:r>
      <w:r>
        <w:rPr>
          <w:rStyle w:val="VerbatimChar"/>
          <w:lang w:val="en-GB"/>
        </w:rPr>
        <w:t xml:space="preserve">tmpfs</w:t>
      </w:r>
      <w:r>
        <w:rPr>
          <w:lang w:val="en-GB"/>
        </w:rPr>
        <w:t xml:space="preserve"> </w:t>
      </w:r>
      <w:r>
        <w:rPr>
          <w:lang w:val="en-GB"/>
        </w:rPr>
        <w:t xml:space="preserve">type temporary spaces when the environment allows it;</w:t>
      </w:r>
    </w:p>
    <w:p>
      <w:pPr>
        <w:pStyle w:val="Compact"/>
        <w:numPr>
          <w:ilvl w:val="0"/>
          <w:numId w:val="1002"/>
        </w:numPr>
      </w:pPr>
      <w:r>
        <w:rPr>
          <w:lang w:val="en-GB"/>
        </w:rPr>
        <w:t xml:space="preserve">deactivation of swap for the workers concerned when the environment allows it and when this measure is compatible with the stability of the infrastructure;</w:t>
      </w:r>
    </w:p>
    <w:p>
      <w:pPr>
        <w:pStyle w:val="Compact"/>
        <w:numPr>
          <w:ilvl w:val="0"/>
          <w:numId w:val="1002"/>
        </w:numPr>
      </w:pPr>
      <w:r>
        <w:rPr>
          <w:lang w:val="en-GB"/>
        </w:rPr>
        <w:t xml:space="preserve">deletion of temporary files and embeddings at the end of the request;</w:t>
      </w:r>
    </w:p>
    <w:p>
      <w:pPr>
        <w:pStyle w:val="Compact"/>
        <w:numPr>
          <w:ilvl w:val="0"/>
          <w:numId w:val="1002"/>
        </w:numPr>
      </w:pPr>
      <w:r>
        <w:rPr>
          <w:lang w:val="en-GB"/>
        </w:rPr>
        <w:t xml:space="preserve">cleanup in end-of-processing blocks, including </w:t>
      </w:r>
      <w:r>
        <w:rPr>
          <w:lang w:val="en-GB"/>
        </w:rPr>
        <w:t xml:space="preserve"/>
      </w:r>
      <w:r>
        <w:rPr>
          <w:rStyle w:val="VerbatimChar"/>
          <w:lang w:val="en-GB"/>
        </w:rPr>
        <w:t xml:space="preserve">finally</w:t>
      </w:r>
      <w:r>
        <w:rPr>
          <w:lang w:val="en-GB"/>
        </w:rPr>
        <w:t xml:space="preserve">-type application </w:t>
      </w:r>
      <w:r>
        <w:rPr>
          <w:lang w:val="en-GB"/>
        </w:rPr>
        <w:t xml:space="preserve">mechanisms;</w:t>
      </w:r>
    </w:p>
    <w:p>
      <w:pPr>
        <w:pStyle w:val="Compact"/>
        <w:numPr>
          <w:ilvl w:val="0"/>
          <w:numId w:val="1002"/>
        </w:numPr>
      </w:pPr>
      <w:r>
        <w:rPr>
          <w:lang w:val="en-GB"/>
        </w:rPr>
        <w:t xml:space="preserve">no use of voice embeddings to train OHADJA’s own models;</w:t>
      </w:r>
    </w:p>
    <w:p>
      <w:pPr>
        <w:pStyle w:val="Compact"/>
        <w:numPr>
          <w:ilvl w:val="0"/>
          <w:numId w:val="1002"/>
        </w:numPr>
      </w:pPr>
      <w:r>
        <w:rPr>
          <w:lang w:val="en-GB"/>
        </w:rPr>
        <w:t xml:space="preserve">mandatory human validation of suggestions before definitive attribution of a speaker name;</w:t>
      </w:r>
    </w:p>
    <w:p>
      <w:pPr>
        <w:pStyle w:val="Compact"/>
        <w:numPr>
          <w:ilvl w:val="0"/>
          <w:numId w:val="1002"/>
        </w:numPr>
      </w:pPr>
      <w:r>
        <w:rPr>
          <w:lang w:val="en-GB"/>
        </w:rPr>
        <w:t xml:space="preserve">logging limited to necessary technical events;</w:t>
      </w:r>
    </w:p>
    <w:p>
      <w:pPr>
        <w:pStyle w:val="Compact"/>
        <w:numPr>
          <w:ilvl w:val="0"/>
          <w:numId w:val="1002"/>
        </w:numPr>
      </w:pPr>
      <w:r>
        <w:rPr>
          <w:lang w:val="en-GB"/>
        </w:rPr>
        <w:t xml:space="preserve">cleaning or reduction of logs to avoid recording unnecessary fingerprints, vectors or voice extracts;</w:t>
      </w:r>
    </w:p>
    <w:p>
      <w:pPr>
        <w:pStyle w:val="Compact"/>
        <w:numPr>
          <w:ilvl w:val="0"/>
          <w:numId w:val="1002"/>
        </w:numPr>
      </w:pPr>
      <w:r>
        <w:rPr>
          <w:lang w:val="en-GB"/>
        </w:rPr>
        <w:t xml:space="preserve">separation of processing by tenant;</w:t>
      </w:r>
    </w:p>
    <w:p>
      <w:pPr>
        <w:pStyle w:val="Compact"/>
        <w:numPr>
          <w:ilvl w:val="0"/>
          <w:numId w:val="1002"/>
        </w:numPr>
      </w:pPr>
      <w:r>
        <w:rPr>
          <w:lang w:val="en-GB"/>
        </w:rPr>
        <w:t xml:space="preserve">restriction of access to workers and technical exits;</w:t>
      </w:r>
    </w:p>
    <w:p>
      <w:pPr>
        <w:pStyle w:val="Compact"/>
        <w:numPr>
          <w:ilvl w:val="0"/>
          <w:numId w:val="1002"/>
        </w:numPr>
      </w:pPr>
      <w:r>
        <w:rPr>
          <w:lang w:val="en-GB"/>
        </w:rPr>
        <w:t xml:space="preserve">possibility of deactivating the functionality at the Customer's request or by contractual configuration;</w:t>
      </w:r>
    </w:p>
    <w:p>
      <w:pPr>
        <w:pStyle w:val="Compact"/>
        <w:numPr>
          <w:ilvl w:val="0"/>
          <w:numId w:val="1002"/>
        </w:numPr>
      </w:pPr>
      <w:r>
        <w:rPr>
          <w:lang w:val="en-GB"/>
        </w:rPr>
        <w:t xml:space="preserve">selection of GPU resources located in the European Union or European Economic Area when required.</w:t>
      </w:r>
    </w:p>
    <w:bookmarkEnd w:id="48"/>
    <w:bookmarkStart w:id="49" w:name="X8d3f7f3be17794b9be1f1d0b8843374971aee37"/>
    <w:p>
      <w:pPr>
        <w:pStyle w:val="Heading3"/>
        <w:keepNext/>
        <w:keepLines/>
      </w:pPr>
      <w:r>
        <w:rPr>
          <w:color w:val="000000"/>
          <w:lang w:val="en-GB"/>
        </w:rPr>
        <w:t xml:space="preserve">10. Training and internal confidentiality</w:t>
      </w:r>
    </w:p>
    <w:p>
      <w:pPr>
        <w:pStyle w:val="FirstParagraph"/>
      </w:pPr>
      <w:r>
        <w:rPr>
          <w:lang w:val="en-GB"/>
        </w:rPr>
        <w:t xml:space="preserve">OHADJA raises awareness among people authorized to intervene on the Service of the obligations of confidentiality, security, Data protection and compliance with the Customer's instructions.</w:t>
      </w:r>
    </w:p>
    <w:p>
      <w:pPr>
        <w:pStyle w:val="BodyText"/>
      </w:pPr>
      <w:r>
        <w:rPr>
          <w:lang w:val="en-GB"/>
        </w:rPr>
        <w:t xml:space="preserve">Persons having access to the Data are subject to a contractual or legal obligation of confidentiality.</w:t>
      </w:r>
    </w:p>
    <w:bookmarkEnd w:id="49"/>
    <w:bookmarkStart w:id="50" w:name="X408cde0b55e26358c4723208033e77fa9ba1b3e"/>
    <w:p>
      <w:pPr>
        <w:pStyle w:val="Heading3"/>
        <w:keepNext/>
        <w:keepLines/>
      </w:pPr>
      <w:r>
        <w:rPr>
          <w:color w:val="000000"/>
          <w:lang w:val="en-GB"/>
        </w:rPr>
        <w:t xml:space="preserve">11. Testing, monitoring and improvement of MTOs</w:t>
      </w:r>
    </w:p>
    <w:p>
      <w:pPr>
        <w:pStyle w:val="FirstParagraph"/>
      </w:pPr>
      <w:r>
        <w:rPr>
          <w:lang w:val="en-GB"/>
        </w:rPr>
        <w:t xml:space="preserve">OHADJA implements a reasonable procedure to regularly test, analyze and evaluate the effectiveness of MTOs, in accordance with Article 32.1.d of GDPR.</w:t>
      </w:r>
    </w:p>
    <w:p>
      <w:pPr>
        <w:pStyle w:val="BodyText"/>
      </w:pPr>
      <w:r>
        <w:rPr>
          <w:lang w:val="en-GB"/>
        </w:rPr>
        <w:t xml:space="preserve">This procedure may include configuration reviews, access controls, error tracking, incident analysis, recovery testing, dependency reviews, vulnerability fixes, and continuous improvement of security measures.</w:t>
      </w:r>
    </w:p>
    <w:p>
      <w:r>
        <w:pict>
          <v:rect style="width:0;height:1.5pt" o:hralign="center" o:hrstd="t" o:hr="t"/>
        </w:pict>
      </w:r>
    </w:p>
    <w:p>
      <w:pPr>
        <w:pStyle w:val="FirstParagraph"/>
      </w:pPr>
      <w:r>
        <w:rPr>
          <w:i/>
          <w:iCs/>
          <w:lang w:val="en-GB"/>
        </w:rPr>
        <w:t xml:space="preserve">Working document established by OHADJA — to be validated by your legal advisor / DPO before signature.</w:t>
      </w:r>
    </w:p>
    <w:bookmarkEnd w:id="50"/>
    <w:bookmarkEnd w:id="51"/>
    <w:bookmarkEnd w:id="52"/>
    <w:p>
      <w:pPr>
        <w:pStyle w:val="Heading1"/>
        <w:pageBreakBefore/>
        <w:keepNext/>
        <w:keepLines/>
      </w:pPr>
      <w:r>
        <w:rPr>
          <w:lang w:val="en-GB"/>
          <w:color w:val="000000"/>
        </w:rPr>
        <w:t xml:space="preserve">Annex on national deployment rules</w:t>
      </w:r>
    </w:p>
    <w:p>
      <w:pPr>
        <w:pStyle w:val="Heading2"/>
        <w:keepNext/>
        <w:keepLines/>
      </w:pPr>
      <w:r>
        <w:rPr>
          <w:lang w:val="en-GB"/>
          <w:color w:val="000000"/>
        </w:rPr>
        <w:t xml:space="preserve">Scope of this annex</w:t>
      </w:r>
    </w:p>
    <w:p>
      <w:pPr>
        <w:pStyle w:val="BodyText"/>
      </w:pPr>
      <w:r>
        <w:rPr>
          <w:lang w:val="en-GB"/>
        </w:rPr>
        <w:t xml:space="preserve">This edition covers the European Union GDPR framework and the deployment considerations below for France, Ireland, the Netherlands, Spain and Portugal. The notices must be read according to the Customer’s actual country and use, regardless of the document’s language. They supplement the project documents without automatically changing the parties’ identities, the chosen French governing law or the designated courts. Applicable mandatory rules remain reserved. French national references in the main document remain identified as such; they do not constitute foreign equivalents.</w:t>
      </w:r>
    </w:p>
    <w:p>
      <w:pPr>
        <w:pStyle w:val="Heading2"/>
        <w:keepNext/>
        <w:keepLines/>
      </w:pPr>
      <w:r>
        <w:rPr>
          <w:lang w:val="en-GB"/>
          <w:color w:val="000000"/>
        </w:rPr>
        <w:t xml:space="preserve">European framework to document before commissioning</w:t>
      </w:r>
    </w:p>
    <w:p>
      <w:pPr>
        <w:pStyle w:val="BodyText"/>
      </w:pPr>
      <w:r>
        <w:rPr>
          <w:lang w:val="en-GB"/>
        </w:rPr>
        <w:t xml:space="preserve">The Customer must determine the purpose, necessity, proportionality and lawful basis of every recording and processing operation; inform individuals before collection; define recipients, retention periods and arrangements for exercising rights; and conclude an Article 28-compliant agreement for operations entrusted to a processor. Information, consultation or human validation alone does not make processing lawful. Employee consent must be considered cautiously given the imbalance with the employer.</w:t>
      </w:r>
    </w:p>
    <w:p>
      <w:pPr>
        <w:pStyle w:val="BodyText"/>
      </w:pPr>
      <w:r>
        <w:rPr>
          <w:lang w:val="en-GB"/>
        </w:rPr>
        <w:t xml:space="preserve">If special categories of data are processed, an applicable Article 9 condition must be identified in addition to the Article 6 basis. Voice comparison intended for unique identification must be assessed in terms of biometrics, even without a persistent template. An impact assessment must be conducted before processing likely to result in a high risk, and the rules on prior consultation of the authority remain applicable where Article 36 conditions are met. Neither local hosting nor an addendum removes the need for this assessment.</w:t>
      </w:r>
    </w:p>
    <w:p>
      <w:pPr>
        <w:pStyle w:val="BodyText"/>
      </w:pPr>
      <w:r>
        <w:rPr>
          <w:lang w:val="en-GB"/>
        </w:rPr>
        <w:t xml:space="preserve">The competent authority depends on GDPR rules, particularly for cross-border processing; it does not depend on the selected language. The processor alerts the Customer without undue delay. The controller notifies the competent authority under Article 33 conditions, where feasible within 72 hours of becoming aware of a breach, unless it is unlikely to result in a risk to rights and freedoms. Communication to individuals is subject to Article 34 conditions.</w:t>
      </w:r>
    </w:p>
    <w:p>
      <w:pPr>
        <w:pStyle w:val="BodyText"/>
      </w:pPr>
      <w:r>
        <w:rPr>
          <w:lang w:val="en-GB"/>
        </w:rPr>
        <w:t xml:space="preserve">European sources https://eur-lex.europa.eu/eli/reg/2016/679/oj and https://www.edpb.europa.eu/documents/guideline/guidelines-052020-on-consent-under-regulation-2016679_en</w:t>
      </w:r>
    </w:p>
    <w:p>
      <w:pPr>
        <w:pStyle w:val="Heading2"/>
        <w:keepNext/>
        <w:keepLines/>
      </w:pPr>
      <w:r>
        <w:rPr>
          <w:lang w:val="en-GB"/>
          <w:color w:val="000000"/>
        </w:rPr>
        <w:t xml:space="preserve">France</w:t>
      </w:r>
    </w:p>
    <w:p>
      <w:pPr>
        <w:pStyle w:val="BodyText"/>
      </w:pPr>
      <w:r>
        <w:rPr>
          <w:lang w:val="en-GB"/>
        </w:rPr>
        <w:t xml:space="preserve">For deployment in France, determine employee information and prior CSE consultation obligations according to the system, workforce size and applicable legal scope. The French Labour Code covers, in particular, techniques enabling activity monitoring, even if the product is presented as drafting assistance. Information and consultation do not replace the assessment of lawfulness, necessity and proportionality, or rules concerning private conversations, sensitive data and confidentiality. The CNIL is the national authority, subject to GDPR jurisdiction rules.</w:t>
      </w:r>
    </w:p>
    <w:p>
      <w:pPr>
        <w:pStyle w:val="BodyText"/>
      </w:pPr>
      <w:r>
        <w:rPr>
          <w:lang w:val="en-GB"/>
        </w:rPr>
        <w:t xml:space="preserve">French sources Labour Code Articles L1222-4 and L2312-38 https://www.legifrance.gouv.fr/codes/article_lc/LEGIARTI000006900861 and https://www.legifrance.gouv.fr/codes/section_lc/LEGITEXT000006072050/LEGISCTA000035610273/</w:t>
      </w:r>
    </w:p>
    <w:p>
      <w:pPr>
        <w:pStyle w:val="Heading2"/>
        <w:keepNext/>
        <w:keepLines/>
      </w:pPr>
      <w:r>
        <w:rPr>
          <w:lang w:val="en-GB"/>
          <w:color w:val="000000"/>
        </w:rPr>
        <w:t xml:space="preserve">Ireland</w:t>
      </w:r>
    </w:p>
    <w:p>
      <w:pPr>
        <w:pStyle w:val="BodyText"/>
      </w:pPr>
      <w:r>
        <w:rPr>
          <w:lang w:val="en-GB"/>
        </w:rPr>
        <w:t xml:space="preserve">For deployment in Ireland, apply the GDPR and national framework; document the lawful basis and inform participants before recording. Examine employee information and consultation obligations according to scope, workforce size, collective agreements and existing arrangements. The Irish system is distinct from the French CSE and does not create an identical consultation requirement for every employer. The Data Protection Commission is the national authority, subject to cross-border jurisdiction rules.</w:t>
      </w:r>
    </w:p>
    <w:p>
      <w:pPr>
        <w:pStyle w:val="BodyText"/>
      </w:pPr>
      <w:r>
        <w:rPr>
          <w:lang w:val="en-GB"/>
        </w:rPr>
        <w:t xml:space="preserve">Irish sources https://www.dataprotection.ie/en/dpc-guidance/video-recording and Employees (Provision of Information and Consultation) Act 2006 https://www.irishstatutebook.ie/eli/2006/act/9/enacted/en/print</w:t>
      </w:r>
    </w:p>
    <w:p>
      <w:pPr>
        <w:pStyle w:val="Heading2"/>
        <w:keepNext/>
        <w:keepLines/>
      </w:pPr>
      <w:r>
        <w:rPr>
          <w:lang w:val="en-GB"/>
          <w:color w:val="000000"/>
        </w:rPr>
        <w:t xml:space="preserve">The Netherlands</w:t>
      </w:r>
    </w:p>
    <w:p>
      <w:pPr>
        <w:pStyle w:val="BodyText"/>
      </w:pPr>
      <w:r>
        <w:rPr>
          <w:lang w:val="en-GB"/>
        </w:rPr>
        <w:t xml:space="preserve">For deployment in the Netherlands, examine the powers of the ondernemingsraad or OR. A system capable of monitoring attendance, behaviour or performance may fall within its right of prior approval under the Wet op de ondernemingsraden, even if it is not yet used for that purpose. OR approval replaces neither the lawful basis of processing nor the conditions applicable to biometrics and sensitive data. The Autoriteit Persoonsgegevens is the national authority, subject to GDPR jurisdiction rules.</w:t>
      </w:r>
    </w:p>
    <w:p>
      <w:pPr>
        <w:pStyle w:val="BodyText"/>
      </w:pPr>
      <w:r>
        <w:rPr>
          <w:lang w:val="en-GB"/>
        </w:rPr>
        <w:t xml:space="preserve">Dutch source Autoriteit Persoonsgegevens https://autoriteitpersoonsgegevens.nl/en/themes/employment-and-benefits/works-council/the-works-council-and-staff-tracking-systems</w:t>
      </w:r>
    </w:p>
    <w:p>
      <w:pPr>
        <w:pStyle w:val="Heading2"/>
        <w:keepNext/>
        <w:keepLines/>
      </w:pPr>
      <w:r>
        <w:rPr>
          <w:lang w:val="en-GB"/>
          <w:color w:val="000000"/>
        </w:rPr>
        <w:t xml:space="preserve">Spain</w:t>
      </w:r>
    </w:p>
    <w:p>
      <w:pPr>
        <w:pStyle w:val="BodyText"/>
      </w:pPr>
      <w:r>
        <w:rPr>
          <w:lang w:val="en-GB"/>
        </w:rPr>
        <w:t xml:space="preserve">For deployment in Spain, distinguish meeting transcription from the use of audio surveillance systems. Within the scope of Article 89 of Ley Orgánica 3/2018, workplace sound recording is strictly limited to certain security risks, with proportionality, minimal intervention and safeguards; rest areas are protected. Examine representatives’ information and consultation rights and applicable agreements. These provisions must not be extended without assessment to every occasional meeting, and participants’ agreement is not general authorisation. Identify the AEPD or competent regional authority according to the processing.</w:t>
      </w:r>
    </w:p>
    <w:p>
      <w:pPr>
        <w:pStyle w:val="BodyText"/>
      </w:pPr>
      <w:r>
        <w:rPr>
          <w:lang w:val="en-GB"/>
        </w:rPr>
        <w:t xml:space="preserve">Spanish sources Ley Orgánica 3/2018 Article 89 https://www.boe.es/buscar/act.php?id=BOE-A-2018-16673#a89 and Estatuto de los Trabajadores Article 64 https://www.boe.es/buscar/act.php?id=BOE-A-2015-11430#a64</w:t>
      </w:r>
    </w:p>
    <w:p>
      <w:pPr>
        <w:pStyle w:val="Heading2"/>
        <w:keepNext/>
        <w:keepLines/>
      </w:pPr>
      <w:r>
        <w:rPr>
          <w:lang w:val="en-GB"/>
          <w:color w:val="000000"/>
        </w:rPr>
        <w:t xml:space="preserve">Portugal</w:t>
      </w:r>
    </w:p>
    <w:p>
      <w:pPr>
        <w:pStyle w:val="BodyText"/>
      </w:pPr>
      <w:r>
        <w:rPr>
          <w:lang w:val="en-GB"/>
        </w:rPr>
        <w:t xml:space="preserve">For deployment in Portugal, examine the Código do Trabalho, Lei 58/2019 and rules applicable to the specific system. Remote surveillance intended to monitor professional performance is prohibited. Sound capture within a video surveillance system is subject to specific restrictions; this means neither that every meeting recording is prohibited nor that it is always authorised. Determine obligations towards workers and their representatives before commissioning. The Comissão Nacional de Proteção de Dados is the national authority, subject to GDPR jurisdiction rules.</w:t>
      </w:r>
    </w:p>
    <w:p>
      <w:pPr>
        <w:pStyle w:val="BodyText"/>
      </w:pPr>
      <w:r>
        <w:rPr>
          <w:lang w:val="en-GB"/>
        </w:rPr>
        <w:t xml:space="preserve">Portuguese sources Código do Trabalho Articles 20 and 21 https://diariodarepublica.pt/dr/legislacao-consolidada/lei/2009-34546475-211441911 and CNPD https://www.cnpd.pt/organizacoes/areas-tematicas/videovigilancia/</w:t>
      </w:r>
    </w:p>
    <w:p>
      <w:pPr>
        <w:pStyle w:val="Heading2"/>
        <w:keepNext/>
        <w:keepLines/>
      </w:pPr>
      <w:r>
        <w:rPr>
          <w:lang w:val="en-GB"/>
          <w:color w:val="000000"/>
        </w:rPr>
        <w:t xml:space="preserve">French frameworks and project commitments</w:t>
      </w:r>
    </w:p>
    <w:p>
      <w:pPr>
        <w:pStyle w:val="BodyText"/>
      </w:pPr>
      <w:r>
        <w:rPr>
          <w:lang w:val="en-GB"/>
        </w:rPr>
        <w:t xml:space="preserve">The terms CSE, CGCT, HDS, SecNumCloud, ANSSI and RGAA refer to French institutions, rules or frameworks. They establish neither TranscribIA certification nor automatic compliance with a foreign framework. Amounts and payment mechanisms in the terms of sale, including the reference to the French Commercial Code, must be considered together with the chosen law, the Customer’s status and applicable mandatory rules; they must not be presented as transpositions of each national law. Arrangements applicable to public procurement, consumers and regulated sectors must be specified separately where relevant.</w:t>
      </w:r>
    </w:p>
    <w:p>
      <w:pPr>
        <w:pStyle w:val="BodyText"/>
      </w:pPr>
      <w:r>
        <w:rPr>
          <w:lang w:val="en-GB"/>
        </w:rPr>
        <w:t xml:space="preserve">Before signature, complete and verify the project annexes concerning the parties, SaaS or on-premise configuration, processing and access locations, subprocessors, transfers, actual security measures, retention and service levels. This annex does not establish that a technical measure is already deployed and does not replace agreed specific commitments. British and Belgian regimes and other countries are not covered by these national notices; they require separate adaptation.</w:t>
      </w:r>
    </w:p>
    <w:p>
      <w:pPr>
        <w:pStyle w:val="BodyText"/>
      </w:pPr>
      <w:r>
        <w:rPr>
          <w:lang w:val="en-GB"/>
        </w:rPr>
        <w:t xml:space="preserve">Interface screenshots and examples from the application may remain in French. Explanatory text and document captions are translated; commands, filenames, technical identifiers and document references must be preserved exactly.</w:t>
      </w:r>
    </w:p>
    <w:p>
      <w:pPr>
        <w:pStyle w:val="Heading1"/>
        <w:keepNext/>
        <w:keepLines/>
      </w:pPr>
      <w:r>
        <w:rPr>
          <w:lang w:val="en-GB"/>
          <w:color w:val="000000"/>
        </w:rPr>
        <w:t>History of this edition</w:t>
      </w:r>
    </w:p>
    <w:p>
      <w:pPr>
        <w:pStyle w:val="BodyText"/>
      </w:pPr>
      <w:r>
        <w:rPr>
          <w:lang w:val="en-GB"/>
        </w:rPr>
        <w:t>1.2-draft — 2026-10-17</w:t>
      </w:r>
    </w:p>
    <w:p>
      <w:pPr>
        <w:pStyle w:val="BodyText"/>
      </w:pPr>
      <w:r>
        <w:rPr>
          <w:lang w:val="en-GB"/>
        </w:rPr>
        <w:t>Multilingual edition and document corrections. Earlier versions and their dates are retained. The French text is authoritative; translations aid reading and do not change the parties or applicable law.</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2" Target="https://www.cnil.fr/fr/reglement-europeen-protection-donnees/chapitre4" TargetMode="External" /><Relationship Type="http://schemas.openxmlformats.org/officeDocument/2006/relationships/hyperlink" Id="rId10" Target="mailto:privacy@transcribia.eu" TargetMode="External" /></Relationships>
</file>

<file path=word/_rels/footnotes.xml.rels><?xml version="1.0" encoding="UTF-8"?><Relationships xmlns="http://schemas.openxmlformats.org/package/2006/relationships"><Relationship Type="http://schemas.openxmlformats.org/officeDocument/2006/relationships/hyperlink" Id="rId12" Target="https://www.cnil.fr/fr/reglement-europeen-protection-donnees/chapitre4" TargetMode="External" /><Relationship Type="http://schemas.openxmlformats.org/officeDocument/2006/relationships/hyperlink" Id="rId10" Target="mailto:privacy@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2026-07-25T09:45:12Z</dcterms:created>
  <dcterms:modified xsi:type="dcterms:W3CDTF">2026-07-25T09:45:12Z</dcterms:modified>
</cp:coreProperties>
</file>

<file path=docProps/custom.xml><?xml version="1.0" encoding="utf-8"?>
<Properties xmlns="http://schemas.openxmlformats.org/officeDocument/2006/custom-properties" xmlns:vt="http://schemas.openxmlformats.org/officeDocument/2006/docPropsVTypes"/>
</file>