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d016d8dcf8a6157758ba28e359e61c058e847f"/>
    <w:p>
      <w:pPr>
        <w:pStyle w:val="Title"/>
        <w:keepNext/>
        <w:keepLines/>
      </w:pPr>
      <w:r>
        <w:rPr>
          <w:color w:val="000000"/>
          <w:lang w:val="en-GB"/>
        </w:rPr>
        <w:t xml:space="preserve">TranscribIA — GDPR collection &amp; data protection</w:t>
      </w:r>
    </w:p>
    <w:p>
      <w:pPr>
        <w:pStyle w:val="BodyText"/>
      </w:pPr>
      <w:r>
        <w:rPr>
          <w:lang w:val="en-GB"/>
        </w:rPr>
        <w:t xml:space="preserve">Localised edition v1.1 — 2026-10-17</w:t>
      </w:r>
    </w:p>
    <w:p>
      <w:pPr>
        <w:pStyle w:val="BodyText"/>
      </w:pPr>
      <w:r>
        <w:rPr>
          <w:lang w:val="en-GB"/>
        </w:rPr>
        <w:t xml:space="preserve">The French text is authoritative. This edition covers France, Ireland, the Netherlands, Spain and Portugal. Language does not select the deployment country, parties or applicable law. Read the national annex at the end of this document according to the actual country and use.</w:t>
      </w:r>
    </w:p>
    <w:p>
      <w:pPr>
        <w:pStyle w:val="FirstParagraph"/>
      </w:pPr>
      <w:r>
        <w:rPr>
          <w:b/>
          <w:bCs/>
          <w:lang w:val="en-GB"/>
        </w:rPr>
        <w:t xml:space="preserve">Publisher: OHADJA </w:t>
      </w:r>
      <w:r>
        <w:rPr>
          <w:lang w:val="en-GB"/>
        </w:rPr>
        <w:t xml:space="preserve"/>
      </w:r>
      <w:r>
        <w:rPr>
          <w:lang w:val="en-GB"/>
        </w:rPr>
        <w:t xml:space="preserve">— SAS, 992 146 480 R.C.S. Paris, 60 rue François Ier, 75008 Paris · Data protection contact: </w:t>
      </w:r>
      <w:r>
        <w:rPr>
          <w:lang w:val="en-GB"/>
        </w:rPr>
        <w:t xml:space="preserve"/>
      </w:r>
      <w:hyperlink r:id="rId9">
        <w:r>
          <w:rPr>
            <w:rStyle w:val="Hyperlink"/>
            <w:lang w:val="en-GB"/>
          </w:rPr>
          <w:t xml:space="preserve">privacy@transcribia.eu</w:t>
        </w:r>
      </w:hyperlink>
    </w:p>
    <w:p>
      <w:pPr>
        <w:pStyle w:val="BodyText"/>
      </w:pPr>
      <w:r>
        <w:rPr>
          <w:i/>
          <w:iCs/>
          <w:lang w:val="en-GB"/>
        </w:rPr>
        <w:t xml:space="preserve">Collection version 1.0 of 2026-07-25 — Public. Each chapter is also available as a separate document upon request.</w:t>
      </w:r>
    </w:p>
    <w:p>
      <w:r>
        <w:br w:type="page"/>
      </w:r>
    </w:p>
    <w:bookmarkEnd w:id="10"/>
    <w:bookmarkStart w:id="26" w:name="fiche-de-conformité-rgpd--transcribia"/>
    <w:p>
      <w:pPr>
        <w:pStyle w:val="Heading1"/>
        <w:keepNext/>
        <w:keepLines/>
      </w:pPr>
      <w:r>
        <w:rPr>
          <w:color w:val="000000"/>
          <w:lang w:val="en-GB"/>
        </w:rPr>
        <w:t xml:space="preserve">Conformity sheet GDPR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TRB-CONF-01.01</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11" w:name="Xc917c513d777cae8fbc2f368313a6eca76788e1"/>
    <w:p>
      <w:pPr>
        <w:pStyle w:val="Heading2"/>
        <w:keepNext/>
        <w:keepLines/>
      </w:pPr>
      <w:r>
        <w:rPr>
          <w:color w:val="000000"/>
          <w:lang w:val="en-GB"/>
        </w:rPr>
        <w:t xml:space="preserve">1. Purpose and scope of the document</w:t>
      </w:r>
    </w:p>
    <w:p>
      <w:pPr>
        <w:pStyle w:val="FirstParagraph"/>
      </w:pPr>
      <w:r>
        <w:rPr>
          <w:lang w:val="en-GB"/>
        </w:rPr>
        <w:t xml:space="preserve">This sheet describes how the TranscribIA solution, published and operated by OHADJA, is designed to allow your organization to use an intelligent audio transcription service in compliance with Regulation (EU) 2016/679 (hereinafter “GDPR”) and Law No. 78-17 of January 6, 1978 modified.</w:t>
      </w:r>
    </w:p>
    <w:p>
      <w:pPr>
        <w:pStyle w:val="BodyText"/>
      </w:pPr>
      <w:r>
        <w:rPr>
          <w:lang w:val="en-GB"/>
        </w:rPr>
        <w:t xml:space="preserve">For your business leadership, IT department, security officer and data protection contact, it summarises compliance information useful for the pre-contract assessment: the parties’ roles, processed data, lawful bases, exercise of individuals’ rights, security measures, subprocessors, data location and breach management.</w:t>
      </w:r>
    </w:p>
    <w:p>
      <w:pPr>
        <w:pStyle w:val="BodyText"/>
      </w:pPr>
      <w:r>
        <w:rPr>
          <w:lang w:val="en-GB"/>
        </w:rPr>
        <w:t xml:space="preserve">It does not replace contractual documents. Legally enforceable commitments are set out in the Article 28 GDPR Data Processing Agreement (the “DPA”), reproduced in document TRB-CONF-01.02, whose annexes are authoritative for the detailed processing description, subprocessor list and technical and organisational measures.</w:t>
      </w:r>
    </w:p>
    <w:bookmarkEnd w:id="11"/>
    <w:bookmarkStart w:id="12" w:name="X7385a4187a8980a6e5daf7ab4330baa13b2ad55"/>
    <w:p>
      <w:pPr>
        <w:pStyle w:val="Heading2"/>
        <w:keepNext/>
        <w:keepLines/>
      </w:pPr>
      <w:r>
        <w:rPr>
          <w:color w:val="000000"/>
          <w:lang w:val="en-GB"/>
        </w:rPr>
        <w:t xml:space="preserve">2. Identity of processor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Naming</w:t>
            </w:r>
          </w:p>
        </w:tc>
        <w:tc>
          <w:tcPr/>
          <w:p>
            <w:pPr>
              <w:pStyle w:val="Compact"/>
            </w:pPr>
            <w:r>
              <w:rPr>
                <w:lang w:val="en-GB"/>
              </w:rPr>
              <w:t xml:space="preserve">OHADJA</w:t>
            </w:r>
          </w:p>
        </w:tc>
      </w:tr>
      <w:tr>
        <w:trPr>
          <w:cantSplit/>
        </w:trPr>
        <w:tc>
          <w:tcPr/>
          <w:p>
            <w:pPr>
              <w:pStyle w:val="Compact"/>
            </w:pPr>
            <w:r>
              <w:rPr>
                <w:lang w:val="en-GB"/>
              </w:rPr>
              <w:t xml:space="preserve">Legal form</w:t>
            </w:r>
          </w:p>
        </w:tc>
        <w:tc>
          <w:tcPr/>
          <w:p>
            <w:pPr>
              <w:pStyle w:val="Compact"/>
            </w:pPr>
            <w:r>
              <w:rPr>
                <w:lang w:val="en-GB"/>
              </w:rPr>
              <w:t xml:space="preserve">French simplified joint-stock company (société par actions simplifiée, SAS)</w:t>
            </w:r>
          </w:p>
        </w:tc>
      </w:tr>
      <w:tr>
        <w:trPr>
          <w:cantSplit/>
        </w:trPr>
        <w:tc>
          <w:tcPr/>
          <w:p>
            <w:pPr>
              <w:pStyle w:val="Compact"/>
            </w:pPr>
            <w:r>
              <w:rPr>
                <w:lang w:val="en-GB"/>
              </w:rPr>
              <w:t xml:space="preserve">Intracommunity VAT number</w:t>
            </w:r>
          </w:p>
        </w:tc>
        <w:tc>
          <w:tcPr/>
          <w:p>
            <w:pPr>
              <w:pStyle w:val="Compact"/>
            </w:pPr>
            <w:r>
              <w:rPr>
                <w:lang w:val="en-GB"/>
              </w:rPr>
              <w:t xml:space="preserve">FR78992146480</w:t>
            </w:r>
          </w:p>
        </w:tc>
      </w:tr>
      <w:tr>
        <w:trPr>
          <w:cantSplit/>
        </w:trPr>
        <w:tc>
          <w:tcPr/>
          <w:p>
            <w:pPr>
              <w:pStyle w:val="Compact"/>
            </w:pPr>
            <w:r>
              <w:rPr>
                <w:lang w:val="en-GB"/>
              </w:rPr>
              <w:t xml:space="preserve">Registration</w:t>
            </w:r>
          </w:p>
        </w:tc>
        <w:tc>
          <w:tcPr/>
          <w:p>
            <w:pPr>
              <w:pStyle w:val="Compact"/>
            </w:pPr>
            <w:r>
              <w:rPr>
                <w:lang w:val="en-GB"/>
              </w:rPr>
              <w:t xml:space="preserve">992 146 480 R.C.S. Paris — SIRET of the headquarters: 992 146 480 00015</w:t>
            </w:r>
          </w:p>
        </w:tc>
      </w:tr>
      <w:tr>
        <w:trPr>
          <w:cantSplit/>
        </w:trPr>
        <w:tc>
          <w:tcPr/>
          <w:p>
            <w:pPr>
              <w:pStyle w:val="Compact"/>
            </w:pPr>
            <w:r>
              <w:rPr>
                <w:lang w:val="en-GB"/>
              </w:rPr>
              <w:t xml:space="preserve">Head office</w:t>
            </w:r>
          </w:p>
        </w:tc>
        <w:tc>
          <w:tcPr/>
          <w:p>
            <w:pPr>
              <w:pStyle w:val="Compact"/>
            </w:pPr>
            <w:r>
              <w:rPr>
                <w:lang w:val="en-GB"/>
              </w:rPr>
              <w:t xml:space="preserve">60 rue François 1er, 75008 Paris, France</w:t>
            </w:r>
          </w:p>
        </w:tc>
      </w:tr>
      <w:tr>
        <w:trPr>
          <w:cantSplit/>
        </w:trPr>
        <w:tc>
          <w:tcPr/>
          <w:p>
            <w:pPr>
              <w:pStyle w:val="Compact"/>
            </w:pPr>
            <w:r>
              <w:rPr>
                <w:lang w:val="en-GB"/>
              </w:rPr>
              <w:t xml:space="preserve">Legal representative</w:t>
            </w:r>
          </w:p>
        </w:tc>
        <w:tc>
          <w:tcPr/>
          <w:p>
            <w:pPr>
              <w:pStyle w:val="Compact"/>
            </w:pPr>
            <w:r>
              <w:rPr>
                <w:lang w:val="en-GB"/>
              </w:rPr>
              <w:t xml:space="preserve">Olivier Dupont, President</w:t>
            </w:r>
          </w:p>
        </w:tc>
      </w:tr>
      <w:tr>
        <w:trPr>
          <w:cantSplit/>
        </w:trPr>
        <w:tc>
          <w:tcPr/>
          <w:p>
            <w:pPr>
              <w:pStyle w:val="Compact"/>
            </w:pPr>
            <w:r>
              <w:rPr>
                <w:lang w:val="en-GB"/>
              </w:rPr>
              <w:t xml:space="preserve">Role</w:t>
            </w:r>
          </w:p>
        </w:tc>
        <w:tc>
          <w:tcPr/>
          <w:p>
            <w:pPr>
              <w:pStyle w:val="Compact"/>
            </w:pPr>
            <w:r>
              <w:rPr>
                <w:lang w:val="en-GB"/>
              </w:rPr>
              <w:t xml:space="preserve">Publisher and developer of the software TranscribIA, and processor within the meaning of article 28 of GDPR for SaaS operation, support and maintenance</w:t>
            </w:r>
          </w:p>
        </w:tc>
      </w:tr>
      <w:tr>
        <w:trPr>
          <w:cantSplit/>
        </w:trPr>
        <w:tc>
          <w:tcPr/>
          <w:p>
            <w:pPr>
              <w:pStyle w:val="Compact"/>
            </w:pPr>
            <w:r>
              <w:rPr>
                <w:lang w:val="en-GB"/>
              </w:rPr>
              <w:t xml:space="preserve">Data protection contact</w:t>
            </w:r>
          </w:p>
        </w:tc>
        <w:tc>
          <w:tcPr/>
          <w:p>
            <w:pPr>
              <w:pStyle w:val="Compact"/>
            </w:pPr>
            <w:r>
              <w:rPr>
                <w:lang w:val="en-GB"/>
              </w:rPr>
              <w:t xml:space="preserve">Olivier Dupont, President </w:t>
            </w:r>
            <w:r>
              <w:rPr>
                <w:lang w:val="en-GB"/>
              </w:rPr>
              <w:t xml:space="preserve">— </w:t>
            </w:r>
            <w:hyperlink r:id="rId9">
              <w:r>
                <w:rPr>
                  <w:rStyle w:val="Hyperlink"/>
                  <w:lang w:val="en-GB"/>
                </w:rPr>
                <w:t xml:space="preserve">privacy@transcribia.eu</w:t>
              </w:r>
            </w:hyperlink>
          </w:p>
        </w:tc>
      </w:tr>
      <w:tr>
        <w:trPr>
          <w:cantSplit/>
        </w:trPr>
        <w:tc>
          <w:tcPr/>
          <w:p>
            <w:pPr>
              <w:pStyle w:val="Compact"/>
            </w:pPr>
            <w:r>
              <w:rPr>
                <w:lang w:val="en-GB"/>
              </w:rPr>
              <w:t xml:space="preserve">Compliance and data protection contact</w:t>
            </w:r>
          </w:p>
        </w:tc>
        <w:tc>
          <w:tcPr/>
          <w:p>
            <w:pPr>
              <w:pStyle w:val="Compact"/>
            </w:pPr>
            <w:hyperlink r:id="rId9">
              <w:r>
                <w:rPr>
                  <w:rStyle w:val="Hyperlink"/>
                  <w:lang w:val="en-GB"/>
                </w:rPr>
                <w:t xml:space="preserve">privacy@transcribia.eu</w:t>
              </w:r>
            </w:hyperlink>
          </w:p>
        </w:tc>
      </w:tr>
    </w:tbl>
    <w:p>
      <w:pPr>
        <w:pStyle w:val="BodyText"/>
      </w:pPr>
      <w:r>
        <w:rPr>
          <w:b/>
          <w:bCs/>
          <w:lang w:val="en-GB"/>
        </w:rPr>
        <w:t xml:space="preserve">Role of AMBASSADIA </w:t>
      </w:r>
      <w:r>
        <w:rPr>
          <w:lang w:val="en-GB"/>
        </w:rPr>
        <w:t xml:space="preserve"/>
      </w:r>
      <w:r>
        <w:rPr>
          <w:lang w:val="en-GB"/>
        </w:rPr>
        <w:t xml:space="preserve">SARL. AMBASSADIA SARL (SARL with share capital of €50,000, managing director Olivier </w:t>
      </w:r>
      <w:r>
        <w:rPr>
          <w:lang w:val="en-GB"/>
        </w:rPr>
        <w:t xml:space="preserve"/>
      </w:r>
      <w:r>
        <w:rPr>
          <w:b/>
          <w:bCs/>
          <w:lang w:val="en-GB"/>
        </w:rPr>
        <w:t xml:space="preserve">Dupont) acts as a commercial reseller </w:t>
      </w:r>
      <w:r>
        <w:rPr>
          <w:lang w:val="en-GB"/>
        </w:rPr>
        <w:t xml:space="preserve"/>
      </w:r>
      <w:r>
        <w:rPr>
          <w:lang w:val="en-GB"/>
        </w:rPr>
        <w:t xml:space="preserve">and distributor of TranscribIA (Monaco and France). Its role is </w:t>
      </w:r>
      <w:r>
        <w:rPr>
          <w:lang w:val="en-GB"/>
        </w:rPr>
        <w:t xml:space="preserve"/>
      </w:r>
      <w:r>
        <w:rPr>
          <w:b/>
          <w:bCs/>
          <w:lang w:val="en-GB"/>
        </w:rPr>
        <w:t xml:space="preserve">exclusively commercial: it does not process production </w:t>
      </w:r>
      <w:r>
        <w:rPr>
          <w:lang w:val="en-GB"/>
        </w:rPr>
        <w:t xml:space="preserve"/>
      </w:r>
      <w:r>
        <w:rPr>
          <w:lang w:val="en-GB"/>
        </w:rPr>
        <w:t xml:space="preserve">data on customers’ behalf [exact scope to confirm]. The production domain </w:t>
      </w:r>
      <w:r>
        <w:rPr>
          <w:lang w:val="en-GB"/>
        </w:rPr>
        <w:t xml:space="preserve"/>
      </w:r>
      <w:r>
        <w:rPr>
          <w:rStyle w:val="VerbatimChar"/>
          <w:lang w:val="en-GB"/>
        </w:rPr>
        <w:t xml:space="preserve">client.transcribia.eu</w:t>
      </w:r>
      <w:r>
        <w:rPr>
          <w:lang w:val="en-GB"/>
        </w:rPr>
        <w:t xml:space="preserve"> </w:t>
      </w:r>
      <w:r>
        <w:rPr>
          <w:lang w:val="en-GB"/>
        </w:rPr>
        <w:t xml:space="preserve">remains a valid operational element of the SaaS service operated by OHADJA.</w:t>
      </w:r>
    </w:p>
    <w:p>
      <w:pPr>
        <w:pStyle w:val="BodyText"/>
      </w:pPr>
      <w:r>
        <w:rPr>
          <w:lang w:val="en-GB"/>
        </w:rPr>
        <w:t xml:space="preserve">TranscribIA is also marketed and integrated by Televic Conference France, as a distributor and integrator. Televic does not access your organization's production data, except for a service account that you have explicitly created yourself. A Televic administration role exists only on the demonstration environment, never on production, and in no case gives access to the content of organizations (transcriptions, audio): it is limited to the creation of structures and accounts.</w:t>
      </w:r>
    </w:p>
    <w:bookmarkEnd w:id="12"/>
    <w:bookmarkStart w:id="13" w:name="X74f8a4f59682b637b8dd717c26f0614ac951509"/>
    <w:p>
      <w:pPr>
        <w:pStyle w:val="Heading2"/>
        <w:keepNext/>
        <w:keepLines/>
      </w:pPr>
      <w:r>
        <w:rPr>
          <w:color w:val="000000"/>
          <w:lang w:val="en-GB"/>
        </w:rPr>
        <w:t xml:space="preserve">3. Positioning of the parts: controller and processor</w:t>
      </w:r>
    </w:p>
    <w:p>
      <w:pPr>
        <w:pStyle w:val="FirstParagraph"/>
      </w:pPr>
      <w:r>
        <w:rPr>
          <w:lang w:val="en-GB"/>
        </w:rPr>
        <w:t xml:space="preserve">Your organisation acts as </w:t>
      </w:r>
      <w:r>
        <w:rPr>
          <w:lang w:val="en-GB"/>
        </w:rPr>
        <w:t xml:space="preserve"/>
      </w:r>
      <w:r>
        <w:rPr>
          <w:b/>
          <w:bCs/>
          <w:lang w:val="en-GB"/>
        </w:rPr>
        <w:t xml:space="preserve">controller under GDPR </w:t>
      </w:r>
      <w:r>
        <w:rPr>
          <w:lang w:val="en-GB"/>
        </w:rPr>
        <w:t xml:space="preserve"/>
      </w:r>
      <w:r>
        <w:rPr>
          <w:lang w:val="en-GB"/>
        </w:rPr>
        <w:t xml:space="preserve">Article 4(7). As such, you determine the purposes and essential means of processing carried out using TranscribIA, define the lawful basis of each processing operation, inform data subjects, set retention periods for your content and maintain the register required by Article 30(1).</w:t>
      </w:r>
    </w:p>
    <w:p>
      <w:pPr>
        <w:pStyle w:val="BodyText"/>
      </w:pPr>
      <w:r>
        <w:rPr>
          <w:lang w:val="en-GB"/>
        </w:rPr>
        <w:t xml:space="preserve">OHADJA acts as processor </w:t>
      </w:r>
      <w:r>
        <w:rPr>
          <w:lang w:val="en-GB"/>
        </w:rPr>
        <w:t xml:space="preserve"/>
      </w:r>
      <w:r>
        <w:rPr>
          <w:b/>
          <w:bCs/>
          <w:lang w:val="en-GB"/>
        </w:rPr>
        <w:t xml:space="preserve">under </w:t>
      </w:r>
      <w:r>
        <w:rPr>
          <w:lang w:val="en-GB"/>
        </w:rPr>
        <w:t xml:space="preserve"/>
      </w:r>
      <w:r>
        <w:rPr>
          <w:lang w:val="en-GB"/>
        </w:rPr>
        <w:t xml:space="preserve">GDPR Article 4(8). It processes personal data solely on your behalf, based on your documented instructions and within the limits of the main contract and DPA. It determines neither the purposes nor the lawful basis of processing you carry out using the service.</w:t>
      </w:r>
    </w:p>
    <w:p>
      <w:pPr>
        <w:pStyle w:val="BodyText"/>
      </w:pPr>
      <w:r>
        <w:rPr>
          <w:lang w:val="en-GB"/>
        </w:rPr>
        <w:t xml:space="preserve">Two modes of supply are planned, from which the exact scope of responsibilities arises:</w:t>
      </w:r>
    </w:p>
    <w:p>
      <w:pPr>
        <w:pStyle w:val="Compact"/>
        <w:numPr>
          <w:ilvl w:val="0"/>
          <w:numId w:val="1001"/>
        </w:numPr>
      </w:pPr>
      <w:r>
        <w:rPr>
          <w:b/>
          <w:bCs/>
          <w:lang w:val="en-GB"/>
        </w:rPr>
        <w:t xml:space="preserve">Option A — Sovereign </w:t>
      </w:r>
      <w:r>
        <w:rPr>
          <w:lang w:val="en-GB"/>
        </w:rPr>
        <w:t xml:space="preserve"/>
      </w:r>
      <w:r>
        <w:rPr>
          <w:lang w:val="en-GB"/>
        </w:rPr>
        <w:t xml:space="preserve">SaaS: the service is hosted and operated by OHADJA on an infrastructure located in France. OHADJA provides hosting, application operation, maintenance, supervision, technical backups, updates and operational security.</w:t>
      </w:r>
    </w:p>
    <w:p>
      <w:pPr>
        <w:pStyle w:val="Compact"/>
        <w:numPr>
          <w:ilvl w:val="0"/>
          <w:numId w:val="1001"/>
        </w:numPr>
      </w:pPr>
      <w:r>
        <w:rPr>
          <w:b/>
          <w:bCs/>
          <w:lang w:val="en-GB"/>
        </w:rPr>
        <w:t xml:space="preserve">Option B — On-premise: </w:t>
      </w:r>
      <w:r>
        <w:rPr>
          <w:lang w:val="en-GB"/>
        </w:rPr>
        <w:t xml:space="preserve"/>
      </w:r>
      <w:r>
        <w:rPr>
          <w:lang w:val="en-GB"/>
        </w:rPr>
        <w:t xml:space="preserve">the solution is deployed in your own infrastructure using Docker containers. You then ensure hosting, system administration, network security, backups and supervision; OHADJA remains processor for only the operations that it actually carries out on your behalf (support, maintenance, application updates, authorized remote access).</w:t>
      </w:r>
    </w:p>
    <w:p>
      <w:pPr>
        <w:pStyle w:val="FirstParagraph"/>
      </w:pPr>
      <w:r>
        <w:rPr>
          <w:lang w:val="en-GB"/>
        </w:rPr>
        <w:t xml:space="preserve">The selected mode is checked in Annex 1 of the DPA.</w:t>
      </w:r>
    </w:p>
    <w:bookmarkEnd w:id="13"/>
    <w:bookmarkStart w:id="14" w:name="X82c4d7b633db3a6681ea8d47fe4dc1e19a1c925"/>
    <w:p>
      <w:pPr>
        <w:pStyle w:val="Heading2"/>
        <w:keepNext/>
        <w:keepLines/>
      </w:pPr>
      <w:r>
        <w:rPr>
          <w:color w:val="000000"/>
          <w:lang w:val="en-GB"/>
        </w:rPr>
        <w:t xml:space="preserve">4. The service and treatments carried out</w:t>
      </w:r>
    </w:p>
    <w:p>
      <w:pPr>
        <w:pStyle w:val="FirstParagraph"/>
      </w:pPr>
      <w:r>
        <w:rPr>
          <w:lang w:val="en-GB"/>
        </w:rPr>
        <w:t xml:space="preserve">TranscribIA is an intelligent audio transcription platform. The typical functional flow is as follows: upload of an audio file, automatic transcription and diarization (separation of speakers), then exploitation assisted by artificial intelligence (correction, summary, minutes, chapters, speaker identification suggestion) and exports in Word format.</w:t>
      </w:r>
    </w:p>
    <w:p>
      <w:pPr>
        <w:pStyle w:val="BodyText"/>
      </w:pPr>
      <w:r>
        <w:rPr>
          <w:lang w:val="en-GB"/>
        </w:rPr>
        <w:t xml:space="preserve">The detailed description of the processing (object, nature, purposes, operations by stage of the workflow) appears in document TRB-CONF-01.03 and in Appendix 1 of the DPA.</w:t>
      </w:r>
    </w:p>
    <w:bookmarkEnd w:id="14"/>
    <w:bookmarkStart w:id="15" w:name="X196c226cd9710d8500b96808658c6e9d758e146"/>
    <w:p>
      <w:pPr>
        <w:pStyle w:val="Heading2"/>
        <w:keepNext/>
        <w:keepLines/>
      </w:pPr>
      <w:r>
        <w:rPr>
          <w:color w:val="000000"/>
          <w:lang w:val="en-GB"/>
        </w:rPr>
        <w:t xml:space="preserve">5. Data categories and data subjects</w:t>
      </w:r>
    </w:p>
    <w:p>
      <w:pPr>
        <w:pStyle w:val="FirstParagraph"/>
      </w:pPr>
      <w:r>
        <w:rPr>
          <w:lang w:val="en-GB"/>
        </w:rPr>
        <w:t xml:space="preserve">The categories of personal data likely to be processed, depending on your uses and the files you upload, are as follows: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Category</w:t>
            </w:r>
          </w:p>
        </w:tc>
        <w:tc>
          <w:tcPr/>
          <w:p>
            <w:pPr>
              <w:pStyle w:val="Compact"/>
            </w:pPr>
            <w:r>
              <w:rPr>
                <w:lang w:val="en-GB"/>
              </w:rPr>
              <w:t xml:space="preserve">Examples</w:t>
            </w:r>
          </w:p>
        </w:tc>
      </w:tr>
      <w:tr>
        <w:trPr>
          <w:cantSplit/>
        </w:trPr>
        <w:tc>
          <w:tcPr/>
          <w:p>
            <w:pPr>
              <w:pStyle w:val="Compact"/>
            </w:pPr>
            <w:r>
              <w:rPr>
                <w:lang w:val="en-GB"/>
              </w:rPr>
              <w:t xml:space="preserve">Audio and video recordings</w:t>
            </w:r>
          </w:p>
        </w:tc>
        <w:tc>
          <w:tcPr/>
          <w:p>
            <w:pPr>
              <w:pStyle w:val="Compact"/>
            </w:pPr>
            <w:r>
              <w:rPr>
                <w:lang w:val="en-GB"/>
              </w:rPr>
              <w:t xml:space="preserve">MP3, wav, ogg, m4a, flac, webm, mp4, avi, mkv, mov, wmv files uploaded by your users</w:t>
            </w:r>
          </w:p>
        </w:tc>
      </w:tr>
      <w:tr>
        <w:trPr>
          <w:cantSplit/>
        </w:trPr>
        <w:tc>
          <w:tcPr/>
          <w:p>
            <w:pPr>
              <w:pStyle w:val="Compact"/>
            </w:pPr>
            <w:r>
              <w:rPr>
                <w:lang w:val="en-GB"/>
              </w:rPr>
              <w:t xml:space="preserve">Transcriptions</w:t>
            </w:r>
          </w:p>
        </w:tc>
        <w:tc>
          <w:tcPr/>
          <w:p>
            <w:pPr>
              <w:pStyle w:val="Compact"/>
            </w:pPr>
            <w:r>
              <w:rPr>
                <w:lang w:val="en-GB"/>
              </w:rPr>
              <w:t xml:space="preserve">Segments, timestamps, verbatim, versions, corrections, chapters, diarization</w:t>
            </w:r>
          </w:p>
        </w:tc>
      </w:tr>
      <w:tr>
        <w:trPr>
          <w:cantSplit/>
        </w:trPr>
        <w:tc>
          <w:tcPr/>
          <w:p>
            <w:pPr>
              <w:pStyle w:val="Compact"/>
            </w:pPr>
            <w:r>
              <w:rPr>
                <w:lang w:val="en-GB"/>
              </w:rPr>
              <w:t xml:space="preserve">Speaker data</w:t>
            </w:r>
          </w:p>
        </w:tc>
        <w:tc>
          <w:tcPr/>
          <w:p>
            <w:pPr>
              <w:pStyle w:val="Compact"/>
            </w:pPr>
            <w:r>
              <w:rPr>
                <w:lang w:val="en-GB"/>
              </w:rPr>
              <w:t xml:space="preserve">Names entered by your users, speaker labels, proposed and validated matches</w:t>
            </w:r>
          </w:p>
        </w:tc>
      </w:tr>
      <w:tr>
        <w:trPr>
          <w:cantSplit/>
        </w:trPr>
        <w:tc>
          <w:tcPr/>
          <w:p>
            <w:pPr>
              <w:pStyle w:val="Compact"/>
            </w:pPr>
            <w:r>
              <w:rPr>
                <w:lang w:val="en-GB"/>
              </w:rPr>
              <w:t xml:space="preserve">Preparatory documents</w:t>
            </w:r>
          </w:p>
        </w:tc>
        <w:tc>
          <w:tcPr/>
          <w:p>
            <w:pPr>
              <w:pStyle w:val="Compact"/>
            </w:pPr>
            <w:r>
              <w:rPr>
                <w:lang w:val="en-GB"/>
              </w:rPr>
              <w:t xml:space="preserve">Agendas, past minutes, notes, PDF/DOCX, extract text</w:t>
            </w:r>
          </w:p>
        </w:tc>
      </w:tr>
      <w:tr>
        <w:trPr>
          <w:cantSplit/>
        </w:trPr>
        <w:tc>
          <w:tcPr/>
          <w:p>
            <w:pPr>
              <w:pStyle w:val="Compact"/>
            </w:pPr>
            <w:r>
              <w:rPr>
                <w:lang w:val="en-GB"/>
              </w:rPr>
              <w:t xml:space="preserve">Session metadata</w:t>
            </w:r>
          </w:p>
        </w:tc>
        <w:tc>
          <w:tcPr/>
          <w:p>
            <w:pPr>
              <w:pStyle w:val="Compact"/>
            </w:pPr>
            <w:r>
              <w:rPr>
                <w:lang w:val="en-GB"/>
              </w:rPr>
              <w:t xml:space="preserve">Title, date, location, session type, status, agenda, team, organization</w:t>
            </w:r>
          </w:p>
        </w:tc>
      </w:tr>
      <w:tr>
        <w:trPr>
          <w:cantSplit/>
        </w:trPr>
        <w:tc>
          <w:tcPr/>
          <w:p>
            <w:pPr>
              <w:pStyle w:val="Compact"/>
            </w:pPr>
            <w:r>
              <w:rPr>
                <w:lang w:val="en-GB"/>
              </w:rPr>
              <w:t xml:space="preserve">User accounts</w:t>
            </w:r>
          </w:p>
        </w:tc>
        <w:tc>
          <w:tcPr/>
          <w:p>
            <w:pPr>
              <w:pStyle w:val="Compact"/>
            </w:pPr>
            <w:r>
              <w:rPr>
                <w:lang w:val="en-GB"/>
              </w:rPr>
              <w:t xml:space="preserve">Last name, first name if applicable, email address, role, organization, team, access tokens, connection dates</w:t>
            </w:r>
          </w:p>
        </w:tc>
      </w:tr>
      <w:tr>
        <w:trPr>
          <w:cantSplit/>
        </w:trPr>
        <w:tc>
          <w:tcPr/>
          <w:p>
            <w:pPr>
              <w:pStyle w:val="Compact"/>
            </w:pPr>
            <w:r>
              <w:rPr>
                <w:lang w:val="en-GB"/>
              </w:rPr>
              <w:t xml:space="preserve">Audit logs and technical traces</w:t>
            </w:r>
          </w:p>
        </w:tc>
        <w:tc>
          <w:tcPr/>
          <w:p>
            <w:pPr>
              <w:pStyle w:val="Compact"/>
            </w:pPr>
            <w:r>
              <w:rPr>
                <w:lang w:val="en-GB"/>
              </w:rPr>
              <w:t xml:space="preserve">User identifiers, actions, dates, IP addresses when collected, application events</w:t>
            </w:r>
          </w:p>
        </w:tc>
      </w:tr>
      <w:tr>
        <w:trPr>
          <w:cantSplit/>
        </w:trPr>
        <w:tc>
          <w:tcPr/>
          <w:p>
            <w:pPr>
              <w:pStyle w:val="Compact"/>
            </w:pPr>
            <w:r>
              <w:rPr>
                <w:lang w:val="en-GB"/>
              </w:rPr>
              <w:t xml:space="preserve">AI Generations</w:t>
            </w:r>
          </w:p>
        </w:tc>
        <w:tc>
          <w:tcPr/>
          <w:p>
            <w:pPr>
              <w:pStyle w:val="Compact"/>
            </w:pPr>
            <w:r>
              <w:rPr>
                <w:lang w:val="en-GB"/>
              </w:rPr>
              <w:t xml:space="preserve">Prompts, selected sources, generated responses, summaries, analyses, minutes</w:t>
            </w:r>
          </w:p>
        </w:tc>
      </w:tr>
      <w:tr>
        <w:trPr>
          <w:cantSplit/>
        </w:trPr>
        <w:tc>
          <w:tcPr/>
          <w:p>
            <w:pPr>
              <w:pStyle w:val="Compact"/>
            </w:pPr>
            <w:r>
              <w:rPr>
                <w:lang w:val="en-GB"/>
              </w:rPr>
              <w:t xml:space="preserve">Voting or attendance data, if enabled</w:t>
            </w:r>
          </w:p>
        </w:tc>
        <w:tc>
          <w:tcPr/>
          <w:p>
            <w:pPr>
              <w:pStyle w:val="Compact"/>
            </w:pPr>
            <w:r>
              <w:rPr>
                <w:lang w:val="en-GB"/>
              </w:rPr>
              <w:t xml:space="preserve">Presences, absences, proxies, voting results, quality of participants</w:t>
            </w:r>
          </w:p>
        </w:tc>
      </w:tr>
      <w:tr>
        <w:trPr>
          <w:cantSplit/>
        </w:trPr>
        <w:tc>
          <w:tcPr/>
          <w:p>
            <w:pPr>
              <w:pStyle w:val="Compact"/>
            </w:pPr>
            <w:r>
              <w:rPr>
                <w:lang w:val="en-GB"/>
              </w:rPr>
              <w:t xml:space="preserve">Temporary voice representations</w:t>
            </w:r>
          </w:p>
        </w:tc>
        <w:tc>
          <w:tcPr/>
          <w:p>
            <w:pPr>
              <w:pStyle w:val="Compact"/>
            </w:pPr>
            <w:r>
              <w:rPr>
                <w:lang w:val="en-GB"/>
              </w:rPr>
              <w:t xml:space="preserve">Speech characteristics calculated in RAM for speech correlation, destroyed at the end of the request</w:t>
            </w:r>
          </w:p>
        </w:tc>
      </w:tr>
    </w:tbl>
    <w:p>
      <w:pPr>
        <w:pStyle w:val="BodyText"/>
      </w:pPr>
      <w:r>
        <w:rPr>
          <w:lang w:val="en-GB"/>
        </w:rPr>
        <w:t xml:space="preserve">The categories of people concerned include in particular your users (agents, employees, elected officials, practitioners, lawyers, notaries, teachers, journalists), the speakers whose voice is captured in the uploaded files, the people mentioned in the meetings, transcripts or documents, as well as the invited institutional contacts.</w:t>
      </w:r>
    </w:p>
    <w:p>
      <w:pPr>
        <w:pStyle w:val="BodyText"/>
      </w:pPr>
      <w:r>
        <w:rPr>
          <w:b/>
          <w:bCs/>
          <w:lang w:val="en-GB"/>
        </w:rPr>
        <w:t xml:space="preserve">Point to note — sensitive data and diarisation. </w:t>
      </w:r>
      <w:r>
        <w:rPr>
          <w:lang w:val="en-GB"/>
        </w:rPr>
        <w:t xml:space="preserve"/>
      </w:r>
      <w:r>
        <w:rPr>
          <w:lang w:val="en-GB"/>
        </w:rPr>
        <w:t xml:space="preserve">Positional diarisation produces labels such as “Speaker 1”, “Speaker 2”; these remain personal data when they can be linked to a person in the recording or through other information. The absence of a retained template does not, by itself, exclude biometric processing. The purpose and technical means must be examined under Articles 4(14) and 9. Optional voice correlation is described in section 12. The Customer must also assess any special categories present in the content, including health, political opinions and trade union membership.</w:t>
      </w:r>
    </w:p>
    <w:bookmarkEnd w:id="15"/>
    <w:bookmarkStart w:id="16" w:name="X4246085d3a0efd15658df0498ecbe9d34ede845"/>
    <w:p>
      <w:pPr>
        <w:pStyle w:val="Heading2"/>
        <w:keepNext/>
        <w:keepLines/>
      </w:pPr>
      <w:r>
        <w:rPr>
          <w:color w:val="000000"/>
          <w:lang w:val="en-GB"/>
        </w:rPr>
        <w:t xml:space="preserve">6. Legal bases</w:t>
      </w:r>
    </w:p>
    <w:p>
      <w:pPr>
        <w:pStyle w:val="FirstParagraph"/>
      </w:pPr>
      <w:r>
        <w:rPr>
          <w:lang w:val="en-GB"/>
        </w:rPr>
        <w:t xml:space="preserve">Your organisation, as controller, determines the lawful basis </w:t>
      </w:r>
      <w:r>
        <w:rPr>
          <w:lang w:val="en-GB"/>
        </w:rPr>
        <w:t xml:space="preserve"/>
      </w:r>
      <w:r>
        <w:rPr>
          <w:b/>
          <w:bCs/>
          <w:lang w:val="en-GB"/>
        </w:rPr>
        <w:t xml:space="preserve">for each processing operation </w:t>
      </w:r>
      <w:r>
        <w:rPr>
          <w:lang w:val="en-GB"/>
        </w:rPr>
        <w:t xml:space="preserve">performed using TranscribIA, according to its business context and processing register. Depending on the case, this may fall under GDPR Article 6(1) (public-interest task or exercise of official authority for a local authority, legal obligation, contract performance, legitimate interests or consent).</w:t>
      </w:r>
    </w:p>
    <w:p>
      <w:pPr>
        <w:pStyle w:val="BodyText"/>
      </w:pPr>
      <w:r>
        <w:rPr>
          <w:lang w:val="en-GB"/>
        </w:rPr>
        <w:t xml:space="preserve">OHADJA determines no lawful basis and carries out no processing of your data for its own purposes. You are also responsible for informing data subjects and, where applicable, obtaining their consent.</w:t>
      </w:r>
    </w:p>
    <w:bookmarkEnd w:id="16"/>
    <w:bookmarkStart w:id="17" w:name="Xad34d28697945ad9da85f5bf29d3fa8a4f6e563"/>
    <w:p>
      <w:pPr>
        <w:pStyle w:val="Heading2"/>
        <w:keepNext/>
        <w:keepLines/>
      </w:pPr>
      <w:r>
        <w:rPr>
          <w:color w:val="000000"/>
          <w:lang w:val="en-GB"/>
        </w:rPr>
        <w:t xml:space="preserve">7. Rights of individuals and concrete terms in the product</w:t>
      </w:r>
    </w:p>
    <w:p>
      <w:pPr>
        <w:pStyle w:val="FirstParagraph"/>
      </w:pPr>
      <w:r>
        <w:rPr>
          <w:lang w:val="en-GB"/>
        </w:rPr>
        <w:t xml:space="preserve">You remain responsible for handling requests to exercise rights (GDPR Articles 12 to 22). TranscribIA provides features enabling you to respond in practice:</w:t>
      </w:r>
    </w:p>
    <w:p>
      <w:pPr>
        <w:pStyle w:val="Compact"/>
        <w:numPr>
          <w:ilvl w:val="0"/>
          <w:numId w:val="1002"/>
        </w:numPr>
      </w:pPr>
      <w:r>
        <w:rPr>
          <w:b/>
          <w:bCs/>
          <w:lang w:val="en-GB"/>
        </w:rPr>
        <w:t xml:space="preserve">Right of access and rectification (art. 15 </w:t>
      </w:r>
      <w:r>
        <w:rPr>
          <w:lang w:val="en-GB"/>
        </w:rPr>
        <w:t xml:space="preserve"/>
      </w:r>
      <w:r>
        <w:rPr>
          <w:lang w:val="en-GB"/>
        </w:rPr>
        <w:t xml:space="preserve">and 16): transcriptions, metadata and speaker information can be consulted and modified by direct editing in the application by your authorized users.</w:t>
      </w:r>
    </w:p>
    <w:p>
      <w:pPr>
        <w:pStyle w:val="Compact"/>
        <w:numPr>
          <w:ilvl w:val="0"/>
          <w:numId w:val="1002"/>
        </w:numPr>
      </w:pPr>
      <w:r>
        <w:rPr>
          <w:b/>
          <w:bCs/>
          <w:lang w:val="en-GB"/>
        </w:rPr>
        <w:t xml:space="preserve">Right to portability (art. </w:t>
      </w:r>
      <w:r>
        <w:rPr>
          <w:lang w:val="en-GB"/>
        </w:rPr>
        <w:t xml:space="preserve">20): </w:t>
      </w:r>
      <w:r>
        <w:rPr>
          <w:lang w:val="en-GB"/>
        </w:rPr>
        <w:t xml:space="preserve">a complete export by organization is available </w:t>
      </w:r>
      <w:r>
        <w:rPr>
          <w:lang w:val="en-GB"/>
        </w:rPr>
        <w:t xml:space="preserve"/>
      </w:r>
      <w:r>
        <w:rPr>
          <w:b/>
          <w:bCs/>
          <w:lang w:val="en-GB"/>
        </w:rPr>
        <w:t xml:space="preserve">in self-service </w:t>
      </w:r>
      <w:r>
        <w:rPr>
          <w:lang w:val="en-GB"/>
        </w:rPr>
        <w:t xml:space="preserve"/>
      </w:r>
      <w:r>
        <w:rPr>
          <w:lang w:val="en-GB"/>
        </w:rPr>
        <w:t xml:space="preserve">from the Settings → Portability menu. It produces </w:t>
      </w:r>
      <w:r>
        <w:rPr>
          <w:lang w:val="en-GB"/>
        </w:rPr>
        <w:t xml:space="preserve">a </w:t>
      </w:r>
      <w:r>
        <w:rPr>
          <w:rStyle w:val="VerbatimChar"/>
          <w:lang w:val="en-GB"/>
        </w:rPr>
        <w:t xml:space="preserve">.tar.gz</w:t>
      </w:r>
      <w:r>
        <w:rPr>
          <w:lang w:val="en-GB"/>
        </w:rPr>
        <w:t xml:space="preserve"> </w:t>
      </w:r>
      <w:r>
        <w:rPr>
          <w:lang w:val="en-GB"/>
        </w:rPr>
        <w:t xml:space="preserve">archive signed in SHA-256 containing the entire schema of your organization (sessions, audio, transcriptions, AI generations, votes, attendance, dictionary, activity log, users).</w:t>
      </w:r>
    </w:p>
    <w:p>
      <w:pPr>
        <w:pStyle w:val="Compact"/>
        <w:numPr>
          <w:ilvl w:val="0"/>
          <w:numId w:val="1002"/>
        </w:numPr>
      </w:pPr>
      <w:r>
        <w:rPr>
          <w:b/>
          <w:bCs/>
          <w:lang w:val="en-GB"/>
        </w:rPr>
        <w:t xml:space="preserve">Right to erasure (art. 17): </w:t>
      </w:r>
      <w:r>
        <w:rPr>
          <w:lang w:val="en-GB"/>
        </w:rPr>
        <w:t xml:space="preserve"/>
      </w:r>
      <w:r>
        <w:rPr>
          <w:lang w:val="en-GB"/>
        </w:rPr>
        <w:t xml:space="preserve">certified deletion is available from the same page. The request is traced in the audit logs, executed within the legal deadline via a purge workflow, and results in the issuance of </w:t>
      </w:r>
      <w:r>
        <w:rPr>
          <w:lang w:val="en-GB"/>
        </w:rPr>
        <w:t xml:space="preserve"/>
      </w:r>
      <w:r>
        <w:rPr>
          <w:b/>
          <w:bCs/>
          <w:lang w:val="en-GB"/>
        </w:rPr>
        <w:t xml:space="preserve">a deletion </w:t>
      </w:r>
      <w:r>
        <w:rPr>
          <w:lang w:val="en-GB"/>
        </w:rPr>
        <w:t xml:space="preserve">certificate.</w:t>
      </w:r>
    </w:p>
    <w:p>
      <w:pPr>
        <w:pStyle w:val="Compact"/>
        <w:numPr>
          <w:ilvl w:val="0"/>
          <w:numId w:val="1002"/>
        </w:numPr>
      </w:pPr>
      <w:r>
        <w:rPr>
          <w:b/>
          <w:bCs/>
          <w:lang w:val="en-GB"/>
        </w:rPr>
        <w:t xml:space="preserve">Rights of limitation, opposition and relating to automated decision: </w:t>
      </w:r>
      <w:r>
        <w:rPr>
          <w:lang w:val="en-GB"/>
        </w:rPr>
        <w:t xml:space="preserve"/>
      </w:r>
      <w:r>
        <w:rPr>
          <w:lang w:val="en-GB"/>
        </w:rPr>
        <w:t xml:space="preserve">OHADJA assists you technically within seven (7) working days from a complete written request, in accordance with article 9 of the DPA.</w:t>
      </w:r>
    </w:p>
    <w:p>
      <w:pPr>
        <w:pStyle w:val="FirstParagraph"/>
      </w:pPr>
      <w:r>
        <w:rPr>
          <w:lang w:val="en-GB"/>
        </w:rPr>
        <w:t xml:space="preserve">If OHADJA directly receives a request from a data subject relating to your data, it forwards it to you without undue delay and does not respond on the substance, unless otherwise instructed by you in documented instructions or unless OHADJA is legally required to respond.</w:t>
      </w:r>
    </w:p>
    <w:bookmarkEnd w:id="17"/>
    <w:bookmarkStart w:id="18" w:name="Xafbd96c4622a4e63c8dcca79de62f511187ddba"/>
    <w:p>
      <w:pPr>
        <w:pStyle w:val="Heading2"/>
        <w:keepNext/>
        <w:keepLines/>
      </w:pPr>
      <w:r>
        <w:rPr>
          <w:color w:val="000000"/>
          <w:lang w:val="en-GB"/>
        </w:rPr>
        <w:t xml:space="preserve">8. Security measures (article 32 of GDPR) — summary</w:t>
      </w:r>
    </w:p>
    <w:p>
      <w:pPr>
        <w:pStyle w:val="FirstParagraph"/>
      </w:pPr>
      <w:r>
        <w:rPr>
          <w:lang w:val="en-GB"/>
        </w:rPr>
        <w:t xml:space="preserve">OHADJA implements appropriate technical and organizational measures, detailed in Annex 3 of the DPA and document TRB-CONF-01.06. In summary:</w:t>
      </w:r>
    </w:p>
    <w:p>
      <w:pPr>
        <w:pStyle w:val="Compact"/>
        <w:numPr>
          <w:ilvl w:val="0"/>
          <w:numId w:val="1003"/>
        </w:numPr>
      </w:pPr>
      <w:r>
        <w:rPr>
          <w:b/>
          <w:bCs/>
          <w:lang w:val="en-GB"/>
        </w:rPr>
        <w:t xml:space="preserve">Confidentiality and </w:t>
      </w:r>
      <w:r>
        <w:rPr>
          <w:lang w:val="en-GB"/>
        </w:rPr>
        <w:t xml:space="preserve">encryption: </w:t>
      </w:r>
      <w:r>
        <w:rPr>
          <w:lang w:val="en-GB"/>
        </w:rPr>
        <w:t xml:space="preserve">TLS 1.2 or higher required for all access; encryption of backups before outsourcing (age, X25519 + ChaCha20-Poly1305); two-factor authentication secrets protected in AES-256-CBC; Temporary signed URLs (30 minutes) for audio streaming.</w:t>
      </w:r>
    </w:p>
    <w:p>
      <w:pPr>
        <w:pStyle w:val="Compact"/>
        <w:numPr>
          <w:ilvl w:val="0"/>
          <w:numId w:val="1003"/>
        </w:numPr>
      </w:pPr>
      <w:r>
        <w:rPr>
          <w:b/>
          <w:bCs/>
          <w:lang w:val="en-GB"/>
        </w:rPr>
        <w:t xml:space="preserve">Access control: </w:t>
      </w:r>
      <w:r>
        <w:rPr>
          <w:lang w:val="en-GB"/>
        </w:rPr>
        <w:t xml:space="preserve"/>
      </w:r>
      <w:r>
        <w:rPr>
          <w:lang w:val="en-GB"/>
        </w:rPr>
        <w:t xml:space="preserve">authentication by Sanctum tokens hashed in SHA-256; passwords in bcrypt (cost 12); TOTP double authentication (RFC 6238) configurable by role; five-level role-based access control; password confirmation (step-up) on destructive actions.</w:t>
      </w:r>
    </w:p>
    <w:p>
      <w:pPr>
        <w:pStyle w:val="Compact"/>
        <w:numPr>
          <w:ilvl w:val="0"/>
          <w:numId w:val="1003"/>
        </w:numPr>
      </w:pPr>
      <w:r>
        <w:rPr>
          <w:b/>
          <w:bCs/>
          <w:lang w:val="en-GB"/>
        </w:rPr>
        <w:t xml:space="preserve">Isolation: </w:t>
      </w:r>
      <w:r>
        <w:rPr>
          <w:lang w:val="en-GB"/>
        </w:rPr>
        <w:t xml:space="preserve"/>
      </w:r>
      <w:r>
        <w:rPr>
          <w:lang w:val="en-GB"/>
        </w:rPr>
        <w:t xml:space="preserve">multi-tenant architecture with a dedicated PostgreSQL schema per organization.</w:t>
      </w:r>
    </w:p>
    <w:p>
      <w:pPr>
        <w:pStyle w:val="Compact"/>
        <w:numPr>
          <w:ilvl w:val="0"/>
          <w:numId w:val="1003"/>
        </w:numPr>
      </w:pPr>
      <w:r>
        <w:rPr>
          <w:b/>
          <w:bCs/>
          <w:lang w:val="en-GB"/>
        </w:rPr>
        <w:t xml:space="preserve">Integrity: </w:t>
      </w:r>
      <w:r>
        <w:rPr>
          <w:lang w:val="en-GB"/>
        </w:rPr>
        <w:t xml:space="preserve"/>
      </w:r>
      <w:r>
        <w:rPr>
          <w:lang w:val="en-GB"/>
        </w:rPr>
        <w:t xml:space="preserve">systematic ClamAV antivirus analysis on each upload; audit logs by organization and at platform level, exportable in CSV/JSON; content security policy (CSP) and strict CORS.</w:t>
      </w:r>
    </w:p>
    <w:p>
      <w:pPr>
        <w:pStyle w:val="Compact"/>
        <w:numPr>
          <w:ilvl w:val="0"/>
          <w:numId w:val="1003"/>
        </w:numPr>
      </w:pPr>
      <w:r>
        <w:rPr>
          <w:b/>
          <w:bCs/>
          <w:lang w:val="en-GB"/>
        </w:rPr>
        <w:t xml:space="preserve">Availability and resilience: </w:t>
      </w:r>
      <w:r>
        <w:rPr>
          <w:lang w:val="en-GB"/>
        </w:rPr>
        <w:t xml:space="preserve"/>
      </w:r>
      <w:r>
        <w:rPr>
          <w:lang w:val="en-GB"/>
        </w:rPr>
        <w:t xml:space="preserve">encrypted daily backups, 24/7 supervision, automatic resumption of blocked processing.</w:t>
      </w:r>
    </w:p>
    <w:bookmarkEnd w:id="18"/>
    <w:bookmarkStart w:id="19" w:name="X6544f44c0f7dbf53f7cb952b155c92fb5415a60"/>
    <w:p>
      <w:pPr>
        <w:pStyle w:val="Heading2"/>
        <w:keepNext/>
        <w:keepLines/>
      </w:pPr>
      <w:r>
        <w:rPr>
          <w:color w:val="000000"/>
          <w:lang w:val="en-GB"/>
        </w:rPr>
        <w:t xml:space="preserve">9. Subprocessors</w:t>
      </w:r>
    </w:p>
    <w:p>
      <w:pPr>
        <w:pStyle w:val="FirstParagraph"/>
      </w:pPr>
      <w:r>
        <w:rPr>
          <w:lang w:val="en-GB"/>
        </w:rPr>
        <w:t xml:space="preserve">In </w:t>
      </w:r>
      <w:r>
        <w:rPr>
          <w:lang w:val="en-GB"/>
        </w:rPr>
        <w:t xml:space="preserve"/>
      </w:r>
      <w:r>
        <w:rPr>
          <w:b/>
          <w:bCs/>
          <w:lang w:val="en-GB"/>
        </w:rPr>
        <w:t xml:space="preserve">Option A </w:t>
      </w:r>
      <w:r>
        <w:rPr>
          <w:lang w:val="en-GB"/>
        </w:rPr>
        <w:t xml:space="preserve">(SaaS), OHADJA uses authorized subprocessors whose list, purposes, location and contractual basis appear in Appendix 2 of the </w:t>
      </w:r>
      <w:r>
        <w:rPr>
          <w:b/>
          <w:bCs/>
          <w:lang w:val="en-GB"/>
        </w:rPr>
        <w:t xml:space="preserve">DPA (document </w:t>
      </w:r>
      <w:r>
        <w:rPr>
          <w:lang w:val="en-GB"/>
        </w:rPr>
        <w:t xml:space="preserve"/>
      </w:r>
      <w:r>
        <w:rPr>
          <w:lang w:val="en-GB"/>
        </w:rPr>
        <w:t xml:space="preserve">TRB-CONF-01.02). They include in particular the host (Hostinger, data center in France) and the storage of encrypted backups (Scaleway, France). The artificial intelligence functions run by default on an inference infrastructure controlled by OHADJA in Europe (primary channel, vLLM open-weights); The OpenRouter gateway and its model providers are only used as a failover and can be deactivated by organization. Transcription GPU resources round out this list.</w:t>
      </w:r>
    </w:p>
    <w:p>
      <w:pPr>
        <w:pStyle w:val="BodyText"/>
      </w:pPr>
      <w:r>
        <w:rPr>
          <w:lang w:val="en-GB"/>
        </w:rPr>
        <w:t xml:space="preserve">In </w:t>
      </w:r>
      <w:r>
        <w:rPr>
          <w:lang w:val="en-GB"/>
        </w:rPr>
        <w:t xml:space="preserve"/>
      </w:r>
      <w:r>
        <w:rPr>
          <w:b/>
          <w:bCs/>
          <w:lang w:val="en-GB"/>
        </w:rPr>
        <w:t xml:space="preserve">isolated on-premise </w:t>
      </w:r>
      <w:r>
        <w:rPr>
          <w:lang w:val="en-GB"/>
        </w:rPr>
        <w:t xml:space="preserve">Option B, no subprocessor or OHADJA is involved in the processing of your data: all components run in your infrastructure.</w:t>
      </w:r>
    </w:p>
    <w:p>
      <w:pPr>
        <w:pStyle w:val="BodyText"/>
      </w:pPr>
      <w:r>
        <w:rPr>
          <w:lang w:val="en-GB"/>
        </w:rPr>
        <w:t xml:space="preserve">Any addition or replacement of subprocessor will be notified to you at least </w:t>
      </w:r>
      <w:r>
        <w:rPr>
          <w:lang w:val="en-GB"/>
        </w:rPr>
        <w:t xml:space="preserve"/>
      </w:r>
      <w:r>
        <w:rPr>
          <w:b/>
          <w:bCs/>
          <w:lang w:val="en-GB"/>
        </w:rPr>
        <w:t xml:space="preserve">thirty (30) calendar </w:t>
      </w:r>
      <w:r>
        <w:rPr>
          <w:lang w:val="en-GB"/>
        </w:rPr>
        <w:t xml:space="preserve"/>
      </w:r>
      <w:r>
        <w:rPr>
          <w:lang w:val="en-GB"/>
        </w:rPr>
        <w:t xml:space="preserve">days in advance, with the right to reasoned objection (article 6 of the DPA).</w:t>
      </w:r>
    </w:p>
    <w:bookmarkEnd w:id="19"/>
    <w:bookmarkStart w:id="20" w:name="Xe28e49365d38b643d833898626eccc572f6e84e"/>
    <w:p>
      <w:pPr>
        <w:pStyle w:val="Heading2"/>
        <w:keepNext/>
        <w:keepLines/>
      </w:pPr>
      <w:r>
        <w:rPr>
          <w:color w:val="000000"/>
          <w:lang w:val="en-GB"/>
        </w:rPr>
        <w:t xml:space="preserve">10. Data localization and transfers outside the EEA</w:t>
      </w:r>
    </w:p>
    <w:p>
      <w:pPr>
        <w:pStyle w:val="FirstParagraph"/>
      </w:pPr>
      <w:r>
        <w:rPr>
          <w:lang w:val="en-GB"/>
        </w:rPr>
        <w:t xml:space="preserve">In Option A, production data is hosted in France (Strasbourg datacenter) and backups are encrypted and then stored in the European Union. Detailed location by data category appears in document TRB-CONF-01.04.</w:t>
      </w:r>
    </w:p>
    <w:p>
      <w:pPr>
        <w:pStyle w:val="BodyText"/>
      </w:pPr>
      <w:r>
        <w:rPr>
          <w:b/>
          <w:bCs/>
          <w:lang w:val="en-GB"/>
        </w:rPr>
        <w:t xml:space="preserve">Fair disclosure regarding transfers outside the EEA (Option </w:t>
      </w:r>
      <w:r>
        <w:rPr>
          <w:lang w:val="en-GB"/>
        </w:rPr>
        <w:t xml:space="preserve"/>
      </w:r>
      <w:r>
        <w:rPr>
          <w:lang w:val="en-GB"/>
        </w:rPr>
        <w:t xml:space="preserve">A). By default, the artificial intelligence functions run on an inference infrastructure controlled by OHADJA, hosted in Europe (vLLM open-weights): this primary route does not involve any transfer outside the EEA. A transfer outside the European Economic Area is only possible on a residual basis, when the OpenRouter backup is requested (unavailability of the primary route) and has not been deactivated, the latter being able to use model providers established in the United States (for example Anthropic or OpenAI). Likewise, occasional use of GPU transcription resources via a marketplace may, depending on the configuration, involve processing outside the EEA. These residual transfers are governed by the mechanisms of Chapter V of GDPR (standard contractual clauses, where applicable Data Privacy Framework) and by additional measures (TLS, minimization, absence of training on your data, absence of durable storage).</w:t>
      </w:r>
    </w:p>
    <w:p>
      <w:pPr>
        <w:pStyle w:val="BodyText"/>
      </w:pPr>
      <w:r>
        <w:rPr>
          <w:lang w:val="en-GB"/>
        </w:rPr>
        <w:t xml:space="preserve">For organizations requiring the absence of any transfer outside the EEA, </w:t>
      </w:r>
      <w:r>
        <w:rPr>
          <w:lang w:val="en-GB"/>
        </w:rPr>
        <w:t xml:space="preserve"/>
      </w:r>
      <w:r>
        <w:rPr>
          <w:b/>
          <w:bCs/>
          <w:lang w:val="en-GB"/>
        </w:rPr>
        <w:t xml:space="preserve">a “strict EU” profile </w:t>
      </w:r>
      <w:r>
        <w:rPr>
          <w:lang w:val="en-GB"/>
        </w:rPr>
        <w:t xml:space="preserve"/>
      </w:r>
      <w:r>
        <w:rPr>
          <w:lang w:val="en-GB"/>
        </w:rPr>
        <w:t xml:space="preserve">is configurable per organization since version 1.7.0 (primary UE vLLM channel or self-hosted model, OpenRouter fallback disabled, GPU resources in UE). Isolated </w:t>
      </w:r>
      <w:r>
        <w:rPr>
          <w:b/>
          <w:bCs/>
          <w:lang w:val="en-GB"/>
        </w:rPr>
        <w:t xml:space="preserve">on-premise Option B excludes </w:t>
      </w:r>
      <w:r>
        <w:rPr>
          <w:lang w:val="en-GB"/>
        </w:rPr>
        <w:t xml:space="preserve"/>
      </w:r>
      <w:r>
        <w:rPr>
          <w:lang w:val="en-GB"/>
        </w:rPr>
        <w:t xml:space="preserve">by construction any outgoing flow and any transfer outside the EEA.</w:t>
      </w:r>
    </w:p>
    <w:p>
      <w:pPr>
        <w:pStyle w:val="BodyText"/>
      </w:pPr>
      <w:r>
        <w:rPr>
          <w:b/>
          <w:bCs/>
          <w:lang w:val="en-GB"/>
        </w:rPr>
        <w:t xml:space="preserve">Administration and support from France / EU. </w:t>
      </w:r>
      <w:r>
        <w:rPr>
          <w:lang w:val="en-GB"/>
        </w:rPr>
        <w:t xml:space="preserve"/>
      </w:r>
      <w:r>
        <w:rPr>
          <w:lang w:val="en-GB"/>
        </w:rPr>
        <w:t xml:space="preserve">OHADJA contractually undertakes to carry out the administration and support of the </w:t>
      </w:r>
      <w:r>
        <w:rPr>
          <w:lang w:val="en-GB"/>
        </w:rPr>
        <w:t xml:space="preserve">solution </w:t>
      </w:r>
      <w:r>
        <w:rPr>
          <w:b/>
          <w:bCs/>
          <w:lang w:val="en-GB"/>
        </w:rPr>
        <w:t xml:space="preserve">exclusively from France or the European Union. </w:t>
      </w:r>
      <w:r>
        <w:rPr>
          <w:lang w:val="en-GB"/>
        </w:rPr>
        <w:t xml:space="preserve">No administrative access to production data is made from a third country. These accesses are nominative, carried out by encrypted connection (SSH by key, double authentication, TLS), logged, without local copy of the production data and from an encrypted workstation. See document TRB-CONF-01.04 for details.</w:t>
      </w:r>
    </w:p>
    <w:bookmarkEnd w:id="20"/>
    <w:bookmarkStart w:id="21" w:name="X1b934251d3bed64bb585d5086874bcd6a2a0f9f"/>
    <w:p>
      <w:pPr>
        <w:pStyle w:val="Heading2"/>
        <w:keepNext/>
        <w:keepLines/>
      </w:pPr>
      <w:r>
        <w:rPr>
          <w:color w:val="000000"/>
          <w:lang w:val="en-GB"/>
        </w:rPr>
        <w:t xml:space="preserve">11. Data Breaches</w:t>
      </w:r>
    </w:p>
    <w:p>
      <w:pPr>
        <w:pStyle w:val="FirstParagraph"/>
      </w:pPr>
      <w:r>
        <w:rPr>
          <w:lang w:val="en-GB"/>
        </w:rPr>
        <w:t xml:space="preserve">In the event of a personal data breach affecting your data, OHADJA informs you without undue delay </w:t>
      </w:r>
      <w:r>
        <w:rPr>
          <w:lang w:val="en-GB"/>
        </w:rPr>
        <w:t xml:space="preserve"/>
      </w:r>
      <w:r>
        <w:rPr>
          <w:b/>
          <w:bCs/>
          <w:lang w:val="en-GB"/>
        </w:rPr>
        <w:t xml:space="preserve">after becoming aware of it, including outside working </w:t>
      </w:r>
      <w:r>
        <w:rPr>
          <w:lang w:val="en-GB"/>
        </w:rPr>
        <w:t xml:space="preserve"/>
      </w:r>
      <w:r>
        <w:rPr>
          <w:lang w:val="en-GB"/>
        </w:rPr>
        <w:t xml:space="preserve">days (DPA Article 8). The alert contains available information on the nature, affected data and people, consequences and measures; it is supplemented without undue delay, without waiting for the investigation to conclude.</w:t>
      </w:r>
    </w:p>
    <w:p>
      <w:pPr>
        <w:pStyle w:val="BodyText"/>
      </w:pPr>
      <w:r>
        <w:rPr>
          <w:lang w:val="en-GB"/>
        </w:rPr>
        <w:t xml:space="preserve">The Customer, as controller, assesses whether notification to the competent supervisory authority is required under GDPR Article 33; where required, it notifies without undue delay and, </w:t>
      </w:r>
      <w:r>
        <w:rPr>
          <w:lang w:val="en-GB"/>
        </w:rPr>
        <w:t xml:space="preserve"/>
      </w:r>
      <w:r>
        <w:rPr>
          <w:b/>
          <w:bCs/>
          <w:lang w:val="en-GB"/>
        </w:rPr>
        <w:t xml:space="preserve">where feasible, within 72 hours of </w:t>
      </w:r>
      <w:r>
        <w:rPr>
          <w:lang w:val="en-GB"/>
        </w:rPr>
        <w:t xml:space="preserve">becoming </w:t>
      </w:r>
      <w:r>
        <w:rPr>
          <w:lang w:val="en-GB"/>
        </w:rPr>
        <w:t xml:space="preserve">aware. The authority is not determined by the document's language; the CNIL is the French authority. It separately assesses communication to individuals where the risk is high, subject to Article 34 conditions.</w:t>
      </w:r>
    </w:p>
    <w:p>
      <w:pPr>
        <w:pStyle w:val="BodyText"/>
      </w:pPr>
      <w:r>
        <w:rPr>
          <w:lang w:val="en-GB"/>
        </w:rPr>
        <w:t xml:space="preserve">Contact for reporting and monitoring an incident: </w:t>
      </w:r>
      <w:r>
        <w:rPr>
          <w:lang w:val="en-GB"/>
        </w:rPr>
        <w:t xml:space="preserve"/>
      </w:r>
      <w:hyperlink r:id="rId9">
        <w:r>
          <w:rPr>
            <w:rStyle w:val="Hyperlink"/>
            <w:lang w:val="en-GB"/>
          </w:rPr>
          <w:t xml:space="preserve">privacy@transcribia.eu</w:t>
        </w:r>
      </w:hyperlink>
      <w:r>
        <w:rPr>
          <w:lang w:val="en-GB"/>
        </w:rPr>
        <w:t xml:space="preserve">.</w:t>
      </w:r>
    </w:p>
    <w:bookmarkEnd w:id="21"/>
    <w:bookmarkStart w:id="22" w:name="X748abbc0e9c3c7d10f73fc5df8bd4ed0eace36e"/>
    <w:p>
      <w:pPr>
        <w:pStyle w:val="Heading2"/>
        <w:keepNext/>
        <w:keepLines/>
      </w:pPr>
      <w:r>
        <w:rPr>
          <w:color w:val="000000"/>
          <w:lang w:val="en-GB"/>
        </w:rPr>
        <w:t xml:space="preserve">12. Vocal correlation — specific supervision</w:t>
      </w:r>
    </w:p>
    <w:p>
      <w:pPr>
        <w:pStyle w:val="FirstParagraph"/>
      </w:pPr>
      <w:r>
        <w:rPr>
          <w:lang w:val="en-GB"/>
        </w:rPr>
        <w:t xml:space="preserve">The voice correlation feature, delivered on 18 May 2026, enables ephemeral voice comparison within the same organisation to suggest speaker matches. It is disabled by </w:t>
      </w:r>
      <w:r>
        <w:rPr>
          <w:lang w:val="en-GB"/>
        </w:rPr>
        <w:t xml:space="preserve"/>
      </w:r>
      <w:r>
        <w:rPr>
          <w:b/>
          <w:bCs/>
          <w:lang w:val="en-GB"/>
        </w:rPr>
        <w:t xml:space="preserve">default and strictly </w:t>
      </w:r>
      <w:r>
        <w:rPr>
          <w:lang w:val="en-GB"/>
        </w:rPr>
        <w:t xml:space="preserve"/>
      </w:r>
      <w:r>
        <w:rPr>
          <w:lang w:val="en-GB"/>
        </w:rPr>
        <w:t xml:space="preserve">opt-in. Activation requires prior signature of a dedicated DPA addendum and completion of a data protection impact assessment (DPIA, Article 35). Voice representations are computed temporarily in RAM, do not create a persistent biometric template, are never used to train models and are destroyed at the end of the request. Suggestions require mandatory human validation.</w:t>
      </w:r>
    </w:p>
    <w:p>
      <w:pPr>
        <w:pStyle w:val="BodyText"/>
      </w:pPr>
      <w:r>
        <w:rPr>
          <w:lang w:val="en-GB"/>
        </w:rPr>
        <w:t xml:space="preserve">OHADJA undertakes never to introduce persistent automatic biometric processing without an explicit DPA update subject to your prior acceptance, with at least sixty (60) days’ notice.</w:t>
      </w:r>
    </w:p>
    <w:bookmarkEnd w:id="22"/>
    <w:bookmarkStart w:id="23" w:name="X20465f27dd06acc5a702225313327e4138f83ef"/>
    <w:p>
      <w:pPr>
        <w:pStyle w:val="Heading2"/>
        <w:keepNext/>
        <w:keepLines/>
      </w:pPr>
      <w:r>
        <w:rPr>
          <w:color w:val="000000"/>
          <w:lang w:val="en-GB"/>
        </w:rPr>
        <w:t xml:space="preserve">13. Shelf life</w:t>
      </w:r>
    </w:p>
    <w:p>
      <w:pPr>
        <w:pStyle w:val="FirstParagraph"/>
      </w:pPr>
      <w:r>
        <w:rPr>
          <w:lang w:val="en-GB"/>
        </w:rPr>
        <w:t xml:space="preserve">Retention periods can be </w:t>
      </w:r>
      <w:r>
        <w:rPr>
          <w:lang w:val="en-GB"/>
        </w:rPr>
        <w:t xml:space="preserve"/>
      </w:r>
      <w:r>
        <w:rPr>
          <w:b/>
          <w:bCs/>
          <w:lang w:val="en-GB"/>
        </w:rPr>
        <w:t xml:space="preserve">configured by organization. </w:t>
      </w:r>
      <w:r>
        <w:rPr>
          <w:lang w:val="en-GB"/>
        </w:rPr>
        <w:t xml:space="preserve">If no settings are made, the default values are as follows: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Category</w:t>
            </w:r>
          </w:p>
        </w:tc>
        <w:tc>
          <w:tcPr/>
          <w:p>
            <w:pPr>
              <w:pStyle w:val="Compact"/>
            </w:pPr>
            <w:r>
              <w:rPr>
                <w:lang w:val="en-GB"/>
              </w:rPr>
              <w:t xml:space="preserve">Default duration</w:t>
            </w:r>
          </w:p>
        </w:tc>
      </w:tr>
      <w:tr>
        <w:trPr>
          <w:cantSplit/>
        </w:trPr>
        <w:tc>
          <w:tcPr/>
          <w:p>
            <w:pPr>
              <w:pStyle w:val="Compact"/>
            </w:pPr>
            <w:r>
              <w:rPr>
                <w:lang w:val="en-GB"/>
              </w:rPr>
              <w:t xml:space="preserve">Audio files, transcriptions, documents, AI generations</w:t>
            </w:r>
          </w:p>
        </w:tc>
        <w:tc>
          <w:tcPr/>
          <w:p>
            <w:pPr>
              <w:pStyle w:val="Compact"/>
            </w:pPr>
            <w:r>
              <w:rPr>
                <w:lang w:val="en-GB"/>
              </w:rPr>
              <w:t xml:space="preserve">Duration of the contract, except duration configured by you</w:t>
            </w:r>
          </w:p>
        </w:tc>
      </w:tr>
      <w:tr>
        <w:trPr>
          <w:cantSplit/>
        </w:trPr>
        <w:tc>
          <w:tcPr/>
          <w:p>
            <w:pPr>
              <w:pStyle w:val="Compact"/>
            </w:pPr>
            <w:r>
              <w:rPr>
                <w:lang w:val="en-GB"/>
              </w:rPr>
              <w:t xml:space="preserve">Application audit logs</w:t>
            </w:r>
          </w:p>
        </w:tc>
        <w:tc>
          <w:tcPr/>
          <w:p>
            <w:pPr>
              <w:pStyle w:val="Compact"/>
            </w:pPr>
            <w:r>
              <w:rPr>
                <w:lang w:val="en-GB"/>
              </w:rPr>
              <w:t xml:space="preserve">Twelve (12) months maximum, unless otherwise instructed or required</w:t>
            </w:r>
          </w:p>
        </w:tc>
      </w:tr>
      <w:tr>
        <w:trPr>
          <w:cantSplit/>
        </w:trPr>
        <w:tc>
          <w:tcPr/>
          <w:p>
            <w:pPr>
              <w:pStyle w:val="Compact"/>
            </w:pPr>
            <w:r>
              <w:rPr>
                <w:lang w:val="en-GB"/>
              </w:rPr>
              <w:t xml:space="preserve">Technical journals</w:t>
            </w:r>
          </w:p>
        </w:tc>
        <w:tc>
          <w:tcPr/>
          <w:p>
            <w:pPr>
              <w:pStyle w:val="Compact"/>
            </w:pPr>
            <w:r>
              <w:rPr>
                <w:lang w:val="en-GB"/>
              </w:rPr>
              <w:t xml:space="preserve">Approximately ninety (90) days</w:t>
            </w:r>
          </w:p>
        </w:tc>
      </w:tr>
      <w:tr>
        <w:trPr>
          <w:cantSplit/>
        </w:trPr>
        <w:tc>
          <w:tcPr/>
          <w:p>
            <w:pPr>
              <w:pStyle w:val="Compact"/>
            </w:pPr>
            <w:r>
              <w:rPr>
                <w:lang w:val="en-GB"/>
              </w:rPr>
              <w:t xml:space="preserve">Backups</w:t>
            </w:r>
          </w:p>
        </w:tc>
        <w:tc>
          <w:tcPr/>
          <w:p>
            <w:pPr>
              <w:pStyle w:val="Compact"/>
            </w:pPr>
            <w:r>
              <w:rPr>
                <w:lang w:val="en-GB"/>
              </w:rPr>
              <w:t xml:space="preserve">Ninety (90) days maximum</w:t>
            </w:r>
          </w:p>
        </w:tc>
      </w:tr>
      <w:tr>
        <w:trPr>
          <w:cantSplit/>
        </w:trPr>
        <w:tc>
          <w:tcPr/>
          <w:p>
            <w:pPr>
              <w:pStyle w:val="Compact"/>
            </w:pPr>
            <w:r>
              <w:rPr>
                <w:lang w:val="en-GB"/>
              </w:rPr>
              <w:t xml:space="preserve">Temporary speech representations (speech correlation)</w:t>
            </w:r>
          </w:p>
        </w:tc>
        <w:tc>
          <w:tcPr/>
          <w:p>
            <w:pPr>
              <w:pStyle w:val="Compact"/>
            </w:pPr>
            <w:r>
              <w:rPr>
                <w:lang w:val="en-GB"/>
              </w:rPr>
              <w:t xml:space="preserve">Duration of the request only, destruction at the end of processing</w:t>
            </w:r>
          </w:p>
        </w:tc>
      </w:tr>
    </w:tbl>
    <w:p>
      <w:pPr>
        <w:pStyle w:val="BodyText"/>
      </w:pPr>
      <w:r>
        <w:rPr>
          <w:lang w:val="en-GB"/>
        </w:rPr>
        <w:t xml:space="preserve">The details appear in Annex 1 of the DPA.</w:t>
      </w:r>
    </w:p>
    <w:bookmarkEnd w:id="23"/>
    <w:bookmarkStart w:id="24" w:name="X07f81c7fe2a8ed9b89166589432e4564882394b"/>
    <w:p>
      <w:pPr>
        <w:pStyle w:val="Heading2"/>
        <w:keepNext/>
        <w:keepLines/>
      </w:pPr>
      <w:r>
        <w:rPr>
          <w:color w:val="000000"/>
          <w:lang w:val="en-GB"/>
        </w:rPr>
        <w:t xml:space="preserve">14. Certifications — actual status</w:t>
      </w:r>
    </w:p>
    <w:p>
      <w:pPr>
        <w:pStyle w:val="FirstParagraph"/>
      </w:pPr>
      <w:r>
        <w:rPr>
          <w:lang w:val="en-GB"/>
        </w:rPr>
        <w:t xml:space="preserve">As of the date of this sheet, OHADJA </w:t>
      </w:r>
      <w:r>
        <w:rPr>
          <w:lang w:val="en-GB"/>
        </w:rPr>
        <w:t xml:space="preserve"/>
      </w:r>
      <w:r>
        <w:rPr>
          <w:b/>
          <w:bCs/>
          <w:lang w:val="en-GB"/>
        </w:rPr>
        <w:t xml:space="preserve">does not hold any security </w:t>
      </w:r>
      <w:r>
        <w:rPr>
          <w:lang w:val="en-GB"/>
        </w:rPr>
        <w:t xml:space="preserve"/>
      </w:r>
      <w:r>
        <w:rPr>
          <w:lang w:val="en-GB"/>
        </w:rPr>
        <w:t xml:space="preserve">certification obtained for TranscribIA. To be honest with your RSSI analyses, the progress is as follows:</w:t>
      </w:r>
    </w:p>
    <w:p>
      <w:pPr>
        <w:pStyle w:val="Compact"/>
        <w:numPr>
          <w:ilvl w:val="0"/>
          <w:numId w:val="1004"/>
        </w:numPr>
      </w:pPr>
      <w:r>
        <w:rPr>
          <w:b/>
          <w:bCs/>
          <w:lang w:val="en-GB"/>
        </w:rPr>
        <w:t xml:space="preserve">ISO/IEC 27001: </w:t>
      </w:r>
      <w:r>
        <w:rPr>
          <w:lang w:val="en-GB"/>
        </w:rPr>
        <w:t xml:space="preserve"/>
      </w:r>
      <w:r>
        <w:rPr>
          <w:lang w:val="en-GB"/>
        </w:rPr>
        <w:t xml:space="preserve">structured approach undertaken; a base of sixteen information security management policies is formalized; certification targeted for early 2027.</w:t>
      </w:r>
    </w:p>
    <w:p>
      <w:pPr>
        <w:pStyle w:val="Compact"/>
        <w:numPr>
          <w:ilvl w:val="0"/>
          <w:numId w:val="1004"/>
        </w:numPr>
      </w:pPr>
      <w:r>
        <w:rPr>
          <w:b/>
          <w:bCs/>
          <w:lang w:val="en-GB"/>
        </w:rPr>
        <w:t xml:space="preserve">SOC 2 Type </w:t>
      </w:r>
      <w:r>
        <w:rPr>
          <w:lang w:val="en-GB"/>
        </w:rPr>
        <w:t xml:space="preserve">I: </w:t>
      </w:r>
      <w:r>
        <w:rPr>
          <w:lang w:val="en-GB"/>
        </w:rPr>
        <w:t xml:space="preserve">audit planned for 2026.</w:t>
      </w:r>
    </w:p>
    <w:p>
      <w:pPr>
        <w:pStyle w:val="Compact"/>
        <w:numPr>
          <w:ilvl w:val="0"/>
          <w:numId w:val="1004"/>
        </w:numPr>
      </w:pPr>
      <w:r>
        <w:rPr>
          <w:b/>
          <w:bCs/>
          <w:lang w:val="en-GB"/>
        </w:rPr>
        <w:t xml:space="preserve">HDS (health data hosting): </w:t>
      </w:r>
      <w:r>
        <w:rPr>
          <w:lang w:val="en-GB"/>
        </w:rPr>
        <w:t xml:space="preserve">under </w:t>
      </w:r>
      <w:r>
        <w:rPr>
          <w:lang w:val="en-GB"/>
        </w:rPr>
        <w:t xml:space="preserve">study, only relevant in the presence of health data.</w:t>
      </w:r>
    </w:p>
    <w:p>
      <w:pPr>
        <w:pStyle w:val="Compact"/>
        <w:numPr>
          <w:ilvl w:val="0"/>
          <w:numId w:val="1004"/>
        </w:numPr>
      </w:pPr>
      <w:r>
        <w:rPr>
          <w:b/>
          <w:bCs/>
          <w:lang w:val="en-GB"/>
        </w:rPr>
        <w:t xml:space="preserve">SecNumCloud: </w:t>
      </w:r>
      <w:r>
        <w:rPr>
          <w:lang w:val="en-GB"/>
        </w:rPr>
        <w:t xml:space="preserve"/>
      </w:r>
      <w:r>
        <w:rPr>
          <w:lang w:val="en-GB"/>
        </w:rPr>
        <w:t xml:space="preserve">on standby, not targeted in the short term.</w:t>
      </w:r>
    </w:p>
    <w:p>
      <w:pPr>
        <w:pStyle w:val="FirstParagraph"/>
      </w:pPr>
      <w:r>
        <w:rPr>
          <w:lang w:val="en-GB"/>
        </w:rPr>
        <w:t xml:space="preserve">These elements are mentioned for information purposes; they do not constitute commitments to results.</w:t>
      </w:r>
    </w:p>
    <w:bookmarkEnd w:id="24"/>
    <w:bookmarkStart w:id="25" w:name="X3cc9d837d5b5bfc67ac24d260d78f0776b9dcea"/>
    <w:p>
      <w:pPr>
        <w:pStyle w:val="Heading2"/>
        <w:keepNext/>
        <w:keepLines/>
      </w:pPr>
      <w:r>
        <w:rPr>
          <w:color w:val="000000"/>
          <w:lang w:val="en-GB"/>
        </w:rPr>
        <w:t xml:space="preserve">15. Governance and contact</w:t>
      </w:r>
    </w:p>
    <w:p>
      <w:pPr>
        <w:pStyle w:val="FirstParagraph"/>
      </w:pPr>
      <w:r>
        <w:rPr>
          <w:lang w:val="en-GB"/>
        </w:rPr>
        <w:t xml:space="preserve">OHADJA has not appointed a DPO as at the date of this document; the need for appointment must be subject to a documented assessment of the Article 37 criteria, which apply to controllers and processors. The data protection contact can be reached at </w:t>
      </w:r>
      <w:r>
        <w:rPr>
          <w:lang w:val="en-GB"/>
        </w:rPr>
        <w:t xml:space="preserve"/>
      </w:r>
      <w:hyperlink r:id="rId9">
        <w:r>
          <w:rPr>
            <w:rStyle w:val="Hyperlink"/>
            <w:lang w:val="en-GB"/>
          </w:rPr>
          <w:t xml:space="preserve">privacy@transcribia.eu</w:t>
        </w:r>
      </w:hyperlink>
      <w:r>
        <w:rPr>
          <w:lang w:val="en-GB"/>
        </w:rPr>
        <w:t xml:space="preserve"> </w:t>
      </w:r>
      <w:r>
        <w:rPr>
          <w:lang w:val="en-GB"/>
        </w:rPr>
        <w:t xml:space="preserve">[TO CONFIRM: identity and role]. A generic service DPIA is available on request; the Customer remains responsible for the DPIA concerning its uses, with the contractual assistance provided.</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25"/>
    <w:bookmarkEnd w:id="26"/>
    <w:bookmarkStart w:id="35" w:name="X5ce8e54643d310862f8b266cf20852c711cc936"/>
    <w:p>
      <w:pPr>
        <w:pStyle w:val="Heading1"/>
        <w:keepNext/>
        <w:keepLines/>
      </w:pPr>
      <w:r>
        <w:rPr>
          <w:color w:val="000000"/>
          <w:lang w:val="en-GB"/>
        </w:rPr>
        <w:t xml:space="preserve">Description of the treatments carried out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TRB-CONF-01.03</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27" w:name="Xb1f60ed89d16cc8c1b22a449bcdccfadc02c111"/>
    <w:p>
      <w:pPr>
        <w:pStyle w:val="Heading2"/>
        <w:keepNext/>
        <w:keepLines/>
      </w:pPr>
      <w:r>
        <w:rPr>
          <w:color w:val="000000"/>
          <w:lang w:val="en-GB"/>
        </w:rPr>
        <w:t xml:space="preserve">1. Purpose of the document</w:t>
      </w:r>
    </w:p>
    <w:p>
      <w:pPr>
        <w:pStyle w:val="FirstParagraph"/>
      </w:pPr>
      <w:r>
        <w:rPr>
          <w:lang w:val="en-GB"/>
        </w:rPr>
        <w:t xml:space="preserve">This document expands on Annex 1 of the Data Processing Agreement (document TRB-CONF-01.02). For assessment by your data protection contact and IT department, it describes the subject matter, nature and purposes of processing carried out using TranscribIA, the categories of data and data subjects, and the details of processing operations, step by step, within the solution’s functional flow.</w:t>
      </w:r>
    </w:p>
    <w:p>
      <w:pPr>
        <w:pStyle w:val="BodyText"/>
      </w:pPr>
      <w:r>
        <w:rPr>
          <w:lang w:val="en-GB"/>
        </w:rPr>
        <w:t xml:space="preserve">It systematically distinguishes the two modes of supply:</w:t>
      </w:r>
    </w:p>
    <w:p>
      <w:pPr>
        <w:pStyle w:val="Compact"/>
        <w:numPr>
          <w:ilvl w:val="0"/>
          <w:numId w:val="1005"/>
        </w:numPr>
      </w:pPr>
      <w:r>
        <w:rPr>
          <w:b/>
          <w:bCs/>
          <w:lang w:val="en-GB"/>
        </w:rPr>
        <w:t xml:space="preserve">Option A — SaaS: </w:t>
      </w:r>
      <w:r>
        <w:rPr>
          <w:lang w:val="en-GB"/>
        </w:rPr>
        <w:t xml:space="preserve"/>
      </w:r>
      <w:r>
        <w:rPr>
          <w:lang w:val="en-GB"/>
        </w:rPr>
        <w:t xml:space="preserve">service hosted and operated by OHADJA on an infrastructure located in France.</w:t>
      </w:r>
    </w:p>
    <w:p>
      <w:pPr>
        <w:pStyle w:val="Compact"/>
        <w:numPr>
          <w:ilvl w:val="0"/>
          <w:numId w:val="1005"/>
        </w:numPr>
      </w:pPr>
      <w:r>
        <w:rPr>
          <w:b/>
          <w:bCs/>
          <w:lang w:val="en-GB"/>
        </w:rPr>
        <w:t xml:space="preserve">Option B — On-premise: </w:t>
      </w:r>
      <w:r>
        <w:rPr>
          <w:lang w:val="en-GB"/>
        </w:rPr>
        <w:t xml:space="preserve"/>
      </w:r>
      <w:r>
        <w:rPr>
          <w:lang w:val="en-GB"/>
        </w:rPr>
        <w:t xml:space="preserve">deployment of the solution in the customer's infrastructure, the “isolated” variant of which does not involve any outgoing flow.</w:t>
      </w:r>
    </w:p>
    <w:p>
      <w:pPr>
        <w:pStyle w:val="FirstParagraph"/>
      </w:pPr>
      <w:r>
        <w:rPr>
          <w:lang w:val="en-GB"/>
        </w:rPr>
        <w:t xml:space="preserve">In the event of any discrepancy between this document and the DPA, the provisions of the DPA shall prevail.</w:t>
      </w:r>
    </w:p>
    <w:bookmarkEnd w:id="27"/>
    <w:bookmarkStart w:id="28" w:name="Xe2205706177dc3f6d76bd1cc1f9ebf058d31c16"/>
    <w:p>
      <w:pPr>
        <w:pStyle w:val="Heading2"/>
        <w:keepNext/>
        <w:keepLines/>
      </w:pPr>
      <w:r>
        <w:rPr>
          <w:color w:val="000000"/>
          <w:lang w:val="en-GB"/>
        </w:rPr>
        <w:t xml:space="preserve">2. Purpose, nature and purposes of the processing</w:t>
      </w:r>
    </w:p>
    <w:p>
      <w:pPr>
        <w:pStyle w:val="FirstParagraph"/>
      </w:pPr>
      <w:r>
        <w:rPr>
          <w:b/>
          <w:bCs/>
          <w:lang w:val="en-GB"/>
        </w:rPr>
        <w:t xml:space="preserve">Object. </w:t>
      </w:r>
      <w:r>
        <w:rPr>
          <w:lang w:val="en-GB"/>
        </w:rPr>
        <w:t xml:space="preserve"/>
      </w:r>
      <w:r>
        <w:rPr>
          <w:lang w:val="en-GB"/>
        </w:rPr>
        <w:t xml:space="preserve">Providing a solution for audio transcription, diarization, transcription structuring, artificial intelligence exploitation, document generation, session and user management, logging and speaker identification suggestion.</w:t>
      </w:r>
    </w:p>
    <w:p>
      <w:pPr>
        <w:pStyle w:val="BodyText"/>
      </w:pPr>
      <w:r>
        <w:rPr>
          <w:b/>
          <w:bCs/>
          <w:lang w:val="en-GB"/>
        </w:rPr>
        <w:t xml:space="preserve">Nature. </w:t>
      </w:r>
      <w:r>
        <w:rPr>
          <w:lang w:val="en-GB"/>
        </w:rPr>
        <w:t xml:space="preserve"/>
      </w:r>
      <w:r>
        <w:rPr>
          <w:lang w:val="en-GB"/>
        </w:rPr>
        <w:t xml:space="preserve">Collection by upload, hosting, storage, organization, viewing, extraction, transcription, diarization, correction, AI-assisted generation, export, logging, backup, deletion and technical assistance.</w:t>
      </w:r>
    </w:p>
    <w:p>
      <w:pPr>
        <w:pStyle w:val="BodyText"/>
      </w:pPr>
      <w:r>
        <w:rPr>
          <w:b/>
          <w:bCs/>
          <w:lang w:val="en-GB"/>
        </w:rPr>
        <w:t xml:space="preserve">Purposes. </w:t>
      </w:r>
      <w:r>
        <w:rPr>
          <w:lang w:val="en-GB"/>
        </w:rPr>
        <w:t xml:space="preserve"/>
      </w:r>
      <w:r>
        <w:rPr>
          <w:lang w:val="en-GB"/>
        </w:rPr>
        <w:t xml:space="preserve">Allow your organization to create work sessions, upload audio files, obtain usable transcriptions, manage speakers, correct or enrich content, produce summaries, minutes, chapters or analyses, manage preparatory documents, ensure traceability and administer access.</w:t>
      </w:r>
    </w:p>
    <w:p>
      <w:pPr>
        <w:pStyle w:val="BodyText"/>
      </w:pPr>
      <w:r>
        <w:rPr>
          <w:lang w:val="en-GB"/>
        </w:rPr>
        <w:t xml:space="preserve">The purposes </w:t>
      </w:r>
      <w:r>
        <w:rPr>
          <w:lang w:val="en-GB"/>
        </w:rPr>
        <w:t xml:space="preserve">are </w:t>
      </w:r>
      <w:r>
        <w:rPr>
          <w:b/>
          <w:bCs/>
          <w:lang w:val="en-GB"/>
        </w:rPr>
        <w:t xml:space="preserve">determined by your organization </w:t>
      </w:r>
      <w:r>
        <w:rPr>
          <w:lang w:val="en-GB"/>
        </w:rPr>
        <w:t xml:space="preserve"/>
      </w:r>
      <w:r>
        <w:rPr>
          <w:lang w:val="en-GB"/>
        </w:rPr>
        <w:t xml:space="preserve">in its capacity as controller. OHADJA does not use any data for its own purposes.</w:t>
      </w:r>
    </w:p>
    <w:bookmarkEnd w:id="28"/>
    <w:bookmarkStart w:id="29" w:name="X56485e4b262afdb194453dd1109068006fcc426"/>
    <w:p>
      <w:pPr>
        <w:pStyle w:val="Heading2"/>
        <w:keepNext/>
        <w:keepLines/>
      </w:pPr>
      <w:r>
        <w:rPr>
          <w:color w:val="000000"/>
          <w:lang w:val="en-GB"/>
        </w:rPr>
        <w:t xml:space="preserve">3. Categories of processed data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Category</w:t>
            </w:r>
          </w:p>
        </w:tc>
        <w:tc>
          <w:tcPr/>
          <w:p>
            <w:pPr>
              <w:pStyle w:val="Compact"/>
            </w:pPr>
            <w:r>
              <w:rPr>
                <w:lang w:val="en-GB"/>
              </w:rPr>
              <w:t xml:space="preserve">Examples</w:t>
            </w:r>
          </w:p>
        </w:tc>
      </w:tr>
      <w:tr>
        <w:trPr>
          <w:cantSplit/>
        </w:trPr>
        <w:tc>
          <w:tcPr/>
          <w:p>
            <w:pPr>
              <w:pStyle w:val="Compact"/>
            </w:pPr>
            <w:r>
              <w:rPr>
                <w:lang w:val="en-GB"/>
              </w:rPr>
              <w:t xml:space="preserve">Possible audio and video recordings</w:t>
            </w:r>
          </w:p>
        </w:tc>
        <w:tc>
          <w:tcPr/>
          <w:p>
            <w:pPr>
              <w:pStyle w:val="Compact"/>
            </w:pPr>
            <w:r>
              <w:rPr>
                <w:lang w:val="en-GB"/>
              </w:rPr>
              <w:t xml:space="preserve">MP3, wav, ogg, m4a, flac, webm, mp4, avi, mkv, mov, wmv files (maximum size 2,500 MB)</w:t>
            </w:r>
          </w:p>
        </w:tc>
      </w:tr>
      <w:tr>
        <w:trPr>
          <w:cantSplit/>
        </w:trPr>
        <w:tc>
          <w:tcPr/>
          <w:p>
            <w:pPr>
              <w:pStyle w:val="Compact"/>
            </w:pPr>
            <w:r>
              <w:rPr>
                <w:lang w:val="en-GB"/>
              </w:rPr>
              <w:t xml:space="preserve">Transcriptions</w:t>
            </w:r>
          </w:p>
        </w:tc>
        <w:tc>
          <w:tcPr/>
          <w:p>
            <w:pPr>
              <w:pStyle w:val="Compact"/>
            </w:pPr>
            <w:r>
              <w:rPr>
                <w:lang w:val="en-GB"/>
              </w:rPr>
              <w:t xml:space="preserve">Transcription JSON, segments, timestamps, verbatim, versions, corrections, chapters, diarization</w:t>
            </w:r>
          </w:p>
        </w:tc>
      </w:tr>
      <w:tr>
        <w:trPr>
          <w:cantSplit/>
        </w:trPr>
        <w:tc>
          <w:tcPr/>
          <w:p>
            <w:pPr>
              <w:pStyle w:val="Compact"/>
            </w:pPr>
            <w:r>
              <w:rPr>
                <w:lang w:val="en-GB"/>
              </w:rPr>
              <w:t xml:space="preserve">Speaker data</w:t>
            </w:r>
          </w:p>
        </w:tc>
        <w:tc>
          <w:tcPr/>
          <w:p>
            <w:pPr>
              <w:pStyle w:val="Compact"/>
            </w:pPr>
            <w:r>
              <w:rPr>
                <w:lang w:val="en-GB"/>
              </w:rPr>
              <w:t xml:space="preserve">Names entered by users, speaker labels, proposed and validated matches</w:t>
            </w:r>
          </w:p>
        </w:tc>
      </w:tr>
      <w:tr>
        <w:trPr>
          <w:cantSplit/>
        </w:trPr>
        <w:tc>
          <w:tcPr/>
          <w:p>
            <w:pPr>
              <w:pStyle w:val="Compact"/>
            </w:pPr>
            <w:r>
              <w:rPr>
                <w:lang w:val="en-GB"/>
              </w:rPr>
              <w:t xml:space="preserve">Preparatory documents</w:t>
            </w:r>
          </w:p>
        </w:tc>
        <w:tc>
          <w:tcPr/>
          <w:p>
            <w:pPr>
              <w:pStyle w:val="Compact"/>
            </w:pPr>
            <w:r>
              <w:rPr>
                <w:lang w:val="en-GB"/>
              </w:rPr>
              <w:t xml:space="preserve">Agendas, past minutes, notes, PDF/DOCX, text or Markdown extract</w:t>
            </w:r>
          </w:p>
        </w:tc>
      </w:tr>
      <w:tr>
        <w:trPr>
          <w:cantSplit/>
        </w:trPr>
        <w:tc>
          <w:tcPr/>
          <w:p>
            <w:pPr>
              <w:pStyle w:val="Compact"/>
            </w:pPr>
            <w:r>
              <w:rPr>
                <w:lang w:val="en-GB"/>
              </w:rPr>
              <w:t xml:space="preserve">Session metadata</w:t>
            </w:r>
          </w:p>
        </w:tc>
        <w:tc>
          <w:tcPr/>
          <w:p>
            <w:pPr>
              <w:pStyle w:val="Compact"/>
            </w:pPr>
            <w:r>
              <w:rPr>
                <w:lang w:val="en-GB"/>
              </w:rPr>
              <w:t xml:space="preserve">Title, date, location, session type, status, calendar, team, organization, linked files, settings</w:t>
            </w:r>
          </w:p>
        </w:tc>
      </w:tr>
      <w:tr>
        <w:trPr>
          <w:cantSplit/>
        </w:trPr>
        <w:tc>
          <w:tcPr/>
          <w:p>
            <w:pPr>
              <w:pStyle w:val="Compact"/>
            </w:pPr>
            <w:r>
              <w:rPr>
                <w:lang w:val="en-GB"/>
              </w:rPr>
              <w:t xml:space="preserve">User accounts</w:t>
            </w:r>
          </w:p>
        </w:tc>
        <w:tc>
          <w:tcPr/>
          <w:p>
            <w:pPr>
              <w:pStyle w:val="Compact"/>
            </w:pPr>
            <w:r>
              <w:rPr>
                <w:lang w:val="en-GB"/>
              </w:rPr>
              <w:t xml:space="preserve">Last name, first name if applicable, email address, role, organization, team, access tokens, connection dates</w:t>
            </w:r>
          </w:p>
        </w:tc>
      </w:tr>
      <w:tr>
        <w:trPr>
          <w:cantSplit/>
        </w:trPr>
        <w:tc>
          <w:tcPr/>
          <w:p>
            <w:pPr>
              <w:pStyle w:val="Compact"/>
            </w:pPr>
            <w:r>
              <w:rPr>
                <w:lang w:val="en-GB"/>
              </w:rPr>
              <w:t xml:space="preserve">Audit logs and technical traces</w:t>
            </w:r>
          </w:p>
        </w:tc>
        <w:tc>
          <w:tcPr/>
          <w:p>
            <w:pPr>
              <w:pStyle w:val="Compact"/>
            </w:pPr>
            <w:r>
              <w:rPr>
                <w:lang w:val="en-GB"/>
              </w:rPr>
              <w:t xml:space="preserve">User identifiers, actions, dates, IP addresses when collected, application events, errors, correlation identifiers</w:t>
            </w:r>
          </w:p>
        </w:tc>
      </w:tr>
      <w:tr>
        <w:trPr>
          <w:cantSplit/>
        </w:trPr>
        <w:tc>
          <w:tcPr/>
          <w:p>
            <w:pPr>
              <w:pStyle w:val="Compact"/>
            </w:pPr>
            <w:r>
              <w:rPr>
                <w:lang w:val="en-GB"/>
              </w:rPr>
              <w:t xml:space="preserve">AI Generations</w:t>
            </w:r>
          </w:p>
        </w:tc>
        <w:tc>
          <w:tcPr/>
          <w:p>
            <w:pPr>
              <w:pStyle w:val="Compact"/>
            </w:pPr>
            <w:r>
              <w:rPr>
                <w:lang w:val="en-GB"/>
              </w:rPr>
              <w:t xml:space="preserve">Prompts, selected sources, generated responses, summaries, analyses, corrections, minutes, exports</w:t>
            </w:r>
          </w:p>
        </w:tc>
      </w:tr>
      <w:tr>
        <w:trPr>
          <w:cantSplit/>
        </w:trPr>
        <w:tc>
          <w:tcPr/>
          <w:p>
            <w:pPr>
              <w:pStyle w:val="Compact"/>
            </w:pPr>
            <w:r>
              <w:rPr>
                <w:lang w:val="en-GB"/>
              </w:rPr>
              <w:t xml:space="preserve">Voting or attendance data, if enabled</w:t>
            </w:r>
          </w:p>
        </w:tc>
        <w:tc>
          <w:tcPr/>
          <w:p>
            <w:pPr>
              <w:pStyle w:val="Compact"/>
            </w:pPr>
            <w:r>
              <w:rPr>
                <w:lang w:val="en-GB"/>
              </w:rPr>
              <w:t xml:space="preserve">Presences, absences, proxies, voting results, quality or function of participants</w:t>
            </w:r>
          </w:p>
        </w:tc>
      </w:tr>
      <w:tr>
        <w:trPr>
          <w:cantSplit/>
        </w:trPr>
        <w:tc>
          <w:tcPr/>
          <w:p>
            <w:pPr>
              <w:pStyle w:val="Compact"/>
            </w:pPr>
            <w:r>
              <w:rPr>
                <w:lang w:val="en-GB"/>
              </w:rPr>
              <w:t xml:space="preserve">Temporary voice representations</w:t>
            </w:r>
          </w:p>
        </w:tc>
        <w:tc>
          <w:tcPr/>
          <w:p>
            <w:pPr>
              <w:pStyle w:val="Compact"/>
            </w:pPr>
            <w:r>
              <w:rPr>
                <w:lang w:val="en-GB"/>
              </w:rPr>
              <w:t xml:space="preserve">Digital vectors calculated in RAM for voice correlation, destroyed at the end of the request</w:t>
            </w:r>
          </w:p>
        </w:tc>
      </w:tr>
    </w:tbl>
    <w:bookmarkEnd w:id="29"/>
    <w:bookmarkStart w:id="30" w:name="Xb026068f2151d4ac72560dc3548f72be26eed7b"/>
    <w:p>
      <w:pPr>
        <w:pStyle w:val="Heading2"/>
        <w:keepNext/>
        <w:keepLines/>
      </w:pPr>
      <w:r>
        <w:rPr>
          <w:color w:val="000000"/>
          <w:lang w:val="en-GB"/>
        </w:rPr>
        <w:t xml:space="preserve">4. Categories of persons concerned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Category</w:t>
            </w:r>
          </w:p>
        </w:tc>
        <w:tc>
          <w:tcPr/>
          <w:p>
            <w:pPr>
              <w:pStyle w:val="Compact"/>
            </w:pPr>
            <w:r>
              <w:rPr>
                <w:lang w:val="en-GB"/>
              </w:rPr>
              <w:t xml:space="preserve">Description</w:t>
            </w:r>
          </w:p>
        </w:tc>
      </w:tr>
      <w:tr>
        <w:trPr>
          <w:cantSplit/>
        </w:trPr>
        <w:tc>
          <w:tcPr/>
          <w:p>
            <w:pPr>
              <w:pStyle w:val="Compact"/>
            </w:pPr>
            <w:r>
              <w:rPr>
                <w:lang w:val="en-GB"/>
              </w:rPr>
              <w:t xml:space="preserve">Client Users</w:t>
            </w:r>
          </w:p>
        </w:tc>
        <w:tc>
          <w:tcPr/>
          <w:p>
            <w:pPr>
              <w:pStyle w:val="Compact"/>
            </w:pPr>
            <w:r>
              <w:rPr>
                <w:lang w:val="en-GB"/>
              </w:rPr>
              <w:t xml:space="preserve">Agents, employees, elected officials, practitioners, lawyers, notaries, teachers, journalists, administrators, team members</w:t>
            </w:r>
          </w:p>
        </w:tc>
      </w:tr>
      <w:tr>
        <w:trPr>
          <w:cantSplit/>
        </w:trPr>
        <w:tc>
          <w:tcPr/>
          <w:p>
            <w:pPr>
              <w:pStyle w:val="Compact"/>
            </w:pPr>
            <w:r>
              <w:rPr>
                <w:lang w:val="en-GB"/>
              </w:rPr>
              <w:t xml:space="preserve">Registered speakers</w:t>
            </w:r>
          </w:p>
        </w:tc>
        <w:tc>
          <w:tcPr/>
          <w:p>
            <w:pPr>
              <w:pStyle w:val="Compact"/>
            </w:pPr>
            <w:r>
              <w:rPr>
                <w:lang w:val="en-GB"/>
              </w:rPr>
              <w:t xml:space="preserve">Participants whose voice is captured in uploaded files</w:t>
            </w:r>
          </w:p>
        </w:tc>
      </w:tr>
      <w:tr>
        <w:trPr>
          <w:cantSplit/>
        </w:trPr>
        <w:tc>
          <w:tcPr/>
          <w:p>
            <w:pPr>
              <w:pStyle w:val="Compact"/>
            </w:pPr>
            <w:r>
              <w:rPr>
                <w:lang w:val="en-GB"/>
              </w:rPr>
              <w:t xml:space="preserve">People mentioned</w:t>
            </w:r>
          </w:p>
        </w:tc>
        <w:tc>
          <w:tcPr/>
          <w:p>
            <w:pPr>
              <w:pStyle w:val="Compact"/>
            </w:pPr>
            <w:r>
              <w:rPr>
                <w:lang w:val="en-GB"/>
              </w:rPr>
              <w:t xml:space="preserve">People cited in meetings, transcripts, documents, votes, minutes or AI generations</w:t>
            </w:r>
          </w:p>
        </w:tc>
      </w:tr>
      <w:tr>
        <w:trPr>
          <w:cantSplit/>
        </w:trPr>
        <w:tc>
          <w:tcPr/>
          <w:p>
            <w:pPr>
              <w:pStyle w:val="Compact"/>
            </w:pPr>
            <w:r>
              <w:rPr>
                <w:lang w:val="en-GB"/>
              </w:rPr>
              <w:t xml:space="preserve">Institutional contacts</w:t>
            </w:r>
          </w:p>
        </w:tc>
        <w:tc>
          <w:tcPr/>
          <w:p>
            <w:pPr>
              <w:pStyle w:val="Compact"/>
            </w:pPr>
            <w:r>
              <w:rPr>
                <w:lang w:val="en-GB"/>
              </w:rPr>
              <w:t xml:space="preserve">Board members, elected officials, collaborators, representatives, invited participants</w:t>
            </w:r>
          </w:p>
        </w:tc>
      </w:tr>
      <w:tr>
        <w:trPr>
          <w:cantSplit/>
        </w:trPr>
        <w:tc>
          <w:tcPr/>
          <w:p>
            <w:pPr>
              <w:pStyle w:val="Compact"/>
            </w:pPr>
            <w:r>
              <w:rPr>
                <w:lang w:val="en-GB"/>
              </w:rPr>
              <w:t xml:space="preserve">Staff OHADJA</w:t>
            </w:r>
          </w:p>
        </w:tc>
        <w:tc>
          <w:tcPr/>
          <w:p>
            <w:pPr>
              <w:pStyle w:val="Compact"/>
            </w:pPr>
            <w:r>
              <w:rPr>
                <w:lang w:val="en-GB"/>
              </w:rPr>
              <w:t xml:space="preserve">Only for traces of intervention, support, security or internal audit linked to the service</w:t>
            </w:r>
          </w:p>
        </w:tc>
      </w:tr>
    </w:tbl>
    <w:bookmarkEnd w:id="30"/>
    <w:bookmarkStart w:id="32" w:name="X1b3637a51c839f2e3fee467cfce921b002e0fd8"/>
    <w:p>
      <w:pPr>
        <w:pStyle w:val="Heading2"/>
        <w:keepNext/>
        <w:keepLines/>
      </w:pPr>
      <w:r>
        <w:rPr>
          <w:color w:val="000000"/>
          <w:lang w:val="en-GB"/>
        </w:rPr>
        <w:t xml:space="preserve">5. Processing operations, step by step</w:t>
      </w:r>
    </w:p>
    <w:p>
      <w:pPr>
        <w:pStyle w:val="FirstParagraph"/>
      </w:pPr>
      <w:r>
        <w:rPr>
          <w:lang w:val="en-GB"/>
        </w:rPr>
        <w:t xml:space="preserve">The following table describes each operation of the functional flow, the technical component concerned, the location of the processing in Option A and the behavior in isolated Option B.</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Operation</w:t>
            </w:r>
          </w:p>
        </w:tc>
        <w:tc>
          <w:tcPr>
            <w:tcW w:type="dxa" w:w="1872"/>
            <w:tcMar>
              <w:left w:type="dxa" w:w="80"/>
              <w:right w:type="dxa" w:w="80"/>
            </w:tcMar>
          </w:tcPr>
          <w:p>
            <w:pPr>
              <w:pStyle w:val="Compact"/>
            </w:pPr>
            <w:r>
              <w:rPr>
                <w:sz w:val="19"/>
                <w:szCs w:val="19"/>
                <w:lang w:val="en-GB"/>
              </w:rPr>
              <w:t xml:space="preserve">Component</w:t>
            </w:r>
          </w:p>
        </w:tc>
        <w:tc>
          <w:tcPr>
            <w:tcW w:type="dxa" w:w="1872"/>
            <w:tcMar>
              <w:left w:type="dxa" w:w="80"/>
              <w:right w:type="dxa" w:w="80"/>
            </w:tcMar>
          </w:tcPr>
          <w:p>
            <w:pPr>
              <w:pStyle w:val="Compact"/>
            </w:pPr>
            <w:r>
              <w:rPr>
                <w:sz w:val="19"/>
                <w:szCs w:val="19"/>
                <w:lang w:val="en-GB"/>
              </w:rPr>
              <w:t xml:space="preserve">Option A (SaaS)</w:t>
            </w:r>
          </w:p>
        </w:tc>
        <w:tc>
          <w:tcPr>
            <w:tcW w:type="dxa" w:w="1872"/>
            <w:tcMar>
              <w:left w:type="dxa" w:w="80"/>
              <w:right w:type="dxa" w:w="80"/>
            </w:tcMar>
          </w:tcPr>
          <w:p>
            <w:pPr>
              <w:pStyle w:val="Compact"/>
            </w:pPr>
            <w:r>
              <w:rPr>
                <w:sz w:val="19"/>
                <w:szCs w:val="19"/>
                <w:lang w:val="en-GB"/>
              </w:rPr>
              <w:t xml:space="preserve">Option B (isolated)</w:t>
            </w:r>
          </w:p>
        </w:tc>
      </w:tr>
      <w:tr>
        <w:trPr>
          <w:cantSplit/>
        </w:trPr>
        <w:tc>
          <w:tcPr>
            <w:tcW w:type="dxa" w:w="1872"/>
            <w:tcMar>
              <w:left w:type="dxa" w:w="80"/>
              <w:right w:type="dxa" w:w="80"/>
            </w:tcMar>
          </w:tcPr>
          <w:p>
            <w:pPr>
              <w:pStyle w:val="Compact"/>
            </w:pPr>
            <w:r>
              <w:rPr>
                <w:sz w:val="19"/>
                <w:szCs w:val="19"/>
                <w:lang w:val="en-GB"/>
              </w:rPr>
              <w:t xml:space="preserve">1. Upload</w:t>
            </w:r>
          </w:p>
        </w:tc>
        <w:tc>
          <w:tcPr>
            <w:tcW w:type="dxa" w:w="1872"/>
            <w:tcMar>
              <w:left w:type="dxa" w:w="80"/>
              <w:right w:type="dxa" w:w="80"/>
            </w:tcMar>
          </w:tcPr>
          <w:p>
            <w:pPr>
              <w:pStyle w:val="Compact"/>
            </w:pPr>
            <w:r>
              <w:rPr>
                <w:sz w:val="19"/>
                <w:szCs w:val="19"/>
                <w:lang w:val="en-GB"/>
              </w:rPr>
              <w:t xml:space="preserve">Reception of the audio or video file, format and size check (max 2,500 MB), change to “pending” status</w:t>
            </w:r>
          </w:p>
        </w:tc>
        <w:tc>
          <w:tcPr>
            <w:tcW w:type="dxa" w:w="1872"/>
            <w:tcMar>
              <w:left w:type="dxa" w:w="80"/>
              <w:right w:type="dxa" w:w="80"/>
            </w:tcMar>
          </w:tcPr>
          <w:p>
            <w:pPr>
              <w:pStyle w:val="Compact"/>
            </w:pPr>
            <w:r>
              <w:rPr>
                <w:sz w:val="19"/>
                <w:szCs w:val="19"/>
                <w:lang w:val="en-GB"/>
              </w:rPr>
              <w:t xml:space="preserve">Laravel + Nginx app</w:t>
            </w:r>
          </w:p>
        </w:tc>
        <w:tc>
          <w:tcPr>
            <w:tcW w:type="dxa" w:w="1872"/>
            <w:tcMar>
              <w:left w:type="dxa" w:w="80"/>
              <w:right w:type="dxa" w:w="80"/>
            </w:tcMar>
          </w:tcPr>
          <w:p>
            <w:pPr>
              <w:pStyle w:val="Compact"/>
            </w:pPr>
            <w:r>
              <w:rPr>
                <w:sz w:val="19"/>
                <w:szCs w:val="19"/>
                <w:lang w:val="en-GB"/>
              </w:rPr>
              <w:t xml:space="preserve">Server France</w:t>
            </w:r>
          </w:p>
        </w:tc>
        <w:tc>
          <w:tcPr>
            <w:tcW w:type="dxa" w:w="1872"/>
            <w:tcMar>
              <w:left w:type="dxa" w:w="80"/>
              <w:right w:type="dxa" w:w="80"/>
            </w:tcMar>
          </w:tcPr>
          <w:p>
            <w:pPr>
              <w:pStyle w:val="Compact"/>
            </w:pPr>
            <w:r>
              <w:rPr>
                <w:sz w:val="19"/>
                <w:szCs w:val="19"/>
                <w:lang w:val="en-GB"/>
              </w:rPr>
              <w:t xml:space="preserve">Customer infrastructure</w:t>
            </w:r>
          </w:p>
        </w:tc>
      </w:tr>
      <w:tr>
        <w:trPr>
          <w:cantSplit/>
        </w:trPr>
        <w:tc>
          <w:tcPr>
            <w:tcW w:type="dxa" w:w="1872"/>
            <w:tcMar>
              <w:left w:type="dxa" w:w="80"/>
              <w:right w:type="dxa" w:w="80"/>
            </w:tcMar>
          </w:tcPr>
          <w:p>
            <w:pPr>
              <w:pStyle w:val="Compact"/>
            </w:pPr>
            <w:r>
              <w:rPr>
                <w:sz w:val="19"/>
                <w:szCs w:val="19"/>
                <w:lang w:val="en-GB"/>
              </w:rPr>
              <w:t xml:space="preserve">2. Virus Scan</w:t>
            </w:r>
          </w:p>
        </w:tc>
        <w:tc>
          <w:tcPr>
            <w:tcW w:type="dxa" w:w="1872"/>
            <w:tcMar>
              <w:left w:type="dxa" w:w="80"/>
              <w:right w:type="dxa" w:w="80"/>
            </w:tcMar>
          </w:tcPr>
          <w:p>
            <w:pPr>
              <w:pStyle w:val="Compact"/>
            </w:pPr>
            <w:r>
              <w:rPr>
                <w:sz w:val="19"/>
                <w:szCs w:val="19"/>
                <w:lang w:val="en-GB"/>
              </w:rPr>
              <w:t xml:space="preserve">Systematic control of each upload before disk writing, rejection and alert in the event of an infected file</w:t>
            </w:r>
          </w:p>
        </w:tc>
        <w:tc>
          <w:tcPr>
            <w:tcW w:type="dxa" w:w="1872"/>
            <w:tcMar>
              <w:left w:type="dxa" w:w="80"/>
              <w:right w:type="dxa" w:w="80"/>
            </w:tcMar>
          </w:tcPr>
          <w:p>
            <w:pPr>
              <w:pStyle w:val="Compact"/>
            </w:pPr>
            <w:r>
              <w:rPr>
                <w:sz w:val="19"/>
                <w:szCs w:val="19"/>
                <w:lang w:val="en-GB"/>
              </w:rPr>
              <w:t xml:space="preserve">Sidecar ClamAV</w:t>
            </w:r>
          </w:p>
        </w:tc>
        <w:tc>
          <w:tcPr>
            <w:tcW w:type="dxa" w:w="1872"/>
            <w:tcMar>
              <w:left w:type="dxa" w:w="80"/>
              <w:right w:type="dxa" w:w="80"/>
            </w:tcMar>
          </w:tcPr>
          <w:p>
            <w:pPr>
              <w:pStyle w:val="Compact"/>
            </w:pPr>
            <w:r>
              <w:rPr>
                <w:sz w:val="19"/>
                <w:szCs w:val="19"/>
                <w:lang w:val="en-GB"/>
              </w:rPr>
              <w:t xml:space="preserve">Server France</w:t>
            </w:r>
          </w:p>
        </w:tc>
        <w:tc>
          <w:tcPr>
            <w:tcW w:type="dxa" w:w="1872"/>
            <w:tcMar>
              <w:left w:type="dxa" w:w="80"/>
              <w:right w:type="dxa" w:w="80"/>
            </w:tcMar>
          </w:tcPr>
          <w:p>
            <w:pPr>
              <w:pStyle w:val="Compact"/>
            </w:pPr>
            <w:r>
              <w:rPr>
                <w:sz w:val="19"/>
                <w:szCs w:val="19"/>
                <w:lang w:val="en-GB"/>
              </w:rPr>
              <w:t xml:space="preserve">Customer infrastructure</w:t>
            </w:r>
          </w:p>
        </w:tc>
      </w:tr>
      <w:tr>
        <w:trPr>
          <w:cantSplit/>
        </w:trPr>
        <w:tc>
          <w:tcPr>
            <w:tcW w:type="dxa" w:w="1872"/>
            <w:tcMar>
              <w:left w:type="dxa" w:w="80"/>
              <w:right w:type="dxa" w:w="80"/>
            </w:tcMar>
          </w:tcPr>
          <w:p>
            <w:pPr>
              <w:pStyle w:val="Compact"/>
            </w:pPr>
            <w:r>
              <w:rPr>
                <w:sz w:val="19"/>
                <w:szCs w:val="19"/>
                <w:lang w:val="en-GB"/>
              </w:rPr>
              <w:t xml:space="preserve">3. Transcription</w:t>
            </w:r>
          </w:p>
        </w:tc>
        <w:tc>
          <w:tcPr>
            <w:tcW w:type="dxa" w:w="1872"/>
            <w:tcMar>
              <w:left w:type="dxa" w:w="80"/>
              <w:right w:type="dxa" w:w="80"/>
            </w:tcMar>
          </w:tcPr>
          <w:p>
            <w:pPr>
              <w:pStyle w:val="Compact"/>
            </w:pPr>
            <w:r>
              <w:rPr>
                <w:sz w:val="19"/>
                <w:szCs w:val="19"/>
                <w:lang w:val="en-GB"/>
              </w:rPr>
              <w:t xml:space="preserve">Speech-to-text conversion, segment and timestamp production</w:t>
            </w:r>
          </w:p>
        </w:tc>
        <w:tc>
          <w:tcPr>
            <w:tcW w:type="dxa" w:w="1872"/>
            <w:tcMar>
              <w:left w:type="dxa" w:w="80"/>
              <w:right w:type="dxa" w:w="80"/>
            </w:tcMar>
          </w:tcPr>
          <w:p>
            <w:pPr>
              <w:pStyle w:val="Compact"/>
            </w:pPr>
            <w:r>
              <w:rPr>
                <w:sz w:val="19"/>
                <w:szCs w:val="19"/>
                <w:lang w:val="en-GB"/>
              </w:rPr>
              <w:t xml:space="preserve">GPU transcription server (whisperX)</w:t>
            </w:r>
          </w:p>
        </w:tc>
        <w:tc>
          <w:tcPr>
            <w:tcW w:type="dxa" w:w="1872"/>
            <w:tcMar>
              <w:left w:type="dxa" w:w="80"/>
              <w:right w:type="dxa" w:w="80"/>
            </w:tcMar>
          </w:tcPr>
          <w:p>
            <w:pPr>
              <w:pStyle w:val="Compact"/>
            </w:pPr>
            <w:r>
              <w:rPr>
                <w:sz w:val="19"/>
                <w:szCs w:val="19"/>
                <w:lang w:val="en-GB"/>
              </w:rPr>
              <w:t xml:space="preserve">Dedicated GPU or UE resource when required</w:t>
            </w:r>
          </w:p>
        </w:tc>
        <w:tc>
          <w:tcPr>
            <w:tcW w:type="dxa" w:w="1872"/>
            <w:tcMar>
              <w:left w:type="dxa" w:w="80"/>
              <w:right w:type="dxa" w:w="80"/>
            </w:tcMar>
          </w:tcPr>
          <w:p>
            <w:pPr>
              <w:pStyle w:val="Compact"/>
            </w:pPr>
            <w:r>
              <w:rPr>
                <w:sz w:val="19"/>
                <w:szCs w:val="19"/>
                <w:lang w:val="en-GB"/>
              </w:rPr>
              <w:t xml:space="preserve">Client local GPU worker</w:t>
            </w:r>
          </w:p>
        </w:tc>
      </w:tr>
      <w:tr>
        <w:trPr>
          <w:cantSplit/>
        </w:trPr>
        <w:tc>
          <w:tcPr>
            <w:tcW w:type="dxa" w:w="1872"/>
            <w:tcMar>
              <w:left w:type="dxa" w:w="80"/>
              <w:right w:type="dxa" w:w="80"/>
            </w:tcMar>
          </w:tcPr>
          <w:p>
            <w:pPr>
              <w:pStyle w:val="Compact"/>
            </w:pPr>
            <w:r>
              <w:rPr>
                <w:sz w:val="19"/>
                <w:szCs w:val="19"/>
                <w:lang w:val="en-GB"/>
              </w:rPr>
              <w:t xml:space="preserve">4. Diarization</w:t>
            </w:r>
          </w:p>
        </w:tc>
        <w:tc>
          <w:tcPr>
            <w:tcW w:type="dxa" w:w="1872"/>
            <w:tcMar>
              <w:left w:type="dxa" w:w="80"/>
              <w:right w:type="dxa" w:w="80"/>
            </w:tcMar>
          </w:tcPr>
          <w:p>
            <w:pPr>
              <w:pStyle w:val="Compact"/>
            </w:pPr>
            <w:r>
              <w:rPr>
                <w:sz w:val="19"/>
                <w:szCs w:val="19"/>
                <w:lang w:val="en-GB"/>
              </w:rPr>
              <w:t xml:space="preserve">Positional speaker separation, neutral “Speaker N” labels, no retained template; this does not guarantee anonymity.</w:t>
            </w:r>
          </w:p>
        </w:tc>
        <w:tc>
          <w:tcPr>
            <w:tcW w:type="dxa" w:w="1872"/>
            <w:tcMar>
              <w:left w:type="dxa" w:w="80"/>
              <w:right w:type="dxa" w:w="80"/>
            </w:tcMar>
          </w:tcPr>
          <w:p>
            <w:pPr>
              <w:pStyle w:val="Compact"/>
            </w:pPr>
            <w:r>
              <w:rPr>
                <w:sz w:val="19"/>
                <w:szCs w:val="19"/>
                <w:lang w:val="en-GB"/>
              </w:rPr>
              <w:t xml:space="preserve">pyannote.audio</w:t>
            </w:r>
          </w:p>
        </w:tc>
        <w:tc>
          <w:tcPr>
            <w:tcW w:type="dxa" w:w="1872"/>
            <w:tcMar>
              <w:left w:type="dxa" w:w="80"/>
              <w:right w:type="dxa" w:w="80"/>
            </w:tcMar>
          </w:tcPr>
          <w:p>
            <w:pPr>
              <w:pStyle w:val="Compact"/>
            </w:pPr>
            <w:r>
              <w:rPr>
                <w:sz w:val="19"/>
                <w:szCs w:val="19"/>
                <w:lang w:val="en-GB"/>
              </w:rPr>
              <w:t xml:space="preserve">Automated processing, data deleted after the job</w:t>
            </w:r>
          </w:p>
        </w:tc>
        <w:tc>
          <w:tcPr>
            <w:tcW w:type="dxa" w:w="1872"/>
            <w:tcMar>
              <w:left w:type="dxa" w:w="80"/>
              <w:right w:type="dxa" w:w="80"/>
            </w:tcMar>
          </w:tcPr>
          <w:p>
            <w:pPr>
              <w:pStyle w:val="Compact"/>
            </w:pPr>
            <w:r>
              <w:rPr>
                <w:sz w:val="19"/>
                <w:szCs w:val="19"/>
                <w:lang w:val="en-GB"/>
              </w:rPr>
              <w:t xml:space="preserve">Client local GPU worker</w:t>
            </w:r>
          </w:p>
        </w:tc>
      </w:tr>
      <w:tr>
        <w:trPr>
          <w:cantSplit/>
        </w:trPr>
        <w:tc>
          <w:tcPr>
            <w:tcW w:type="dxa" w:w="1872"/>
            <w:tcMar>
              <w:left w:type="dxa" w:w="80"/>
              <w:right w:type="dxa" w:w="80"/>
            </w:tcMar>
          </w:tcPr>
          <w:p>
            <w:pPr>
              <w:pStyle w:val="Compact"/>
            </w:pPr>
            <w:r>
              <w:rPr>
                <w:sz w:val="19"/>
                <w:szCs w:val="19"/>
                <w:lang w:val="en-GB"/>
              </w:rPr>
              <w:t xml:space="preserve">5. AI exploitation</w:t>
            </w:r>
          </w:p>
        </w:tc>
        <w:tc>
          <w:tcPr>
            <w:tcW w:type="dxa" w:w="1872"/>
            <w:tcMar>
              <w:left w:type="dxa" w:w="80"/>
              <w:right w:type="dxa" w:w="80"/>
            </w:tcMar>
          </w:tcPr>
          <w:p>
            <w:pPr>
              <w:pStyle w:val="Compact"/>
            </w:pPr>
            <w:r>
              <w:rPr>
                <w:sz w:val="19"/>
                <w:szCs w:val="19"/>
                <w:lang w:val="en-GB"/>
              </w:rPr>
              <w:t xml:space="preserve">Correction, summary, minutes, chapters, suggestion of identification of speakers, from selected sources only</w:t>
            </w:r>
          </w:p>
        </w:tc>
        <w:tc>
          <w:tcPr>
            <w:tcW w:type="dxa" w:w="1872"/>
            <w:tcMar>
              <w:left w:type="dxa" w:w="80"/>
              <w:right w:type="dxa" w:w="80"/>
            </w:tcMar>
          </w:tcPr>
          <w:p>
            <w:pPr>
              <w:pStyle w:val="Compact"/>
            </w:pPr>
            <w:r>
              <w:rPr>
                <w:sz w:val="19"/>
                <w:szCs w:val="19"/>
                <w:lang w:val="en-GB"/>
              </w:rPr>
              <w:t xml:space="preserve">Mastered vLLM servers / LlmGateway / LLM configuration by organization</w:t>
            </w:r>
          </w:p>
        </w:tc>
        <w:tc>
          <w:tcPr>
            <w:tcW w:type="dxa" w:w="1872"/>
            <w:tcMar>
              <w:left w:type="dxa" w:w="80"/>
              <w:right w:type="dxa" w:w="80"/>
            </w:tcMar>
          </w:tcPr>
          <w:p>
            <w:pPr>
              <w:pStyle w:val="Compact"/>
            </w:pPr>
            <w:r>
              <w:rPr>
                <w:sz w:val="19"/>
                <w:szCs w:val="19"/>
                <w:lang w:val="en-GB"/>
              </w:rPr>
              <w:t xml:space="preserve">Primary route: vLLM open-weights on GPUs mastered in Europe (Strasbourg / Paris); OpenRouter backup (outside EEA) if primary route unavailable and not disabled</w:t>
            </w:r>
          </w:p>
        </w:tc>
        <w:tc>
          <w:tcPr>
            <w:tcW w:type="dxa" w:w="1872"/>
            <w:tcMar>
              <w:left w:type="dxa" w:w="80"/>
              <w:right w:type="dxa" w:w="80"/>
            </w:tcMar>
          </w:tcPr>
          <w:p>
            <w:pPr>
              <w:pStyle w:val="Compact"/>
            </w:pPr>
            <w:r>
              <w:rPr>
                <w:sz w:val="19"/>
                <w:szCs w:val="19"/>
                <w:lang w:val="en-GB"/>
              </w:rPr>
              <w:t xml:space="preserve">Local self-hosted model (vLLM/Ollama), no outbound flow</w:t>
            </w:r>
          </w:p>
        </w:tc>
      </w:tr>
      <w:tr>
        <w:trPr>
          <w:cantSplit/>
        </w:trPr>
        <w:tc>
          <w:tcPr>
            <w:tcW w:type="dxa" w:w="1872"/>
            <w:tcMar>
              <w:left w:type="dxa" w:w="80"/>
              <w:right w:type="dxa" w:w="80"/>
            </w:tcMar>
          </w:tcPr>
          <w:p>
            <w:pPr>
              <w:pStyle w:val="Compact"/>
            </w:pPr>
            <w:r>
              <w:rPr>
                <w:sz w:val="19"/>
                <w:szCs w:val="19"/>
                <w:lang w:val="en-GB"/>
              </w:rPr>
              <w:t xml:space="preserve">6. Voice correlation (option)</w:t>
            </w:r>
          </w:p>
        </w:tc>
        <w:tc>
          <w:tcPr>
            <w:tcW w:type="dxa" w:w="1872"/>
            <w:tcMar>
              <w:left w:type="dxa" w:w="80"/>
              <w:right w:type="dxa" w:w="80"/>
            </w:tcMar>
          </w:tcPr>
          <w:p>
            <w:pPr>
              <w:pStyle w:val="Compact"/>
            </w:pPr>
            <w:r>
              <w:rPr>
                <w:sz w:val="19"/>
                <w:szCs w:val="19"/>
                <w:lang w:val="en-GB"/>
              </w:rPr>
              <w:t xml:space="preserve">Ephemeral voice comparison to suggest speaker connections, embeddings destroyed at the end of the request</w:t>
            </w:r>
          </w:p>
        </w:tc>
        <w:tc>
          <w:tcPr>
            <w:tcW w:type="dxa" w:w="1872"/>
            <w:tcMar>
              <w:left w:type="dxa" w:w="80"/>
              <w:right w:type="dxa" w:w="80"/>
            </w:tcMar>
          </w:tcPr>
          <w:p>
            <w:pPr>
              <w:pStyle w:val="Compact"/>
            </w:pPr>
            <w:r>
              <w:rPr>
                <w:sz w:val="19"/>
                <w:szCs w:val="19"/>
                <w:lang w:val="en-GB"/>
              </w:rPr>
              <w:t xml:space="preserve">Dedicated worker</w:t>
            </w:r>
          </w:p>
        </w:tc>
        <w:tc>
          <w:tcPr>
            <w:tcW w:type="dxa" w:w="1872"/>
            <w:tcMar>
              <w:left w:type="dxa" w:w="80"/>
              <w:right w:type="dxa" w:w="80"/>
            </w:tcMar>
          </w:tcPr>
          <w:p>
            <w:pPr>
              <w:pStyle w:val="Compact"/>
            </w:pPr>
            <w:r>
              <w:rPr>
                <w:sz w:val="19"/>
                <w:szCs w:val="19"/>
                <w:lang w:val="en-GB"/>
              </w:rPr>
              <w:t xml:space="preserve">Disabled by default; opt-in + DPA amendment + DPIA</w:t>
            </w:r>
          </w:p>
        </w:tc>
        <w:tc>
          <w:tcPr>
            <w:tcW w:type="dxa" w:w="1872"/>
            <w:tcMar>
              <w:left w:type="dxa" w:w="80"/>
              <w:right w:type="dxa" w:w="80"/>
            </w:tcMar>
          </w:tcPr>
          <w:p>
            <w:pPr>
              <w:pStyle w:val="Compact"/>
            </w:pPr>
            <w:r>
              <w:rPr>
                <w:sz w:val="19"/>
                <w:szCs w:val="19"/>
                <w:lang w:val="en-GB"/>
              </w:rPr>
              <w:t xml:space="preserve">Disabled by default; local treatment only</w:t>
            </w:r>
          </w:p>
        </w:tc>
      </w:tr>
      <w:tr>
        <w:trPr>
          <w:cantSplit/>
        </w:trPr>
        <w:tc>
          <w:tcPr>
            <w:tcW w:type="dxa" w:w="1872"/>
            <w:tcMar>
              <w:left w:type="dxa" w:w="80"/>
              <w:right w:type="dxa" w:w="80"/>
            </w:tcMar>
          </w:tcPr>
          <w:p>
            <w:pPr>
              <w:pStyle w:val="Compact"/>
            </w:pPr>
            <w:r>
              <w:rPr>
                <w:sz w:val="19"/>
                <w:szCs w:val="19"/>
                <w:lang w:val="en-GB"/>
              </w:rPr>
              <w:t xml:space="preserve">7. Exports</w:t>
            </w:r>
          </w:p>
        </w:tc>
        <w:tc>
          <w:tcPr>
            <w:tcW w:type="dxa" w:w="1872"/>
            <w:tcMar>
              <w:left w:type="dxa" w:w="80"/>
              <w:right w:type="dxa" w:w="80"/>
            </w:tcMar>
          </w:tcPr>
          <w:p>
            <w:pPr>
              <w:pStyle w:val="Compact"/>
            </w:pPr>
            <w:r>
              <w:rPr>
                <w:sz w:val="19"/>
                <w:szCs w:val="19"/>
                <w:lang w:val="en-GB"/>
              </w:rPr>
              <w:t xml:space="preserve">Generation of Word documents, data exports</w:t>
            </w:r>
          </w:p>
        </w:tc>
        <w:tc>
          <w:tcPr>
            <w:tcW w:type="dxa" w:w="1872"/>
            <w:tcMar>
              <w:left w:type="dxa" w:w="80"/>
              <w:right w:type="dxa" w:w="80"/>
            </w:tcMar>
          </w:tcPr>
          <w:p>
            <w:pPr>
              <w:pStyle w:val="Compact"/>
            </w:pPr>
            <w:r>
              <w:rPr>
                <w:sz w:val="19"/>
                <w:szCs w:val="19"/>
                <w:lang w:val="en-GB"/>
              </w:rPr>
              <w:t xml:space="preserve">Laravel app</w:t>
            </w:r>
          </w:p>
        </w:tc>
        <w:tc>
          <w:tcPr>
            <w:tcW w:type="dxa" w:w="1872"/>
            <w:tcMar>
              <w:left w:type="dxa" w:w="80"/>
              <w:right w:type="dxa" w:w="80"/>
            </w:tcMar>
          </w:tcPr>
          <w:p>
            <w:pPr>
              <w:pStyle w:val="Compact"/>
            </w:pPr>
            <w:r>
              <w:rPr>
                <w:sz w:val="19"/>
                <w:szCs w:val="19"/>
                <w:lang w:val="en-GB"/>
              </w:rPr>
              <w:t xml:space="preserve">Server France</w:t>
            </w:r>
          </w:p>
        </w:tc>
        <w:tc>
          <w:tcPr>
            <w:tcW w:type="dxa" w:w="1872"/>
            <w:tcMar>
              <w:left w:type="dxa" w:w="80"/>
              <w:right w:type="dxa" w:w="80"/>
            </w:tcMar>
          </w:tcPr>
          <w:p>
            <w:pPr>
              <w:pStyle w:val="Compact"/>
            </w:pPr>
            <w:r>
              <w:rPr>
                <w:sz w:val="19"/>
                <w:szCs w:val="19"/>
                <w:lang w:val="en-GB"/>
              </w:rPr>
              <w:t xml:space="preserve">Customer infrastructure</w:t>
            </w:r>
          </w:p>
        </w:tc>
      </w:tr>
      <w:tr>
        <w:trPr>
          <w:cantSplit/>
        </w:trPr>
        <w:tc>
          <w:tcPr>
            <w:tcW w:type="dxa" w:w="1872"/>
            <w:tcMar>
              <w:left w:type="dxa" w:w="80"/>
              <w:right w:type="dxa" w:w="80"/>
            </w:tcMar>
          </w:tcPr>
          <w:p>
            <w:pPr>
              <w:pStyle w:val="Compact"/>
            </w:pPr>
            <w:r>
              <w:rPr>
                <w:sz w:val="19"/>
                <w:szCs w:val="19"/>
                <w:lang w:val="en-GB"/>
              </w:rPr>
              <w:t xml:space="preserve">8. Logging</w:t>
            </w:r>
          </w:p>
        </w:tc>
        <w:tc>
          <w:tcPr>
            <w:tcW w:type="dxa" w:w="1872"/>
            <w:tcMar>
              <w:left w:type="dxa" w:w="80"/>
              <w:right w:type="dxa" w:w="80"/>
            </w:tcMar>
          </w:tcPr>
          <w:p>
            <w:pPr>
              <w:pStyle w:val="Compact"/>
            </w:pPr>
            <w:r>
              <w:rPr>
                <w:sz w:val="19"/>
                <w:szCs w:val="19"/>
                <w:lang w:val="en-GB"/>
              </w:rPr>
              <w:t xml:space="preserve">Recording actions in audit logs by organization and at the platform level</w:t>
            </w:r>
          </w:p>
        </w:tc>
        <w:tc>
          <w:tcPr>
            <w:tcW w:type="dxa" w:w="1872"/>
            <w:tcMar>
              <w:left w:type="dxa" w:w="80"/>
              <w:right w:type="dxa" w:w="80"/>
            </w:tcMar>
          </w:tcPr>
          <w:p>
            <w:pPr>
              <w:pStyle w:val="Compact"/>
            </w:pPr>
            <w:r>
              <w:rPr>
                <w:sz w:val="19"/>
                <w:szCs w:val="19"/>
                <w:lang w:val="en-GB"/>
              </w:rPr>
              <w:t xml:space="preserve">PostgreSQL (</w:t>
            </w:r>
            <w:r>
              <w:rPr>
                <w:rStyle w:val="VerbatimChar"/>
                <w:sz w:val="19"/>
                <w:szCs w:val="19"/>
                <w:lang w:val="en-GB"/>
              </w:rPr>
              <w:t xml:space="preserve">activity_logs</w:t>
            </w:r>
            <w:r>
              <w:rPr>
                <w:sz w:val="19"/>
                <w:szCs w:val="19"/>
                <w:lang w:val="en-GB"/>
              </w:rPr>
              <w:t xml:space="preserve">,</w:t>
            </w:r>
            <w:r>
              <w:rPr>
                <w:sz w:val="19"/>
                <w:szCs w:val="19"/>
                <w:lang w:val="en-GB"/>
              </w:rPr>
              <w:t xml:space="preserve"> </w:t>
            </w:r>
            <w:r>
              <w:rPr>
                <w:rStyle w:val="VerbatimChar"/>
                <w:sz w:val="19"/>
                <w:szCs w:val="19"/>
                <w:lang w:val="en-GB"/>
              </w:rPr>
              <w:t xml:space="preserve">public.audit_logs</w:t>
            </w: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Server France</w:t>
            </w:r>
          </w:p>
        </w:tc>
        <w:tc>
          <w:tcPr>
            <w:tcW w:type="dxa" w:w="1872"/>
            <w:tcMar>
              <w:left w:type="dxa" w:w="80"/>
              <w:right w:type="dxa" w:w="80"/>
            </w:tcMar>
          </w:tcPr>
          <w:p>
            <w:pPr>
              <w:pStyle w:val="Compact"/>
            </w:pPr>
            <w:r>
              <w:rPr>
                <w:sz w:val="19"/>
                <w:szCs w:val="19"/>
                <w:lang w:val="en-GB"/>
              </w:rPr>
              <w:t xml:space="preserve">Customer infrastructure</w:t>
            </w:r>
          </w:p>
        </w:tc>
      </w:tr>
      <w:tr>
        <w:trPr>
          <w:cantSplit/>
        </w:trPr>
        <w:tc>
          <w:tcPr>
            <w:tcW w:type="dxa" w:w="1872"/>
            <w:tcMar>
              <w:left w:type="dxa" w:w="80"/>
              <w:right w:type="dxa" w:w="80"/>
            </w:tcMar>
          </w:tcPr>
          <w:p>
            <w:pPr>
              <w:pStyle w:val="Compact"/>
            </w:pPr>
            <w:r>
              <w:rPr>
                <w:sz w:val="19"/>
                <w:szCs w:val="19"/>
                <w:lang w:val="en-GB"/>
              </w:rPr>
              <w:t xml:space="preserve">9. Backup</w:t>
            </w:r>
          </w:p>
        </w:tc>
        <w:tc>
          <w:tcPr>
            <w:tcW w:type="dxa" w:w="1872"/>
            <w:tcMar>
              <w:left w:type="dxa" w:w="80"/>
              <w:right w:type="dxa" w:w="80"/>
            </w:tcMar>
          </w:tcPr>
          <w:p>
            <w:pPr>
              <w:pStyle w:val="Compact"/>
            </w:pPr>
            <w:r>
              <w:rPr>
                <w:sz w:val="19"/>
                <w:szCs w:val="19"/>
                <w:lang w:val="en-GB"/>
              </w:rPr>
              <w:t xml:space="preserve">Daily backups encrypted before outsourcing</w:t>
            </w:r>
          </w:p>
        </w:tc>
        <w:tc>
          <w:tcPr>
            <w:tcW w:type="dxa" w:w="1872"/>
            <w:tcMar>
              <w:left w:type="dxa" w:w="80"/>
              <w:right w:type="dxa" w:w="80"/>
            </w:tcMar>
          </w:tcPr>
          <w:p>
            <w:pPr>
              <w:pStyle w:val="Compact"/>
            </w:pPr>
            <w:r>
              <w:rPr>
                <w:sz w:val="19"/>
                <w:szCs w:val="19"/>
                <w:lang w:val="en-GB"/>
              </w:rPr>
              <w:t xml:space="preserve">Backup + rclone scripts</w:t>
            </w:r>
          </w:p>
        </w:tc>
        <w:tc>
          <w:tcPr>
            <w:tcW w:type="dxa" w:w="1872"/>
            <w:tcMar>
              <w:left w:type="dxa" w:w="80"/>
              <w:right w:type="dxa" w:w="80"/>
            </w:tcMar>
          </w:tcPr>
          <w:p>
            <w:pPr>
              <w:pStyle w:val="Compact"/>
            </w:pPr>
            <w:r>
              <w:rPr>
                <w:sz w:val="19"/>
                <w:szCs w:val="19"/>
                <w:lang w:val="en-GB"/>
              </w:rPr>
              <w:t xml:space="preserve">Encryption with age, storage Scaleway (France)</w:t>
            </w:r>
          </w:p>
        </w:tc>
        <w:tc>
          <w:tcPr>
            <w:tcW w:type="dxa" w:w="1872"/>
            <w:tcMar>
              <w:left w:type="dxa" w:w="80"/>
              <w:right w:type="dxa" w:w="80"/>
            </w:tcMar>
          </w:tcPr>
          <w:p>
            <w:pPr>
              <w:pStyle w:val="Compact"/>
            </w:pPr>
            <w:r>
              <w:rPr>
                <w:sz w:val="19"/>
                <w:szCs w:val="19"/>
                <w:lang w:val="en-GB"/>
              </w:rPr>
              <w:t xml:space="preserve">At the customer's expense</w:t>
            </w:r>
          </w:p>
        </w:tc>
      </w:tr>
      <w:tr>
        <w:trPr>
          <w:cantSplit/>
        </w:trPr>
        <w:tc>
          <w:tcPr>
            <w:tcW w:type="dxa" w:w="1872"/>
            <w:tcMar>
              <w:left w:type="dxa" w:w="80"/>
              <w:right w:type="dxa" w:w="80"/>
            </w:tcMar>
          </w:tcPr>
          <w:p>
            <w:pPr>
              <w:pStyle w:val="Compact"/>
            </w:pPr>
            <w:r>
              <w:rPr>
                <w:sz w:val="19"/>
                <w:szCs w:val="19"/>
                <w:lang w:val="en-GB"/>
              </w:rPr>
              <w:t xml:space="preserve">10. Deletion</w:t>
            </w:r>
          </w:p>
        </w:tc>
        <w:tc>
          <w:tcPr>
            <w:tcW w:type="dxa" w:w="1872"/>
            <w:tcMar>
              <w:left w:type="dxa" w:w="80"/>
              <w:right w:type="dxa" w:w="80"/>
            </w:tcMar>
          </w:tcPr>
          <w:p>
            <w:pPr>
              <w:pStyle w:val="Compact"/>
            </w:pPr>
            <w:r>
              <w:rPr>
                <w:sz w:val="19"/>
                <w:szCs w:val="19"/>
                <w:lang w:val="en-GB"/>
              </w:rPr>
              <w:t xml:space="preserve">Certified data purge upon request, issue of deletion certificate</w:t>
            </w:r>
          </w:p>
        </w:tc>
        <w:tc>
          <w:tcPr>
            <w:tcW w:type="dxa" w:w="1872"/>
            <w:tcMar>
              <w:left w:type="dxa" w:w="80"/>
              <w:right w:type="dxa" w:w="80"/>
            </w:tcMar>
          </w:tcPr>
          <w:p>
            <w:pPr>
              <w:pStyle w:val="Compact"/>
            </w:pPr>
            <w:r>
              <w:rPr>
                <w:sz w:val="19"/>
                <w:szCs w:val="19"/>
                <w:lang w:val="en-GB"/>
              </w:rPr>
              <w:t xml:space="preserve">Application purge workflow</w:t>
            </w:r>
          </w:p>
        </w:tc>
        <w:tc>
          <w:tcPr>
            <w:tcW w:type="dxa" w:w="1872"/>
            <w:tcMar>
              <w:left w:type="dxa" w:w="80"/>
              <w:right w:type="dxa" w:w="80"/>
            </w:tcMar>
          </w:tcPr>
          <w:p>
            <w:pPr>
              <w:pStyle w:val="Compact"/>
            </w:pPr>
            <w:r>
              <w:rPr>
                <w:sz w:val="19"/>
                <w:szCs w:val="19"/>
                <w:lang w:val="en-GB"/>
              </w:rPr>
              <w:t xml:space="preserve">France server + purge of backups (≤ 90 days)</w:t>
            </w:r>
          </w:p>
        </w:tc>
        <w:tc>
          <w:tcPr>
            <w:tcW w:type="dxa" w:w="1872"/>
            <w:tcMar>
              <w:left w:type="dxa" w:w="80"/>
              <w:right w:type="dxa" w:w="80"/>
            </w:tcMar>
          </w:tcPr>
          <w:p>
            <w:pPr>
              <w:pStyle w:val="Compact"/>
            </w:pPr>
            <w:r>
              <w:rPr>
                <w:sz w:val="19"/>
                <w:szCs w:val="19"/>
                <w:lang w:val="en-GB"/>
              </w:rPr>
              <w:t xml:space="preserve">Customer infrastructure</w:t>
            </w:r>
          </w:p>
        </w:tc>
      </w:tr>
    </w:tbl>
    <w:bookmarkStart w:id="31" w:name="détail-des-étapes"/>
    <w:p>
      <w:pPr>
        <w:pStyle w:val="Heading3"/>
        <w:keepNext/>
        <w:keepLines/>
      </w:pPr>
      <w:r>
        <w:rPr>
          <w:color w:val="000000"/>
          <w:lang w:val="en-GB"/>
        </w:rPr>
        <w:t xml:space="preserve">Details of the steps</w:t>
      </w:r>
    </w:p>
    <w:p>
      <w:pPr>
        <w:pStyle w:val="FirstParagraph"/>
      </w:pPr>
      <w:r>
        <w:rPr>
          <w:b/>
          <w:bCs/>
          <w:lang w:val="en-GB"/>
        </w:rPr>
        <w:t xml:space="preserve">Step 1 — Upload. The </w:t>
      </w:r>
      <w:r>
        <w:rPr>
          <w:lang w:val="en-GB"/>
        </w:rPr>
        <w:t xml:space="preserve"/>
      </w:r>
      <w:r>
        <w:rPr>
          <w:lang w:val="en-GB"/>
        </w:rPr>
        <w:t xml:space="preserve">authorized user creates a session and uploads a file. The file is checked (format among mp3, wav, ogg, m4a, flac, webm, mp4, avi, mkv, mov, wmv; maximum size 2,500 MB) then placed in a queue with “pending” status. Subsequent access to the file for streaming is via temporary signed URL (valid for 30 minutes).</w:t>
      </w:r>
    </w:p>
    <w:p>
      <w:pPr>
        <w:pStyle w:val="BodyText"/>
      </w:pPr>
      <w:r>
        <w:rPr>
          <w:b/>
          <w:bCs/>
          <w:lang w:val="en-GB"/>
        </w:rPr>
        <w:t xml:space="preserve">Step 2 — Virus scan. Each </w:t>
      </w:r>
      <w:r>
        <w:rPr>
          <w:lang w:val="en-GB"/>
        </w:rPr>
        <w:t xml:space="preserve"/>
      </w:r>
      <w:r>
        <w:rPr>
          <w:lang w:val="en-GB"/>
        </w:rPr>
        <w:t xml:space="preserve">upload is subject to a ClamAV analysis before final writing. An infected file is rejected, logged and results in an alert. In the event of scanner unavailability, the event is traced (“fail-open” behavior logged), which must be taken into account in your risk analysis.</w:t>
      </w:r>
    </w:p>
    <w:p>
      <w:pPr>
        <w:pStyle w:val="BodyText"/>
      </w:pPr>
      <w:r>
        <w:rPr>
          <w:b/>
          <w:bCs/>
          <w:lang w:val="en-GB"/>
        </w:rPr>
        <w:t xml:space="preserve">Step 3 — Transcription. </w:t>
      </w:r>
      <w:r>
        <w:rPr>
          <w:lang w:val="en-GB"/>
        </w:rPr>
        <w:t xml:space="preserve"/>
      </w:r>
      <w:r>
        <w:rPr>
          <w:lang w:val="en-GB"/>
        </w:rPr>
        <w:t xml:space="preserve">A transcription worker polls the queue, retrieves pending files, performs speech-to-text conversion, transmits the progress, and then delivers the result as JSON segments. The audio data is deleted from the worker after processing the job.</w:t>
      </w:r>
    </w:p>
    <w:p>
      <w:pPr>
        <w:pStyle w:val="BodyText"/>
      </w:pPr>
      <w:r>
        <w:rPr>
          <w:b/>
          <w:bCs/>
          <w:lang w:val="en-GB"/>
        </w:rPr>
        <w:t xml:space="preserve">Step 4 — Diarisation. </w:t>
      </w:r>
      <w:r>
        <w:rPr>
          <w:lang w:val="en-GB"/>
        </w:rPr>
        <w:t xml:space="preserve"/>
      </w:r>
      <w:r>
        <w:rPr>
          <w:lang w:val="en-GB"/>
        </w:rPr>
        <w:t xml:space="preserve">Diarisation assigns positional labels “Speaker 1”, “Speaker 2”, etc. to segments within the same session. These labels are not necessarily anonymous under the GDPR. Voice representations are released when the job ends according to the documented configuration. Classification under Articles 4(14) and 9 must be assessed against the actual purposes and means; deleting templates alone does not exclude it.</w:t>
      </w:r>
    </w:p>
    <w:p>
      <w:pPr>
        <w:pStyle w:val="BodyText"/>
      </w:pPr>
      <w:r>
        <w:rPr>
          <w:b/>
          <w:bCs/>
          <w:lang w:val="en-GB"/>
        </w:rPr>
        <w:t xml:space="preserve">Step 5 — AI Exploitation. </w:t>
      </w:r>
      <w:r>
        <w:rPr>
          <w:lang w:val="en-GB"/>
        </w:rPr>
        <w:t xml:space="preserve"/>
      </w:r>
      <w:r>
        <w:rPr>
          <w:lang w:val="en-GB"/>
        </w:rPr>
        <w:t xml:space="preserve">By default, the AI ​​functions (correction, summary, minutes, chapters, identification suggestion) are executed on GPU servers controlled by OHADJA running vLLM with open-weights models ([TO BE COMPLETED: exact versions — Qwen 3.6 or Mistral]), hosted in Europe (mainly Strasbourg and Paris), or, in Option B, in the client's infrastructure; on this primary path, no data leaves the EEA or is transmitted to a third-party model provider. The OpenRouter gateway (Claude, GPT, etc.) is only used as a backup (failover), in the event of unavailability of the primary route, and can be deactivated by organization. AI functions operate only on sources selected by the user, according to a principle of minimization. The data passed to the model is not used to train models specific to OHADJA. Since version 1.7.0, each organization can define its own provider, key, template, and, if applicable, a self-hosted template URL; an organization with its own configurations never uses the platform configurations (“fail-closed” behavior).</w:t>
      </w:r>
    </w:p>
    <w:p>
      <w:pPr>
        <w:pStyle w:val="BodyText"/>
      </w:pPr>
      <w:r>
        <w:rPr>
          <w:b/>
          <w:bCs/>
          <w:lang w:val="en-GB"/>
        </w:rPr>
        <w:t xml:space="preserve">Step 6 — Voice correlation (optional). </w:t>
      </w:r>
      <w:r>
        <w:rPr>
          <w:lang w:val="en-GB"/>
        </w:rPr>
        <w:t xml:space="preserve"/>
      </w:r>
      <w:r>
        <w:rPr>
          <w:lang w:val="en-GB"/>
        </w:rPr>
        <w:t xml:space="preserve">Processing disabled by default, described in Appendix 1 of the DPA and the conformity sheet (document TRB-CONF-01.01). It temporarily calculates voice characteristics in RAM, without a persistent template, with destruction at the end of the request and mandatory human validation of suggestions.</w:t>
      </w:r>
    </w:p>
    <w:p>
      <w:pPr>
        <w:pStyle w:val="BodyText"/>
      </w:pPr>
      <w:r>
        <w:rPr>
          <w:b/>
          <w:bCs/>
          <w:lang w:val="en-GB"/>
        </w:rPr>
        <w:t xml:space="preserve">Step 7 — Exports. </w:t>
      </w:r>
      <w:r>
        <w:rPr>
          <w:lang w:val="en-GB"/>
        </w:rPr>
        <w:t xml:space="preserve"/>
      </w:r>
      <w:r>
        <w:rPr>
          <w:lang w:val="en-GB"/>
        </w:rPr>
        <w:t xml:space="preserve">Generation of Word documents and data exports from the content produced, at the user's request.</w:t>
      </w:r>
    </w:p>
    <w:p>
      <w:pPr>
        <w:pStyle w:val="BodyText"/>
      </w:pPr>
      <w:r>
        <w:rPr>
          <w:b/>
          <w:bCs/>
          <w:lang w:val="en-GB"/>
        </w:rPr>
        <w:t xml:space="preserve">Step 8 — Logging. </w:t>
      </w:r>
      <w:r>
        <w:rPr>
          <w:lang w:val="en-GB"/>
        </w:rPr>
        <w:t xml:space="preserve"/>
      </w:r>
      <w:r>
        <w:rPr>
          <w:lang w:val="en-GB"/>
        </w:rPr>
        <w:t xml:space="preserve">Significant actions (connections, creations, modifications, deletions, uploads, processing, errors, exports, administration operations) are recorded in an audit log specific to each organization (</w:t>
      </w:r>
      <w:r>
        <w:rPr>
          <w:rStyle w:val="VerbatimChar"/>
          <w:lang w:val="en-GB"/>
        </w:rPr>
        <w:t xml:space="preserve">activity_logs</w:t>
      </w:r>
      <w:r>
        <w:rPr>
          <w:lang w:val="en-GB"/>
        </w:rPr>
        <w:t xml:space="preserve">) and, for platform events, in </w:t>
      </w:r>
      <w:r>
        <w:rPr>
          <w:lang w:val="en-GB"/>
        </w:rPr>
        <w:t xml:space="preserve"/>
      </w:r>
      <w:r>
        <w:rPr>
          <w:rStyle w:val="VerbatimChar"/>
          <w:lang w:val="en-GB"/>
        </w:rPr>
        <w:t xml:space="preserve">public.audit_logs</w:t>
      </w:r>
      <w:r>
        <w:rPr>
          <w:lang w:val="en-GB"/>
        </w:rPr>
        <w:t xml:space="preserve">. Logs are exportable in CSV/JSON.</w:t>
      </w:r>
    </w:p>
    <w:p>
      <w:pPr>
        <w:pStyle w:val="BodyText"/>
      </w:pPr>
      <w:r>
        <w:rPr>
          <w:b/>
          <w:bCs/>
          <w:lang w:val="en-GB"/>
        </w:rPr>
        <w:t xml:space="preserve">Step 9 — Backup (Option A). </w:t>
      </w:r>
      <w:r>
        <w:rPr>
          <w:lang w:val="en-GB"/>
        </w:rPr>
        <w:t xml:space="preserve"/>
      </w:r>
      <w:r>
        <w:rPr>
          <w:lang w:val="en-GB"/>
        </w:rPr>
        <w:t xml:space="preserve">Daily backups encrypted with age (X25519 + ChaCha20-Poly1305) before outsourcing by rclone to Scaleway (France). Retention: 90 days for full backups, 30 days per organization.</w:t>
      </w:r>
    </w:p>
    <w:p>
      <w:pPr>
        <w:pStyle w:val="BodyText"/>
      </w:pPr>
      <w:r>
        <w:rPr>
          <w:b/>
          <w:bCs/>
          <w:lang w:val="en-GB"/>
        </w:rPr>
        <w:t xml:space="preserve">Step 10 — Delete. Upon </w:t>
      </w:r>
      <w:r>
        <w:rPr>
          <w:lang w:val="en-GB"/>
        </w:rPr>
        <w:t xml:space="preserve"/>
      </w:r>
      <w:r>
        <w:rPr>
          <w:lang w:val="en-GB"/>
        </w:rPr>
        <w:t xml:space="preserve">receipt of a certified erasure request or at the end of the contract, a purge workflow deletes production data within the applicable deadline; residual backups are purged according to their cycle (≤ 90 days). A certificate of deletion is issued upon request.</w:t>
      </w:r>
    </w:p>
    <w:bookmarkEnd w:id="31"/>
    <w:bookmarkEnd w:id="32"/>
    <w:bookmarkStart w:id="33" w:name="X67f20aed3ddc665545c61ff159c12fd104115e5"/>
    <w:p>
      <w:pPr>
        <w:pStyle w:val="Heading2"/>
        <w:keepNext/>
        <w:keepLines/>
      </w:pPr>
      <w:r>
        <w:rPr>
          <w:color w:val="000000"/>
          <w:lang w:val="en-GB"/>
        </w:rPr>
        <w:t xml:space="preserve">6. Distribution of responsibilities according to mode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Domain</w:t>
            </w:r>
          </w:p>
        </w:tc>
        <w:tc>
          <w:tcPr/>
          <w:p>
            <w:pPr>
              <w:pStyle w:val="Compact"/>
            </w:pPr>
            <w:r>
              <w:rPr>
                <w:lang w:val="en-GB"/>
              </w:rPr>
              <w:t xml:space="preserve">Option A (SaaS)</w:t>
            </w:r>
          </w:p>
        </w:tc>
        <w:tc>
          <w:tcPr/>
          <w:p>
            <w:pPr>
              <w:pStyle w:val="Compact"/>
            </w:pPr>
            <w:r>
              <w:rPr>
                <w:lang w:val="en-GB"/>
              </w:rPr>
              <w:t xml:space="preserve">Option B (on-premise)</w:t>
            </w:r>
          </w:p>
        </w:tc>
      </w:tr>
      <w:tr>
        <w:trPr>
          <w:cantSplit/>
        </w:trPr>
        <w:tc>
          <w:tcPr/>
          <w:p>
            <w:pPr>
              <w:pStyle w:val="Compact"/>
            </w:pPr>
            <w:r>
              <w:rPr>
                <w:lang w:val="en-GB"/>
              </w:rPr>
              <w:t xml:space="preserve">Accommodation and infrastructure</w:t>
            </w:r>
          </w:p>
        </w:tc>
        <w:tc>
          <w:tcPr/>
          <w:p>
            <w:pPr>
              <w:pStyle w:val="Compact"/>
            </w:pPr>
            <w:r>
              <w:rPr>
                <w:lang w:val="en-GB"/>
              </w:rPr>
              <w:t xml:space="preserve">OHADJA (France)</w:t>
            </w:r>
          </w:p>
        </w:tc>
        <w:tc>
          <w:tcPr/>
          <w:p>
            <w:pPr>
              <w:pStyle w:val="Compact"/>
            </w:pPr>
            <w:r>
              <w:rPr>
                <w:lang w:val="en-GB"/>
              </w:rPr>
              <w:t xml:space="preserve">Customer</w:t>
            </w:r>
          </w:p>
        </w:tc>
      </w:tr>
      <w:tr>
        <w:trPr>
          <w:cantSplit/>
        </w:trPr>
        <w:tc>
          <w:tcPr/>
          <w:p>
            <w:pPr>
              <w:pStyle w:val="Compact"/>
            </w:pPr>
            <w:r>
              <w:rPr>
                <w:lang w:val="en-GB"/>
              </w:rPr>
              <w:t xml:space="preserve">Application operation, updates</w:t>
            </w:r>
          </w:p>
        </w:tc>
        <w:tc>
          <w:tcPr/>
          <w:p>
            <w:pPr>
              <w:pStyle w:val="Compact"/>
            </w:pPr>
            <w:r>
              <w:rPr>
                <w:lang w:val="en-GB"/>
              </w:rPr>
              <w:t xml:space="preserve">OHADJA</w:t>
            </w:r>
          </w:p>
        </w:tc>
        <w:tc>
          <w:tcPr/>
          <w:p>
            <w:pPr>
              <w:pStyle w:val="Compact"/>
            </w:pPr>
            <w:r>
              <w:rPr>
                <w:lang w:val="en-GB"/>
              </w:rPr>
              <w:t xml:space="preserve">Customer, except maintenance mission entrusted to OHADJA</w:t>
            </w:r>
          </w:p>
        </w:tc>
      </w:tr>
      <w:tr>
        <w:trPr>
          <w:cantSplit/>
        </w:trPr>
        <w:tc>
          <w:tcPr/>
          <w:p>
            <w:pPr>
              <w:pStyle w:val="Compact"/>
            </w:pPr>
            <w:r>
              <w:rPr>
                <w:lang w:val="en-GB"/>
              </w:rPr>
              <w:t xml:space="preserve">Backups</w:t>
            </w:r>
          </w:p>
        </w:tc>
        <w:tc>
          <w:tcPr/>
          <w:p>
            <w:pPr>
              <w:pStyle w:val="Compact"/>
            </w:pPr>
            <w:r>
              <w:rPr>
                <w:lang w:val="en-GB"/>
              </w:rPr>
              <w:t xml:space="preserve">OHADJA</w:t>
            </w:r>
          </w:p>
        </w:tc>
        <w:tc>
          <w:tcPr/>
          <w:p>
            <w:pPr>
              <w:pStyle w:val="Compact"/>
            </w:pPr>
            <w:r>
              <w:rPr>
                <w:lang w:val="en-GB"/>
              </w:rPr>
              <w:t xml:space="preserve">Customer</w:t>
            </w:r>
          </w:p>
        </w:tc>
      </w:tr>
      <w:tr>
        <w:trPr>
          <w:cantSplit/>
        </w:trPr>
        <w:tc>
          <w:tcPr/>
          <w:p>
            <w:pPr>
              <w:pStyle w:val="Compact"/>
            </w:pPr>
            <w:r>
              <w:rPr>
                <w:lang w:val="en-GB"/>
              </w:rPr>
              <w:t xml:space="preserve">Supervision and operational security</w:t>
            </w:r>
          </w:p>
        </w:tc>
        <w:tc>
          <w:tcPr/>
          <w:p>
            <w:pPr>
              <w:pStyle w:val="Compact"/>
            </w:pPr>
            <w:r>
              <w:rPr>
                <w:lang w:val="en-GB"/>
              </w:rPr>
              <w:t xml:space="preserve">OHADJA</w:t>
            </w:r>
          </w:p>
        </w:tc>
        <w:tc>
          <w:tcPr/>
          <w:p>
            <w:pPr>
              <w:pStyle w:val="Compact"/>
            </w:pPr>
            <w:r>
              <w:rPr>
                <w:lang w:val="en-GB"/>
              </w:rPr>
              <w:t xml:space="preserve">Customer</w:t>
            </w:r>
          </w:p>
        </w:tc>
      </w:tr>
      <w:tr>
        <w:trPr>
          <w:cantSplit/>
        </w:trPr>
        <w:tc>
          <w:tcPr/>
          <w:p>
            <w:pPr>
              <w:pStyle w:val="Compact"/>
            </w:pPr>
            <w:r>
              <w:rPr>
                <w:lang w:val="en-GB"/>
              </w:rPr>
              <w:t xml:space="preserve">AI processing</w:t>
            </w:r>
          </w:p>
        </w:tc>
        <w:tc>
          <w:tcPr/>
          <w:p>
            <w:pPr>
              <w:pStyle w:val="Compact"/>
            </w:pPr>
            <w:r>
              <w:rPr>
                <w:lang w:val="en-GB"/>
              </w:rPr>
              <w:t xml:space="preserve">Primary path vLLM open-weights on GPUs mastered in Europe; deactivatable OpenRouter fallback</w:t>
            </w:r>
          </w:p>
        </w:tc>
        <w:tc>
          <w:tcPr/>
          <w:p>
            <w:pPr>
              <w:pStyle w:val="Compact"/>
            </w:pPr>
            <w:r>
              <w:rPr>
                <w:lang w:val="en-GB"/>
              </w:rPr>
              <w:t xml:space="preserve">Local self-hosted model, no outbound flow</w:t>
            </w:r>
          </w:p>
        </w:tc>
      </w:tr>
      <w:tr>
        <w:trPr>
          <w:cantSplit/>
        </w:trPr>
        <w:tc>
          <w:tcPr/>
          <w:p>
            <w:pPr>
              <w:pStyle w:val="Compact"/>
            </w:pPr>
            <w:r>
              <w:rPr>
                <w:lang w:val="en-GB"/>
              </w:rPr>
              <w:t xml:space="preserve">Subprocessors</w:t>
            </w:r>
          </w:p>
        </w:tc>
        <w:tc>
          <w:tcPr/>
          <w:p>
            <w:pPr>
              <w:pStyle w:val="Compact"/>
            </w:pPr>
            <w:r>
              <w:rPr>
                <w:lang w:val="en-GB"/>
              </w:rPr>
              <w:t xml:space="preserve">List in Annex 2 of the DPA</w:t>
            </w:r>
          </w:p>
        </w:tc>
        <w:tc>
          <w:tcPr/>
          <w:p>
            <w:pPr>
              <w:pStyle w:val="Compact"/>
            </w:pPr>
            <w:r>
              <w:rPr>
                <w:lang w:val="en-GB"/>
              </w:rPr>
              <w:t xml:space="preserve">None in isolated variant</w:t>
            </w:r>
          </w:p>
        </w:tc>
      </w:tr>
      <w:tr>
        <w:trPr>
          <w:cantSplit/>
        </w:trPr>
        <w:tc>
          <w:tcPr/>
          <w:p>
            <w:pPr>
              <w:pStyle w:val="Compact"/>
            </w:pPr>
            <w:r>
              <w:rPr>
                <w:lang w:val="en-GB"/>
              </w:rPr>
              <w:t xml:space="preserve">Data access</w:t>
            </w:r>
          </w:p>
        </w:tc>
        <w:tc>
          <w:tcPr/>
          <w:p>
            <w:pPr>
              <w:pStyle w:val="Compact"/>
            </w:pPr>
            <w:r>
              <w:rPr>
                <w:lang w:val="en-GB"/>
              </w:rPr>
              <w:t xml:space="preserve">OHADJA under instruction, for support/maintenance</w:t>
            </w:r>
          </w:p>
        </w:tc>
        <w:tc>
          <w:tcPr/>
          <w:p>
            <w:pPr>
              <w:pStyle w:val="Compact"/>
            </w:pPr>
            <w:r>
              <w:rPr>
                <w:lang w:val="en-GB"/>
              </w:rPr>
              <w:t xml:space="preserve">Customer; OHADJA only upon express authorization</w:t>
            </w:r>
          </w:p>
        </w:tc>
      </w:tr>
    </w:tbl>
    <w:bookmarkEnd w:id="33"/>
    <w:bookmarkStart w:id="34" w:name="Xf9631ba7f091331f4a2e78c4f3c94880a428999"/>
    <w:p>
      <w:pPr>
        <w:pStyle w:val="Heading2"/>
        <w:keepNext/>
        <w:keepLines/>
      </w:pPr>
      <w:r>
        <w:rPr>
          <w:color w:val="000000"/>
          <w:lang w:val="en-GB"/>
        </w:rPr>
        <w:t xml:space="preserve">7. Excluded treatments</w:t>
      </w:r>
    </w:p>
    <w:p>
      <w:pPr>
        <w:pStyle w:val="FirstParagraph"/>
      </w:pPr>
      <w:r>
        <w:rPr>
          <w:lang w:val="en-GB"/>
        </w:rPr>
        <w:t xml:space="preserve">OHADJA does not perform, using your organization's data:</w:t>
      </w:r>
    </w:p>
    <w:p>
      <w:pPr>
        <w:pStyle w:val="Compact"/>
        <w:numPr>
          <w:ilvl w:val="0"/>
          <w:numId w:val="1006"/>
        </w:numPr>
      </w:pPr>
      <w:r>
        <w:rPr>
          <w:lang w:val="en-GB"/>
        </w:rPr>
        <w:t xml:space="preserve">no reuse for its own purposes;</w:t>
      </w:r>
    </w:p>
    <w:p>
      <w:pPr>
        <w:pStyle w:val="Compact"/>
        <w:numPr>
          <w:ilvl w:val="0"/>
          <w:numId w:val="1006"/>
        </w:numPr>
      </w:pPr>
      <w:r>
        <w:rPr>
          <w:lang w:val="en-GB"/>
        </w:rPr>
        <w:t xml:space="preserve">no training of own models;</w:t>
      </w:r>
    </w:p>
    <w:p>
      <w:pPr>
        <w:pStyle w:val="Compact"/>
        <w:numPr>
          <w:ilvl w:val="0"/>
          <w:numId w:val="1006"/>
        </w:numPr>
      </w:pPr>
      <w:r>
        <w:rPr>
          <w:lang w:val="en-GB"/>
        </w:rPr>
        <w:t xml:space="preserve">no creation of a persistent biometric template;</w:t>
      </w:r>
    </w:p>
    <w:p>
      <w:pPr>
        <w:pStyle w:val="Compact"/>
        <w:numPr>
          <w:ilvl w:val="0"/>
          <w:numId w:val="1006"/>
        </w:numPr>
      </w:pPr>
      <w:r>
        <w:rPr>
          <w:lang w:val="en-GB"/>
        </w:rPr>
        <w:t xml:space="preserve">no transfer outside the EEA other than in cases covered by Chapter V of GDPR and described in document TRB-CONF-01.04;</w:t>
      </w:r>
    </w:p>
    <w:p>
      <w:pPr>
        <w:pStyle w:val="Compact"/>
        <w:numPr>
          <w:ilvl w:val="0"/>
          <w:numId w:val="1006"/>
        </w:numPr>
      </w:pPr>
      <w:r>
        <w:rPr>
          <w:lang w:val="en-GB"/>
        </w:rPr>
        <w:t xml:space="preserve">no access to the organizations' content by the distributor Televic.</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34"/>
    <w:bookmarkEnd w:id="35"/>
    <w:bookmarkStart w:id="46" w:name="localisation-des-données--transcribia"/>
    <w:p>
      <w:pPr>
        <w:pStyle w:val="Heading1"/>
        <w:keepNext/>
        <w:keepLines/>
      </w:pPr>
      <w:r>
        <w:rPr>
          <w:color w:val="000000"/>
          <w:lang w:val="en-GB"/>
        </w:rPr>
        <w:t xml:space="preserve">Data localization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TRB-CONF-01.04</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36" w:name="X267f752e79acf07865cbc4b8687b0c9db2807c7"/>
    <w:p>
      <w:pPr>
        <w:pStyle w:val="Heading2"/>
        <w:keepNext/>
        <w:keepLines/>
      </w:pPr>
      <w:r>
        <w:rPr>
          <w:color w:val="000000"/>
          <w:lang w:val="en-GB"/>
        </w:rPr>
        <w:t xml:space="preserve">1. Purpose of the document</w:t>
      </w:r>
    </w:p>
    <w:p>
      <w:pPr>
        <w:pStyle w:val="FirstParagraph"/>
      </w:pPr>
      <w:r>
        <w:rPr>
          <w:lang w:val="en-GB"/>
        </w:rPr>
        <w:t xml:space="preserve">This document specifies, for your data protection contact, IT department and security officer, where each category of data is processed and stored according to the chosen deployment mode. It transparently identifies cases where a flow or processing outside the European Economic Area (EEA) is possible in Option A, and their exclusion in isolated Option B.</w:t>
      </w:r>
    </w:p>
    <w:p>
      <w:pPr>
        <w:pStyle w:val="BodyText"/>
      </w:pPr>
      <w:r>
        <w:rPr>
          <w:lang w:val="en-GB"/>
        </w:rPr>
        <w:t xml:space="preserve">It also specifies the commitment to administer and support the solution exclusively from France or the European Union.</w:t>
      </w:r>
    </w:p>
    <w:bookmarkEnd w:id="36"/>
    <w:bookmarkStart w:id="37" w:name="X4a758c95127776db351213ceac68c95b256677c"/>
    <w:p>
      <w:pPr>
        <w:pStyle w:val="Heading2"/>
        <w:keepNext/>
        <w:keepLines/>
      </w:pPr>
      <w:r>
        <w:rPr>
          <w:color w:val="000000"/>
          <w:lang w:val="en-GB"/>
        </w:rPr>
        <w:t xml:space="preserve">2. General principle</w:t>
      </w:r>
    </w:p>
    <w:p>
      <w:pPr>
        <w:pStyle w:val="Compact"/>
        <w:numPr>
          <w:ilvl w:val="0"/>
          <w:numId w:val="1007"/>
        </w:numPr>
      </w:pPr>
      <w:r>
        <w:rPr>
          <w:b/>
          <w:bCs/>
          <w:lang w:val="en-GB"/>
        </w:rPr>
        <w:t xml:space="preserve">Option A — </w:t>
      </w:r>
      <w:r>
        <w:rPr>
          <w:lang w:val="en-GB"/>
        </w:rPr>
        <w:t xml:space="preserve"/>
      </w:r>
      <w:r>
        <w:rPr>
          <w:lang w:val="en-GB"/>
        </w:rPr>
        <w:t xml:space="preserve">SaaS: production data is hosted in France (Strasbourg datacenter) and encrypted backups are stored in the European Union. The artificial intelligence functions are based by default on GPU servers controlled by OHADJA, hosted in Europe (mainly Strasbourg and Paris), on which no data leaves the EEA. Processing outside the EEA is only possible on a residual basis, if the OpenRouter fallback is requested and not disabled, or for certain GPU transcription resources — see sections 4 and 5.</w:t>
      </w:r>
    </w:p>
    <w:p>
      <w:pPr>
        <w:pStyle w:val="Compact"/>
        <w:numPr>
          <w:ilvl w:val="0"/>
          <w:numId w:val="1007"/>
        </w:numPr>
      </w:pPr>
      <w:r>
        <w:rPr>
          <w:b/>
          <w:bCs/>
          <w:lang w:val="en-GB"/>
        </w:rPr>
        <w:t xml:space="preserve">Option B — Isolated </w:t>
      </w:r>
      <w:r>
        <w:rPr>
          <w:lang w:val="en-GB"/>
        </w:rPr>
        <w:t xml:space="preserve"/>
      </w:r>
      <w:r>
        <w:rPr>
          <w:lang w:val="en-GB"/>
        </w:rPr>
        <w:t xml:space="preserve">on-premise: all components (application, database, GPU transcription worker, self-hosted AI model) run in the customer's infrastructure. No outgoing flow is required for nominal operation; no transfer outside the EEA takes place.</w:t>
      </w:r>
    </w:p>
    <w:p>
      <w:pPr>
        <w:pStyle w:val="FirstParagraph"/>
      </w:pPr>
      <w:r>
        <w:rPr>
          <w:lang w:val="en-GB"/>
        </w:rPr>
        <w:t xml:space="preserve">A </w:t>
      </w:r>
      <w:r>
        <w:rPr>
          <w:lang w:val="en-GB"/>
        </w:rPr>
        <w:t xml:space="preserve"/>
      </w:r>
      <w:r>
        <w:rPr>
          <w:b/>
          <w:bCs/>
          <w:lang w:val="en-GB"/>
        </w:rPr>
        <w:t xml:space="preserve">“strict EU” profile </w:t>
      </w:r>
      <w:r>
        <w:rPr>
          <w:lang w:val="en-GB"/>
        </w:rPr>
        <w:t xml:space="preserve"/>
      </w:r>
      <w:r>
        <w:rPr>
          <w:lang w:val="en-GB"/>
        </w:rPr>
        <w:t xml:space="preserve">is configurable per organization since version 1.7.0: it restricts AI processing to models hosted in the EU or self-hosted and selects GPU resources in the EU. This profile allows, in Option A, to exclude processing outside the EEA.</w:t>
      </w:r>
    </w:p>
    <w:bookmarkEnd w:id="37"/>
    <w:bookmarkStart w:id="38" w:name="X96da756acd02bde6da646a8600b582f53862e83"/>
    <w:p>
      <w:pPr>
        <w:pStyle w:val="Heading2"/>
        <w:keepNext/>
        <w:keepLines/>
      </w:pPr>
      <w:r>
        <w:rPr>
          <w:color w:val="000000"/>
          <w:lang w:val="en-GB"/>
        </w:rPr>
        <w:t xml:space="preserve">3. Location by data category and deployment mode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Data Category</w:t>
            </w:r>
          </w:p>
        </w:tc>
        <w:tc>
          <w:tcPr>
            <w:tcW w:type="dxa" w:w="2340"/>
            <w:tcMar>
              <w:left w:type="dxa" w:w="80"/>
              <w:right w:type="dxa" w:w="80"/>
            </w:tcMar>
          </w:tcPr>
          <w:p>
            <w:pPr>
              <w:pStyle w:val="Compact"/>
            </w:pPr>
            <w:r>
              <w:rPr>
                <w:sz w:val="19"/>
                <w:szCs w:val="19"/>
                <w:lang w:val="en-GB"/>
              </w:rPr>
              <w:t xml:space="preserve">Option A — SaaS (default)</w:t>
            </w:r>
          </w:p>
        </w:tc>
        <w:tc>
          <w:tcPr>
            <w:tcW w:type="dxa" w:w="2340"/>
            <w:tcMar>
              <w:left w:type="dxa" w:w="80"/>
              <w:right w:type="dxa" w:w="80"/>
            </w:tcMar>
          </w:tcPr>
          <w:p>
            <w:pPr>
              <w:pStyle w:val="Compact"/>
            </w:pPr>
            <w:r>
              <w:rPr>
                <w:sz w:val="19"/>
                <w:szCs w:val="19"/>
                <w:lang w:val="en-GB"/>
              </w:rPr>
              <w:t xml:space="preserve">Option A — “strict EU” profile</w:t>
            </w:r>
          </w:p>
        </w:tc>
        <w:tc>
          <w:tcPr>
            <w:tcW w:type="dxa" w:w="2340"/>
            <w:tcMar>
              <w:left w:type="dxa" w:w="80"/>
              <w:right w:type="dxa" w:w="80"/>
            </w:tcMar>
          </w:tcPr>
          <w:p>
            <w:pPr>
              <w:pStyle w:val="Compact"/>
            </w:pPr>
            <w:r>
              <w:rPr>
                <w:sz w:val="19"/>
                <w:szCs w:val="19"/>
                <w:lang w:val="en-GB"/>
              </w:rPr>
              <w:t xml:space="preserve">Option B — isolated on-premises</w:t>
            </w:r>
          </w:p>
        </w:tc>
      </w:tr>
      <w:tr>
        <w:trPr>
          <w:cantSplit/>
        </w:trPr>
        <w:tc>
          <w:tcPr>
            <w:tcW w:type="dxa" w:w="2340"/>
            <w:tcMar>
              <w:left w:type="dxa" w:w="80"/>
              <w:right w:type="dxa" w:w="80"/>
            </w:tcMar>
          </w:tcPr>
          <w:p>
            <w:pPr>
              <w:pStyle w:val="Compact"/>
            </w:pPr>
            <w:r>
              <w:rPr>
                <w:sz w:val="19"/>
                <w:szCs w:val="19"/>
                <w:lang w:val="en-GB"/>
              </w:rPr>
              <w:t xml:space="preserve">Audio and video files</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Customer infrastructure</w:t>
            </w:r>
          </w:p>
        </w:tc>
      </w:tr>
      <w:tr>
        <w:trPr>
          <w:cantSplit/>
        </w:trPr>
        <w:tc>
          <w:tcPr>
            <w:tcW w:type="dxa" w:w="2340"/>
            <w:tcMar>
              <w:left w:type="dxa" w:w="80"/>
              <w:right w:type="dxa" w:w="80"/>
            </w:tcMar>
          </w:tcPr>
          <w:p>
            <w:pPr>
              <w:pStyle w:val="Compact"/>
            </w:pPr>
            <w:r>
              <w:rPr>
                <w:sz w:val="19"/>
                <w:szCs w:val="19"/>
                <w:lang w:val="en-GB"/>
              </w:rPr>
              <w:t xml:space="preserve">Transcriptions and versions</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Customer infrastructure</w:t>
            </w:r>
          </w:p>
        </w:tc>
      </w:tr>
      <w:tr>
        <w:trPr>
          <w:cantSplit/>
        </w:trPr>
        <w:tc>
          <w:tcPr>
            <w:tcW w:type="dxa" w:w="2340"/>
            <w:tcMar>
              <w:left w:type="dxa" w:w="80"/>
              <w:right w:type="dxa" w:w="80"/>
            </w:tcMar>
          </w:tcPr>
          <w:p>
            <w:pPr>
              <w:pStyle w:val="Compact"/>
            </w:pPr>
            <w:r>
              <w:rPr>
                <w:sz w:val="19"/>
                <w:szCs w:val="19"/>
                <w:lang w:val="en-GB"/>
              </w:rPr>
              <w:t xml:space="preserve">Preparatory documents</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Customer infrastructure</w:t>
            </w:r>
          </w:p>
        </w:tc>
      </w:tr>
      <w:tr>
        <w:trPr>
          <w:cantSplit/>
        </w:trPr>
        <w:tc>
          <w:tcPr>
            <w:tcW w:type="dxa" w:w="2340"/>
            <w:tcMar>
              <w:left w:type="dxa" w:w="80"/>
              <w:right w:type="dxa" w:w="80"/>
            </w:tcMar>
          </w:tcPr>
          <w:p>
            <w:pPr>
              <w:pStyle w:val="Compact"/>
            </w:pPr>
            <w:r>
              <w:rPr>
                <w:sz w:val="19"/>
                <w:szCs w:val="19"/>
                <w:lang w:val="en-GB"/>
              </w:rPr>
              <w:t xml:space="preserve">Session metadata</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Customer infrastructure</w:t>
            </w:r>
          </w:p>
        </w:tc>
      </w:tr>
      <w:tr>
        <w:trPr>
          <w:cantSplit/>
        </w:trPr>
        <w:tc>
          <w:tcPr>
            <w:tcW w:type="dxa" w:w="2340"/>
            <w:tcMar>
              <w:left w:type="dxa" w:w="80"/>
              <w:right w:type="dxa" w:w="80"/>
            </w:tcMar>
          </w:tcPr>
          <w:p>
            <w:pPr>
              <w:pStyle w:val="Compact"/>
            </w:pPr>
            <w:r>
              <w:rPr>
                <w:sz w:val="19"/>
                <w:szCs w:val="19"/>
                <w:lang w:val="en-GB"/>
              </w:rPr>
              <w:t xml:space="preserve">User accounts</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Customer infrastructure</w:t>
            </w:r>
          </w:p>
        </w:tc>
      </w:tr>
      <w:tr>
        <w:trPr>
          <w:cantSplit/>
        </w:trPr>
        <w:tc>
          <w:tcPr>
            <w:tcW w:type="dxa" w:w="2340"/>
            <w:tcMar>
              <w:left w:type="dxa" w:w="80"/>
              <w:right w:type="dxa" w:w="80"/>
            </w:tcMar>
          </w:tcPr>
          <w:p>
            <w:pPr>
              <w:pStyle w:val="Compact"/>
            </w:pPr>
            <w:r>
              <w:rPr>
                <w:sz w:val="19"/>
                <w:szCs w:val="19"/>
                <w:lang w:val="en-GB"/>
              </w:rPr>
              <w:t xml:space="preserve">Audit logs and technical traces</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France (Strasbourg)</w:t>
            </w:r>
          </w:p>
        </w:tc>
        <w:tc>
          <w:tcPr>
            <w:tcW w:type="dxa" w:w="2340"/>
            <w:tcMar>
              <w:left w:type="dxa" w:w="80"/>
              <w:right w:type="dxa" w:w="80"/>
            </w:tcMar>
          </w:tcPr>
          <w:p>
            <w:pPr>
              <w:pStyle w:val="Compact"/>
            </w:pPr>
            <w:r>
              <w:rPr>
                <w:sz w:val="19"/>
                <w:szCs w:val="19"/>
                <w:lang w:val="en-GB"/>
              </w:rPr>
              <w:t xml:space="preserve">Customer infrastructure</w:t>
            </w:r>
          </w:p>
        </w:tc>
      </w:tr>
      <w:tr>
        <w:trPr>
          <w:cantSplit/>
        </w:trPr>
        <w:tc>
          <w:tcPr>
            <w:tcW w:type="dxa" w:w="2340"/>
            <w:tcMar>
              <w:left w:type="dxa" w:w="80"/>
              <w:right w:type="dxa" w:w="80"/>
            </w:tcMar>
          </w:tcPr>
          <w:p>
            <w:pPr>
              <w:pStyle w:val="Compact"/>
            </w:pPr>
            <w:r>
              <w:rPr>
                <w:sz w:val="19"/>
                <w:szCs w:val="19"/>
                <w:lang w:val="en-GB"/>
              </w:rPr>
              <w:t xml:space="preserve">Backups (encrypted before outsourcing)</w:t>
            </w:r>
          </w:p>
        </w:tc>
        <w:tc>
          <w:tcPr>
            <w:tcW w:type="dxa" w:w="2340"/>
            <w:tcMar>
              <w:left w:type="dxa" w:w="80"/>
              <w:right w:type="dxa" w:w="80"/>
            </w:tcMar>
          </w:tcPr>
          <w:p>
            <w:pPr>
              <w:pStyle w:val="Compact"/>
            </w:pPr>
            <w:r>
              <w:rPr>
                <w:sz w:val="19"/>
                <w:szCs w:val="19"/>
                <w:lang w:val="en-GB"/>
              </w:rPr>
              <w:t xml:space="preserve">France (Scaleway)</w:t>
            </w:r>
          </w:p>
        </w:tc>
        <w:tc>
          <w:tcPr>
            <w:tcW w:type="dxa" w:w="2340"/>
            <w:tcMar>
              <w:left w:type="dxa" w:w="80"/>
              <w:right w:type="dxa" w:w="80"/>
            </w:tcMar>
          </w:tcPr>
          <w:p>
            <w:pPr>
              <w:pStyle w:val="Compact"/>
            </w:pPr>
            <w:r>
              <w:rPr>
                <w:sz w:val="19"/>
                <w:szCs w:val="19"/>
                <w:lang w:val="en-GB"/>
              </w:rPr>
              <w:t xml:space="preserve">France (Scaleway)</w:t>
            </w:r>
          </w:p>
        </w:tc>
        <w:tc>
          <w:tcPr>
            <w:tcW w:type="dxa" w:w="2340"/>
            <w:tcMar>
              <w:left w:type="dxa" w:w="80"/>
              <w:right w:type="dxa" w:w="80"/>
            </w:tcMar>
          </w:tcPr>
          <w:p>
            <w:pPr>
              <w:pStyle w:val="Compact"/>
            </w:pPr>
            <w:r>
              <w:rPr>
                <w:sz w:val="19"/>
                <w:szCs w:val="19"/>
                <w:lang w:val="en-GB"/>
              </w:rPr>
              <w:t xml:space="preserve">At the customer's expense</w:t>
            </w:r>
          </w:p>
        </w:tc>
      </w:tr>
      <w:tr>
        <w:trPr>
          <w:cantSplit/>
        </w:trPr>
        <w:tc>
          <w:tcPr>
            <w:tcW w:type="dxa" w:w="2340"/>
            <w:tcMar>
              <w:left w:type="dxa" w:w="80"/>
              <w:right w:type="dxa" w:w="80"/>
            </w:tcMar>
          </w:tcPr>
          <w:p>
            <w:pPr>
              <w:pStyle w:val="Compact"/>
            </w:pPr>
            <w:r>
              <w:rPr>
                <w:sz w:val="19"/>
                <w:szCs w:val="19"/>
                <w:lang w:val="en-GB"/>
              </w:rPr>
              <w:t xml:space="preserve">Transcription processing (GPU)</w:t>
            </w:r>
          </w:p>
        </w:tc>
        <w:tc>
          <w:tcPr>
            <w:tcW w:type="dxa" w:w="2340"/>
            <w:tcMar>
              <w:left w:type="dxa" w:w="80"/>
              <w:right w:type="dxa" w:w="80"/>
            </w:tcMar>
          </w:tcPr>
          <w:p>
            <w:pPr>
              <w:pStyle w:val="Compact"/>
            </w:pPr>
            <w:r>
              <w:rPr>
                <w:sz w:val="19"/>
                <w:szCs w:val="19"/>
                <w:lang w:val="en-GB"/>
              </w:rPr>
              <w:t xml:space="preserve">Dedicated GPU; EU resource when required; </w:t>
            </w:r>
            <w:r>
              <w:rPr>
                <w:sz w:val="19"/>
                <w:szCs w:val="19"/>
                <w:lang w:val="en-GB"/>
              </w:rPr>
              <w:t xml:space="preserve"/>
            </w:r>
            <w:r>
              <w:rPr>
                <w:b/>
                <w:bCs/>
                <w:sz w:val="19"/>
                <w:szCs w:val="19"/>
                <w:lang w:val="en-GB"/>
              </w:rPr>
              <w:t xml:space="preserve">outside EEA possible </w:t>
            </w:r>
            <w:r>
              <w:rPr>
                <w:sz w:val="19"/>
                <w:szCs w:val="19"/>
                <w:lang w:val="en-GB"/>
              </w:rPr>
              <w:t xml:space="preserve"/>
            </w:r>
            <w:r>
              <w:rPr>
                <w:sz w:val="19"/>
                <w:szCs w:val="19"/>
                <w:lang w:val="en-GB"/>
              </w:rPr>
              <w:t xml:space="preserve">via marketplace if not restricted</w:t>
            </w:r>
          </w:p>
        </w:tc>
        <w:tc>
          <w:tcPr>
            <w:tcW w:type="dxa" w:w="2340"/>
            <w:tcMar>
              <w:left w:type="dxa" w:w="80"/>
              <w:right w:type="dxa" w:w="80"/>
            </w:tcMar>
          </w:tcPr>
          <w:p>
            <w:pPr>
              <w:pStyle w:val="Compact"/>
            </w:pPr>
            <w:r>
              <w:rPr>
                <w:sz w:val="19"/>
                <w:szCs w:val="19"/>
                <w:lang w:val="en-GB"/>
              </w:rPr>
              <w:t xml:space="preserve">EU only</w:t>
            </w:r>
          </w:p>
        </w:tc>
        <w:tc>
          <w:tcPr>
            <w:tcW w:type="dxa" w:w="2340"/>
            <w:tcMar>
              <w:left w:type="dxa" w:w="80"/>
              <w:right w:type="dxa" w:w="80"/>
            </w:tcMar>
          </w:tcPr>
          <w:p>
            <w:pPr>
              <w:pStyle w:val="Compact"/>
            </w:pPr>
            <w:r>
              <w:rPr>
                <w:sz w:val="19"/>
                <w:szCs w:val="19"/>
                <w:lang w:val="en-GB"/>
              </w:rPr>
              <w:t xml:space="preserve">Client local GPU worker</w:t>
            </w:r>
          </w:p>
        </w:tc>
      </w:tr>
      <w:tr>
        <w:trPr>
          <w:cantSplit/>
        </w:trPr>
        <w:tc>
          <w:tcPr>
            <w:tcW w:type="dxa" w:w="2340"/>
            <w:tcMar>
              <w:left w:type="dxa" w:w="80"/>
              <w:right w:type="dxa" w:w="80"/>
            </w:tcMar>
          </w:tcPr>
          <w:p>
            <w:pPr>
              <w:pStyle w:val="Compact"/>
            </w:pPr>
            <w:r>
              <w:rPr>
                <w:sz w:val="19"/>
                <w:szCs w:val="19"/>
                <w:lang w:val="en-GB"/>
              </w:rPr>
              <w:t xml:space="preserve">AI treatment (LLM) — primary pathway</w:t>
            </w:r>
          </w:p>
        </w:tc>
        <w:tc>
          <w:tcPr>
            <w:tcW w:type="dxa" w:w="2340"/>
            <w:tcMar>
              <w:left w:type="dxa" w:w="80"/>
              <w:right w:type="dxa" w:w="80"/>
            </w:tcMar>
          </w:tcPr>
          <w:p>
            <w:pPr>
              <w:pStyle w:val="Compact"/>
            </w:pPr>
            <w:r>
              <w:rPr>
                <w:sz w:val="19"/>
                <w:szCs w:val="19"/>
                <w:lang w:val="en-GB"/>
              </w:rPr>
              <w:t xml:space="preserve">vLLM open-weights on GPUs mastered in Europe (Strasbourg / Paris); no data outside the EEA</w:t>
            </w:r>
          </w:p>
        </w:tc>
        <w:tc>
          <w:tcPr>
            <w:tcW w:type="dxa" w:w="2340"/>
            <w:tcMar>
              <w:left w:type="dxa" w:w="80"/>
              <w:right w:type="dxa" w:w="80"/>
            </w:tcMar>
          </w:tcPr>
          <w:p>
            <w:pPr>
              <w:pStyle w:val="Compact"/>
            </w:pPr>
            <w:r>
              <w:rPr>
                <w:sz w:val="19"/>
                <w:szCs w:val="19"/>
                <w:lang w:val="en-GB"/>
              </w:rPr>
              <w:t xml:space="preserve">EU vLLM or self-hosted model; no data outside the EEA</w:t>
            </w:r>
          </w:p>
        </w:tc>
        <w:tc>
          <w:tcPr>
            <w:tcW w:type="dxa" w:w="2340"/>
            <w:tcMar>
              <w:left w:type="dxa" w:w="80"/>
              <w:right w:type="dxa" w:w="80"/>
            </w:tcMar>
          </w:tcPr>
          <w:p>
            <w:pPr>
              <w:pStyle w:val="Compact"/>
            </w:pPr>
            <w:r>
              <w:rPr>
                <w:sz w:val="19"/>
                <w:szCs w:val="19"/>
                <w:lang w:val="en-GB"/>
              </w:rPr>
              <w:t xml:space="preserve">Local self-hosted model; no outgoing flow</w:t>
            </w:r>
          </w:p>
        </w:tc>
      </w:tr>
      <w:tr>
        <w:trPr>
          <w:cantSplit/>
        </w:trPr>
        <w:tc>
          <w:tcPr>
            <w:tcW w:type="dxa" w:w="2340"/>
            <w:tcMar>
              <w:left w:type="dxa" w:w="80"/>
              <w:right w:type="dxa" w:w="80"/>
            </w:tcMar>
          </w:tcPr>
          <w:p>
            <w:pPr>
              <w:pStyle w:val="Compact"/>
            </w:pPr>
            <w:r>
              <w:rPr>
                <w:sz w:val="19"/>
                <w:szCs w:val="19"/>
                <w:lang w:val="en-GB"/>
              </w:rPr>
              <w:t xml:space="preserve">AI treatment (LLM) — relief</w:t>
            </w:r>
          </w:p>
        </w:tc>
        <w:tc>
          <w:tcPr>
            <w:tcW w:type="dxa" w:w="2340"/>
            <w:tcMar>
              <w:left w:type="dxa" w:w="80"/>
              <w:right w:type="dxa" w:w="80"/>
            </w:tcMar>
          </w:tcPr>
          <w:p>
            <w:pPr>
              <w:pStyle w:val="Compact"/>
            </w:pPr>
            <w:r>
              <w:rPr>
                <w:sz w:val="19"/>
                <w:szCs w:val="19"/>
                <w:lang w:val="en-GB"/>
              </w:rPr>
              <w:t xml:space="preserve">OpenRouter (Claude, GPT, </w:t>
            </w:r>
            <w:r>
              <w:rPr>
                <w:sz w:val="19"/>
                <w:szCs w:val="19"/>
                <w:lang w:val="en-GB"/>
              </w:rPr>
              <w:t xml:space="preserve">etc.), </w:t>
            </w:r>
            <w:r>
              <w:rPr>
                <w:b/>
                <w:bCs/>
                <w:sz w:val="19"/>
                <w:szCs w:val="19"/>
                <w:lang w:val="en-GB"/>
              </w:rPr>
              <w:t xml:space="preserve">outside the EEA </w:t>
            </w:r>
            <w:r>
              <w:rPr>
                <w:sz w:val="19"/>
                <w:szCs w:val="19"/>
                <w:lang w:val="en-GB"/>
              </w:rPr>
              <w:t xml:space="preserve">possible, only requested if the primary route is unavailable and not deactivated</w:t>
            </w:r>
          </w:p>
        </w:tc>
        <w:tc>
          <w:tcPr>
            <w:tcW w:type="dxa" w:w="2340"/>
            <w:tcMar>
              <w:left w:type="dxa" w:w="80"/>
              <w:right w:type="dxa" w:w="80"/>
            </w:tcMar>
          </w:tcPr>
          <w:p>
            <w:pPr>
              <w:pStyle w:val="Compact"/>
            </w:pPr>
            <w:r>
              <w:rPr>
                <w:sz w:val="19"/>
                <w:szCs w:val="19"/>
                <w:lang w:val="en-GB"/>
              </w:rPr>
              <w:t xml:space="preserve">Emergency disabled</w:t>
            </w:r>
          </w:p>
        </w:tc>
        <w:tc>
          <w:tcPr>
            <w:tcW w:type="dxa" w:w="2340"/>
            <w:tcMar>
              <w:left w:type="dxa" w:w="80"/>
              <w:right w:type="dxa" w:w="80"/>
            </w:tcMar>
          </w:tcPr>
          <w:p>
            <w:pPr>
              <w:pStyle w:val="Compact"/>
            </w:pPr>
            <w:r>
              <w:rPr>
                <w:sz w:val="19"/>
                <w:szCs w:val="19"/>
                <w:lang w:val="en-GB"/>
              </w:rPr>
              <w:t xml:space="preserve">Not applicable (no external help)</w:t>
            </w:r>
          </w:p>
        </w:tc>
      </w:tr>
      <w:tr>
        <w:trPr>
          <w:cantSplit/>
        </w:trPr>
        <w:tc>
          <w:tcPr>
            <w:tcW w:type="dxa" w:w="2340"/>
            <w:tcMar>
              <w:left w:type="dxa" w:w="80"/>
              <w:right w:type="dxa" w:w="80"/>
            </w:tcMar>
          </w:tcPr>
          <w:p>
            <w:pPr>
              <w:pStyle w:val="Compact"/>
            </w:pPr>
            <w:r>
              <w:rPr>
                <w:sz w:val="19"/>
                <w:szCs w:val="19"/>
                <w:lang w:val="en-GB"/>
              </w:rPr>
              <w:t xml:space="preserve">Temporary speech representations (speech correlation)</w:t>
            </w:r>
          </w:p>
        </w:tc>
        <w:tc>
          <w:tcPr>
            <w:tcW w:type="dxa" w:w="2340"/>
            <w:tcMar>
              <w:left w:type="dxa" w:w="80"/>
              <w:right w:type="dxa" w:w="80"/>
            </w:tcMar>
          </w:tcPr>
          <w:p>
            <w:pPr>
              <w:pStyle w:val="Compact"/>
            </w:pPr>
            <w:r>
              <w:rPr>
                <w:sz w:val="19"/>
                <w:szCs w:val="19"/>
                <w:lang w:val="en-GB"/>
              </w:rPr>
              <w:t xml:space="preserve">Ephemeral, in RAM, destroyed at the end of the request; EU resource when required</w:t>
            </w:r>
          </w:p>
        </w:tc>
        <w:tc>
          <w:tcPr>
            <w:tcW w:type="dxa" w:w="2340"/>
            <w:tcMar>
              <w:left w:type="dxa" w:w="80"/>
              <w:right w:type="dxa" w:w="80"/>
            </w:tcMar>
          </w:tcPr>
          <w:p>
            <w:pPr>
              <w:pStyle w:val="Compact"/>
            </w:pPr>
            <w:r>
              <w:rPr>
                <w:sz w:val="19"/>
                <w:szCs w:val="19"/>
                <w:lang w:val="en-GB"/>
              </w:rPr>
              <w:t xml:space="preserve">Ephemeral, RAM, EU</w:t>
            </w:r>
          </w:p>
        </w:tc>
        <w:tc>
          <w:tcPr>
            <w:tcW w:type="dxa" w:w="2340"/>
            <w:tcMar>
              <w:left w:type="dxa" w:w="80"/>
              <w:right w:type="dxa" w:w="80"/>
            </w:tcMar>
          </w:tcPr>
          <w:p>
            <w:pPr>
              <w:pStyle w:val="Compact"/>
            </w:pPr>
            <w:r>
              <w:rPr>
                <w:sz w:val="19"/>
                <w:szCs w:val="19"/>
                <w:lang w:val="en-GB"/>
              </w:rPr>
              <w:t xml:space="preserve">Ephemeral, in-memory, client infrastructure</w:t>
            </w:r>
          </w:p>
        </w:tc>
      </w:tr>
      <w:tr>
        <w:trPr>
          <w:cantSplit/>
        </w:trPr>
        <w:tc>
          <w:tcPr>
            <w:tcW w:type="dxa" w:w="2340"/>
            <w:tcMar>
              <w:left w:type="dxa" w:w="80"/>
              <w:right w:type="dxa" w:w="80"/>
            </w:tcMar>
          </w:tcPr>
          <w:p>
            <w:pPr>
              <w:pStyle w:val="Compact"/>
            </w:pPr>
            <w:r>
              <w:rPr>
                <w:sz w:val="19"/>
                <w:szCs w:val="19"/>
                <w:lang w:val="en-GB"/>
              </w:rPr>
              <w:t xml:space="preserve">Transactional emails (if enabled)</w:t>
            </w:r>
          </w:p>
        </w:tc>
        <w:tc>
          <w:tcPr>
            <w:tcW w:type="dxa" w:w="2340"/>
            <w:tcMar>
              <w:left w:type="dxa" w:w="80"/>
              <w:right w:type="dxa" w:w="80"/>
            </w:tcMar>
          </w:tcPr>
          <w:p>
            <w:pPr>
              <w:pStyle w:val="Compact"/>
            </w:pPr>
            <w:r>
              <w:rPr>
                <w:sz w:val="19"/>
                <w:szCs w:val="19"/>
                <w:lang w:val="en-GB"/>
              </w:rPr>
              <w:t xml:space="preserve">UE when configured</w:t>
            </w:r>
          </w:p>
        </w:tc>
        <w:tc>
          <w:tcPr>
            <w:tcW w:type="dxa" w:w="2340"/>
            <w:tcMar>
              <w:left w:type="dxa" w:w="80"/>
              <w:right w:type="dxa" w:w="80"/>
            </w:tcMar>
          </w:tcPr>
          <w:p>
            <w:pPr>
              <w:pStyle w:val="Compact"/>
            </w:pPr>
            <w:r>
              <w:rPr>
                <w:sz w:val="19"/>
                <w:szCs w:val="19"/>
                <w:lang w:val="en-GB"/>
              </w:rPr>
              <w:t xml:space="preserve">EU</w:t>
            </w:r>
          </w:p>
        </w:tc>
        <w:tc>
          <w:tcPr>
            <w:tcW w:type="dxa" w:w="2340"/>
            <w:tcMar>
              <w:left w:type="dxa" w:w="80"/>
              <w:right w:type="dxa" w:w="80"/>
            </w:tcMar>
          </w:tcPr>
          <w:p>
            <w:pPr>
              <w:pStyle w:val="Compact"/>
            </w:pPr>
            <w:r>
              <w:rPr>
                <w:sz w:val="19"/>
                <w:szCs w:val="19"/>
                <w:lang w:val="en-GB"/>
              </w:rPr>
              <w:t xml:space="preserve">According to customer configuration</w:t>
            </w:r>
          </w:p>
        </w:tc>
      </w:tr>
    </w:tbl>
    <w:p>
      <w:pPr>
        <w:pStyle w:val="BodyText"/>
      </w:pPr>
      <w:r>
        <w:rPr>
          <w:lang w:val="en-GB"/>
        </w:rPr>
        <w:t xml:space="preserve">Note: backups are encrypted with age (X25519 + ChaCha20-Poly1305) </w:t>
      </w:r>
      <w:r>
        <w:rPr>
          <w:lang w:val="en-GB"/>
        </w:rPr>
        <w:t xml:space="preserve"/>
      </w:r>
      <w:r>
        <w:rPr>
          <w:b/>
          <w:bCs/>
          <w:lang w:val="en-GB"/>
        </w:rPr>
        <w:t xml:space="preserve"/>
      </w:r>
      <w:r>
        <w:rPr>
          <w:lang w:val="en-GB"/>
        </w:rPr>
        <w:t xml:space="preserve"/>
      </w:r>
      <w:r>
        <w:rPr>
          <w:lang w:val="en-GB"/>
        </w:rPr>
        <w:t xml:space="preserve">before any outsourcing; decryption keys are held by OHADJA. The backup storage host therefore only has access to encrypted data.</w:t>
      </w:r>
    </w:p>
    <w:bookmarkEnd w:id="38"/>
    <w:bookmarkStart w:id="39" w:name="Xf11282247053c32d741cabaa3f1d559af0fa28a"/>
    <w:p>
      <w:pPr>
        <w:pStyle w:val="Heading2"/>
        <w:keepNext/>
        <w:keepLines/>
      </w:pPr>
      <w:r>
        <w:rPr>
          <w:color w:val="000000"/>
          <w:lang w:val="en-GB"/>
        </w:rPr>
        <w:t xml:space="preserve">4. Production infrastructure (Option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Host</w:t>
            </w:r>
          </w:p>
        </w:tc>
        <w:tc>
          <w:tcPr/>
          <w:p>
            <w:pPr>
              <w:pStyle w:val="Compact"/>
            </w:pPr>
            <w:r>
              <w:rPr>
                <w:lang w:val="en-GB"/>
              </w:rPr>
              <w:t xml:space="preserve">Hostinger (EU operations)</w:t>
            </w:r>
          </w:p>
        </w:tc>
      </w:tr>
      <w:tr>
        <w:trPr>
          <w:cantSplit/>
        </w:trPr>
        <w:tc>
          <w:tcPr/>
          <w:p>
            <w:pPr>
              <w:pStyle w:val="Compact"/>
            </w:pPr>
            <w:r>
              <w:rPr>
                <w:lang w:val="en-GB"/>
              </w:rPr>
              <w:t xml:space="preserve">Location of the production server</w:t>
            </w:r>
          </w:p>
        </w:tc>
        <w:tc>
          <w:tcPr/>
          <w:p>
            <w:pPr>
              <w:pStyle w:val="Compact"/>
            </w:pPr>
            <w:r>
              <w:rPr>
                <w:lang w:val="en-GB"/>
              </w:rPr>
              <w:t xml:space="preserve">Datacenter in Strasbourg, France</w:t>
            </w:r>
          </w:p>
        </w:tc>
      </w:tr>
      <w:tr>
        <w:trPr>
          <w:cantSplit/>
        </w:trPr>
        <w:tc>
          <w:tcPr/>
          <w:p>
            <w:pPr>
              <w:pStyle w:val="Compact"/>
            </w:pPr>
            <w:r>
              <w:rPr>
                <w:lang w:val="en-GB"/>
              </w:rPr>
              <w:t xml:space="preserve">Primary storage</w:t>
            </w:r>
          </w:p>
        </w:tc>
        <w:tc>
          <w:tcPr/>
          <w:p>
            <w:pPr>
              <w:pStyle w:val="Compact"/>
            </w:pPr>
            <w:r>
              <w:rPr>
                <w:lang w:val="en-GB"/>
              </w:rPr>
              <w:t xml:space="preserve">Local NVMe disk, France server</w:t>
            </w:r>
          </w:p>
        </w:tc>
      </w:tr>
      <w:tr>
        <w:trPr>
          <w:cantSplit/>
        </w:trPr>
        <w:tc>
          <w:tcPr/>
          <w:p>
            <w:pPr>
              <w:pStyle w:val="Compact"/>
            </w:pPr>
            <w:r>
              <w:rPr>
                <w:lang w:val="en-GB"/>
              </w:rPr>
              <w:t xml:space="preserve">Storage of backups</w:t>
            </w:r>
          </w:p>
        </w:tc>
        <w:tc>
          <w:tcPr/>
          <w:p>
            <w:pPr>
              <w:pStyle w:val="Compact"/>
            </w:pPr>
            <w:r>
              <w:rPr>
                <w:lang w:val="en-GB"/>
              </w:rPr>
              <w:t xml:space="preserve">France (Scaleway)</w:t>
            </w:r>
          </w:p>
        </w:tc>
      </w:tr>
      <w:tr>
        <w:trPr>
          <w:cantSplit/>
        </w:trPr>
        <w:tc>
          <w:tcPr/>
          <w:p>
            <w:pPr>
              <w:pStyle w:val="Compact"/>
            </w:pPr>
            <w:r>
              <w:rPr>
                <w:lang w:val="en-GB"/>
              </w:rPr>
              <w:t xml:space="preserve">Backup encryption</w:t>
            </w:r>
          </w:p>
        </w:tc>
        <w:tc>
          <w:tcPr/>
          <w:p>
            <w:pPr>
              <w:pStyle w:val="Compact"/>
            </w:pPr>
            <w:r>
              <w:rPr>
                <w:lang w:val="en-GB"/>
              </w:rPr>
              <w:t xml:space="preserve">age (X25519 + ChaCha20-Poly1305), before outsourcing</w:t>
            </w:r>
          </w:p>
        </w:tc>
      </w:tr>
      <w:tr>
        <w:trPr>
          <w:cantSplit/>
        </w:trPr>
        <w:tc>
          <w:tcPr/>
          <w:p>
            <w:pPr>
              <w:pStyle w:val="Compact"/>
            </w:pPr>
            <w:r>
              <w:rPr>
                <w:lang w:val="en-GB"/>
              </w:rPr>
              <w:t xml:space="preserve">System disk encryption</w:t>
            </w:r>
          </w:p>
        </w:tc>
        <w:tc>
          <w:tcPr/>
          <w:p>
            <w:pPr>
              <w:pStyle w:val="Compact"/>
            </w:pPr>
            <w:r>
              <w:rPr>
                <w:lang w:val="en-GB"/>
              </w:rPr>
              <w:t xml:space="preserve">Depending on the data center's offer; planned upgrade (LUKS/gocryptfs)</w:t>
            </w:r>
          </w:p>
        </w:tc>
      </w:tr>
      <w:tr>
        <w:trPr>
          <w:cantSplit/>
        </w:trPr>
        <w:tc>
          <w:tcPr/>
          <w:p>
            <w:pPr>
              <w:pStyle w:val="Compact"/>
            </w:pPr>
            <w:r>
              <w:rPr>
                <w:lang w:val="en-GB"/>
              </w:rPr>
              <w:t xml:space="preserve">AI inference servers (primary path)</w:t>
            </w:r>
          </w:p>
        </w:tc>
        <w:tc>
          <w:tcPr/>
          <w:p>
            <w:pPr>
              <w:pStyle w:val="Compact"/>
            </w:pPr>
            <w:r>
              <w:rPr>
                <w:lang w:val="en-GB"/>
              </w:rPr>
              <w:t xml:space="preserve">GPUs mastered by OHADJA, hosted in Europe (mainly Strasbourg and Paris), running vLLM with open-weights models</w:t>
            </w:r>
          </w:p>
        </w:tc>
      </w:tr>
      <w:tr>
        <w:trPr>
          <w:cantSplit/>
        </w:trPr>
        <w:tc>
          <w:tcPr/>
          <w:p>
            <w:pPr>
              <w:pStyle w:val="Compact"/>
            </w:pPr>
            <w:r>
              <w:rPr>
                <w:lang w:val="en-GB"/>
              </w:rPr>
              <w:t xml:space="preserve">Physical access to the data center</w:t>
            </w:r>
          </w:p>
        </w:tc>
        <w:tc>
          <w:tcPr/>
          <w:p>
            <w:pPr>
              <w:pStyle w:val="Compact"/>
            </w:pPr>
            <w:r>
              <w:rPr>
                <w:lang w:val="en-GB"/>
              </w:rPr>
              <w:t xml:space="preserve">Hostinger; no human access to application data</w:t>
            </w:r>
          </w:p>
        </w:tc>
      </w:tr>
    </w:tbl>
    <w:bookmarkEnd w:id="39"/>
    <w:bookmarkStart w:id="43" w:name="X700250886d055f58feeb2a5500db370e2d232dd"/>
    <w:p>
      <w:pPr>
        <w:pStyle w:val="Heading2"/>
        <w:keepNext/>
        <w:keepLines/>
      </w:pPr>
      <w:r>
        <w:rPr>
          <w:color w:val="000000"/>
          <w:lang w:val="en-GB"/>
        </w:rPr>
        <w:t xml:space="preserve">5. Flows and processing outside the EEA possible in Option A — honest mention</w:t>
      </w:r>
    </w:p>
    <w:p>
      <w:pPr>
        <w:pStyle w:val="FirstParagraph"/>
      </w:pPr>
      <w:r>
        <w:rPr>
          <w:lang w:val="en-GB"/>
        </w:rPr>
        <w:t xml:space="preserve">For the sake of transparency regarding your compliance analyses, the following cases are explicitly flagged.</w:t>
      </w:r>
    </w:p>
    <w:bookmarkStart w:id="40" w:name="X5b78bac1412b7cfd1ffb7b51c9d8c6cc21919c5"/>
    <w:p>
      <w:pPr>
        <w:pStyle w:val="Heading3"/>
        <w:keepNext/>
        <w:keepLines/>
      </w:pPr>
      <w:r>
        <w:rPr>
          <w:color w:val="000000"/>
          <w:lang w:val="en-GB"/>
        </w:rPr>
        <w:t xml:space="preserve">5.1 Artificial intelligence functions</w:t>
      </w:r>
    </w:p>
    <w:p>
      <w:pPr>
        <w:pStyle w:val="FirstParagraph"/>
      </w:pPr>
      <w:r>
        <w:rPr>
          <w:b/>
          <w:bCs/>
          <w:lang w:val="en-GB"/>
        </w:rPr>
        <w:t xml:space="preserve">Primary route — no transfer outside the </w:t>
      </w:r>
      <w:r>
        <w:rPr>
          <w:lang w:val="en-GB"/>
        </w:rPr>
        <w:t xml:space="preserve"/>
      </w:r>
      <w:r>
        <w:rPr>
          <w:lang w:val="en-GB"/>
        </w:rPr>
        <w:t xml:space="preserve">EEA. By default, the AI ​​functions (correction, summary, minutes, chapters, identification suggestion) are executed on GPU servers controlled by OHADJA running vLLM with open-weights models ([TO BE COMPLETED: exact versions — Qwen 3.6 or Mistral]), hosted in Europe (mainly Strasbourg and Paris) — or, in Option B, in the client's infrastructure. On this route, no data is transmitted to a third-party model provider and no processing takes place outside the EEA.</w:t>
      </w:r>
    </w:p>
    <w:p>
      <w:pPr>
        <w:pStyle w:val="BodyText"/>
      </w:pPr>
      <w:r>
        <w:rPr>
          <w:b/>
          <w:bCs/>
          <w:lang w:val="en-GB"/>
        </w:rPr>
        <w:t xml:space="preserve">Emergency route — transfer outside the EEA </w:t>
      </w:r>
      <w:r>
        <w:rPr>
          <w:lang w:val="en-GB"/>
        </w:rPr>
        <w:t xml:space="preserve"/>
      </w:r>
      <w:r>
        <w:rPr>
          <w:lang w:val="en-GB"/>
        </w:rPr>
        <w:t xml:space="preserve">possible. In the event of unavailability of the primary channel, and unless deactivated by your organization, a failover to the OpenRouter </w:t>
      </w:r>
      <w:r>
        <w:rPr>
          <w:lang w:val="en-GB"/>
        </w:rPr>
        <w:t xml:space="preserve"/>
      </w:r>
      <w:r>
        <w:rPr>
          <w:b/>
          <w:bCs/>
          <w:lang w:val="en-GB"/>
        </w:rPr>
        <w:t xml:space="preserve">gateway </w:t>
      </w:r>
      <w:r>
        <w:rPr>
          <w:lang w:val="en-GB"/>
        </w:rPr>
        <w:t xml:space="preserve"/>
      </w:r>
      <w:r>
        <w:rPr>
          <w:lang w:val="en-GB"/>
        </w:rPr>
        <w:t xml:space="preserve">may require model </w:t>
      </w:r>
      <w:r>
        <w:rPr>
          <w:lang w:val="en-GB"/>
        </w:rPr>
        <w:t xml:space="preserve"/>
      </w:r>
      <w:r>
        <w:rPr>
          <w:b/>
          <w:bCs/>
          <w:lang w:val="en-GB"/>
        </w:rPr>
        <w:t xml:space="preserve">providers established in the United States (for </w:t>
      </w:r>
      <w:r>
        <w:rPr>
          <w:lang w:val="en-GB"/>
        </w:rPr>
        <w:t xml:space="preserve"/>
      </w:r>
      <w:r>
        <w:rPr>
          <w:lang w:val="en-GB"/>
        </w:rPr>
        <w:t xml:space="preserve">example Anthropic or OpenAI). This relief then constitutes a transfer outside the EEA, framed as follows: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Detail</w:t>
            </w:r>
          </w:p>
        </w:tc>
      </w:tr>
      <w:tr>
        <w:trPr>
          <w:cantSplit/>
        </w:trPr>
        <w:tc>
          <w:tcPr/>
          <w:p>
            <w:pPr>
              <w:pStyle w:val="Compact"/>
            </w:pPr>
            <w:r>
              <w:rPr>
                <w:lang w:val="en-GB"/>
              </w:rPr>
              <w:t xml:space="preserve">Processors affected</w:t>
            </w:r>
          </w:p>
        </w:tc>
        <w:tc>
          <w:tcPr/>
          <w:p>
            <w:pPr>
              <w:pStyle w:val="Compact"/>
            </w:pPr>
            <w:r>
              <w:rPr>
                <w:lang w:val="en-GB"/>
              </w:rPr>
              <w:t xml:space="preserve">OpenRouter Inc. (USA); model providers via OpenRouter (Anthropic, OpenAI…)</w:t>
            </w:r>
          </w:p>
        </w:tc>
      </w:tr>
      <w:tr>
        <w:trPr>
          <w:cantSplit/>
        </w:trPr>
        <w:tc>
          <w:tcPr/>
          <w:p>
            <w:pPr>
              <w:pStyle w:val="Compact"/>
            </w:pPr>
            <w:r>
              <w:rPr>
                <w:lang w:val="en-GB"/>
              </w:rPr>
              <w:t xml:space="preserve">Triggering</w:t>
            </w:r>
          </w:p>
        </w:tc>
        <w:tc>
          <w:tcPr/>
          <w:p>
            <w:pPr>
              <w:pStyle w:val="Compact"/>
            </w:pPr>
            <w:r>
              <w:rPr>
                <w:lang w:val="en-GB"/>
              </w:rPr>
              <w:t xml:space="preserve">Only as a backup, if the primary vLLM UE channel is unavailable; can be deactivated by organization</w:t>
            </w:r>
          </w:p>
        </w:tc>
      </w:tr>
      <w:tr>
        <w:trPr>
          <w:cantSplit/>
        </w:trPr>
        <w:tc>
          <w:tcPr/>
          <w:p>
            <w:pPr>
              <w:pStyle w:val="Compact"/>
            </w:pPr>
            <w:r>
              <w:rPr>
                <w:lang w:val="en-GB"/>
              </w:rPr>
              <w:t xml:space="preserve">Processing country</w:t>
            </w:r>
          </w:p>
        </w:tc>
        <w:tc>
          <w:tcPr/>
          <w:p>
            <w:pPr>
              <w:pStyle w:val="Compact"/>
            </w:pPr>
            <w:r>
              <w:rPr>
                <w:lang w:val="en-GB"/>
              </w:rPr>
              <w:t xml:space="preserve">United States possible depending on the model</w:t>
            </w:r>
          </w:p>
        </w:tc>
      </w:tr>
      <w:tr>
        <w:trPr>
          <w:cantSplit/>
        </w:trPr>
        <w:tc>
          <w:tcPr/>
          <w:p>
            <w:pPr>
              <w:pStyle w:val="Compact"/>
            </w:pPr>
            <w:r>
              <w:rPr>
                <w:lang w:val="en-GB"/>
              </w:rPr>
              <w:t xml:space="preserve">Transfer mechanism (Chapter V GDPR)</w:t>
            </w:r>
          </w:p>
        </w:tc>
        <w:tc>
          <w:tcPr/>
          <w:p>
            <w:pPr>
              <w:pStyle w:val="Compact"/>
            </w:pPr>
            <w:r>
              <w:rPr>
                <w:lang w:val="en-GB"/>
              </w:rPr>
              <w:t xml:space="preserve">Standard supplier contractual clauses; where applicable Data Privacy Framework</w:t>
            </w:r>
          </w:p>
        </w:tc>
      </w:tr>
      <w:tr>
        <w:trPr>
          <w:cantSplit/>
        </w:trPr>
        <w:tc>
          <w:tcPr/>
          <w:p>
            <w:pPr>
              <w:pStyle w:val="Compact"/>
            </w:pPr>
            <w:r>
              <w:rPr>
                <w:lang w:val="en-GB"/>
              </w:rPr>
              <w:t xml:space="preserve">Additional measures</w:t>
            </w:r>
          </w:p>
        </w:tc>
        <w:tc>
          <w:tcPr/>
          <w:p>
            <w:pPr>
              <w:pStyle w:val="Compact"/>
            </w:pPr>
            <w:r>
              <w:rPr>
                <w:lang w:val="en-GB"/>
              </w:rPr>
              <w:t xml:space="preserve">TLS in transit, minimization of transmitted data, absence of training on your data (“no-train”), absence of durable storage</w:t>
            </w:r>
          </w:p>
        </w:tc>
      </w:tr>
      <w:tr>
        <w:trPr>
          <w:cantSplit/>
        </w:trPr>
        <w:tc>
          <w:tcPr/>
          <w:p>
            <w:pPr>
              <w:pStyle w:val="Compact"/>
            </w:pPr>
            <w:r>
              <w:rPr>
                <w:lang w:val="en-GB"/>
              </w:rPr>
              <w:t xml:space="preserve">Removal of relief</w:t>
            </w:r>
          </w:p>
        </w:tc>
        <w:tc>
          <w:tcPr/>
          <w:p>
            <w:pPr>
              <w:pStyle w:val="Compact"/>
            </w:pPr>
            <w:r>
              <w:rPr>
                <w:lang w:val="en-GB"/>
              </w:rPr>
              <w:t xml:space="preserve">“Strict EU” profile (backup disabled) or isolated Option B</w:t>
            </w:r>
          </w:p>
        </w:tc>
      </w:tr>
    </w:tbl>
    <w:p>
      <w:pPr>
        <w:pStyle w:val="BodyText"/>
      </w:pPr>
      <w:r>
        <w:rPr>
          <w:b/>
          <w:bCs/>
          <w:lang w:val="en-GB"/>
        </w:rPr>
        <w:t xml:space="preserve">LLM routes by organization. </w:t>
      </w:r>
      <w:r>
        <w:rPr>
          <w:lang w:val="en-GB"/>
        </w:rPr>
        <w:t xml:space="preserve"/>
      </w:r>
      <w:r>
        <w:rPr>
          <w:lang w:val="en-GB"/>
        </w:rPr>
        <w:t xml:space="preserve">Since version 1.7.0, each organization can define its own LLM routes (provider, model, self-hosted endpoint), in fail-closed mode and with anti-SSRF protection, giving it full control over where the AI ​​is processed.</w:t>
      </w:r>
    </w:p>
    <w:bookmarkEnd w:id="40"/>
    <w:bookmarkStart w:id="41" w:name="X2285286b7bc0b60388fb6c9db2644919089fce5"/>
    <w:p>
      <w:pPr>
        <w:pStyle w:val="Heading3"/>
        <w:keepNext/>
        <w:keepLines/>
      </w:pPr>
      <w:r>
        <w:rPr>
          <w:color w:val="000000"/>
          <w:lang w:val="en-GB"/>
        </w:rPr>
        <w:t xml:space="preserve">5.2 Transcription GPU resources</w:t>
      </w:r>
    </w:p>
    <w:p>
      <w:pPr>
        <w:pStyle w:val="FirstParagraph"/>
      </w:pPr>
      <w:r>
        <w:rPr>
          <w:lang w:val="en-GB"/>
        </w:rPr>
        <w:t xml:space="preserve">Transcription processing can use GPU resources from a marketplace (Vast.ai) when this option is enabled. OHADJA selects machines located in the EU when this location is required; otherwise, processing outside the EEA is possible.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Detail</w:t>
            </w:r>
          </w:p>
        </w:tc>
      </w:tr>
      <w:tr>
        <w:trPr>
          <w:cantSplit/>
        </w:trPr>
        <w:tc>
          <w:tcPr/>
          <w:p>
            <w:pPr>
              <w:pStyle w:val="Compact"/>
            </w:pPr>
            <w:r>
              <w:rPr>
                <w:lang w:val="en-GB"/>
              </w:rPr>
              <w:t xml:space="preserve">Supplier</w:t>
            </w:r>
          </w:p>
        </w:tc>
        <w:tc>
          <w:tcPr/>
          <w:p>
            <w:pPr>
              <w:pStyle w:val="Compact"/>
            </w:pPr>
            <w:r>
              <w:rPr>
                <w:lang w:val="en-GB"/>
              </w:rPr>
              <w:t xml:space="preserve">Vast.ai (marketplace, USA) or dedicated GPU</w:t>
            </w:r>
          </w:p>
        </w:tc>
      </w:tr>
      <w:tr>
        <w:trPr>
          <w:cantSplit/>
        </w:trPr>
        <w:tc>
          <w:tcPr/>
          <w:p>
            <w:pPr>
              <w:pStyle w:val="Compact"/>
            </w:pPr>
            <w:r>
              <w:rPr>
                <w:lang w:val="en-GB"/>
              </w:rPr>
              <w:t xml:space="preserve">Processing country</w:t>
            </w:r>
          </w:p>
        </w:tc>
        <w:tc>
          <w:tcPr/>
          <w:p>
            <w:pPr>
              <w:pStyle w:val="Compact"/>
            </w:pPr>
            <w:r>
              <w:rPr>
                <w:lang w:val="en-GB"/>
              </w:rPr>
              <w:t xml:space="preserve">EU when required; outside EEA possible otherwise</w:t>
            </w:r>
          </w:p>
        </w:tc>
      </w:tr>
      <w:tr>
        <w:trPr>
          <w:cantSplit/>
        </w:trPr>
        <w:tc>
          <w:tcPr/>
          <w:p>
            <w:pPr>
              <w:pStyle w:val="Compact"/>
            </w:pPr>
            <w:r>
              <w:rPr>
                <w:lang w:val="en-GB"/>
              </w:rPr>
              <w:t xml:space="preserve">Measurements</w:t>
            </w:r>
          </w:p>
        </w:tc>
        <w:tc>
          <w:tcPr/>
          <w:p>
            <w:pPr>
              <w:pStyle w:val="Compact"/>
            </w:pPr>
            <w:r>
              <w:rPr>
                <w:lang w:val="en-GB"/>
              </w:rPr>
              <w:t xml:space="preserve">Automated processing, deletion of data after the job</w:t>
            </w:r>
          </w:p>
        </w:tc>
      </w:tr>
      <w:tr>
        <w:trPr>
          <w:cantSplit/>
        </w:trPr>
        <w:tc>
          <w:tcPr/>
          <w:p>
            <w:pPr>
              <w:pStyle w:val="Compact"/>
            </w:pPr>
            <w:r>
              <w:rPr>
                <w:lang w:val="en-GB"/>
              </w:rPr>
              <w:t xml:space="preserve">Alternative without outside the EEA</w:t>
            </w:r>
          </w:p>
        </w:tc>
        <w:tc>
          <w:tcPr/>
          <w:p>
            <w:pPr>
              <w:pStyle w:val="Compact"/>
            </w:pPr>
            <w:r>
              <w:rPr>
                <w:lang w:val="en-GB"/>
              </w:rPr>
              <w:t xml:space="preserve">Dedicated UE GPU, “strict UE” profile, or isolated Option B</w:t>
            </w:r>
          </w:p>
        </w:tc>
      </w:tr>
    </w:tbl>
    <w:bookmarkEnd w:id="41"/>
    <w:bookmarkStart w:id="42" w:name="Xa78361d18e82bf892f473781e2b3906efd4da02"/>
    <w:p>
      <w:pPr>
        <w:pStyle w:val="Heading3"/>
        <w:keepNext/>
        <w:keepLines/>
      </w:pPr>
      <w:r>
        <w:rPr>
          <w:color w:val="000000"/>
          <w:lang w:val="en-GB"/>
        </w:rPr>
        <w:t xml:space="preserve">5.3 Summary</w:t>
      </w:r>
    </w:p>
    <w:p>
      <w:pPr>
        <w:pStyle w:val="FirstParagraph"/>
      </w:pPr>
      <w:r>
        <w:rPr>
          <w:lang w:val="en-GB"/>
        </w:rPr>
        <w:t xml:space="preserve">In default configuration, the primary AI route (vLLM on GPUs mastered in Europe) does not involve any transfer outside the EEA. The only residual cases of processing outside the EEA in Option A are the OpenRouter fallback (if it is requested and not disabled) and certain GPU transcription resources. To completely exclude these residual cases, two routes guarantee the absence of any processing outside the EEA:</w:t>
      </w:r>
    </w:p>
    <w:p>
      <w:pPr>
        <w:pStyle w:val="Compact"/>
        <w:numPr>
          <w:ilvl w:val="0"/>
          <w:numId w:val="1008"/>
        </w:numPr>
      </w:pPr>
      <w:r>
        <w:rPr>
          <w:b/>
          <w:bCs/>
          <w:lang w:val="en-GB"/>
        </w:rPr>
        <w:t xml:space="preserve">Option A with “Strict UE” profile: </w:t>
      </w:r>
      <w:r>
        <w:rPr>
          <w:lang w:val="en-GB"/>
        </w:rPr>
        <w:t xml:space="preserve"/>
      </w:r>
      <w:r>
        <w:rPr>
          <w:lang w:val="en-GB"/>
        </w:rPr>
        <w:t xml:space="preserve">UE vLLM primary pathway or self-hosted model, OpenRouter fallback disabled, UE transcription GPU resources;</w:t>
      </w:r>
    </w:p>
    <w:p>
      <w:pPr>
        <w:pStyle w:val="Compact"/>
        <w:numPr>
          <w:ilvl w:val="0"/>
          <w:numId w:val="1008"/>
        </w:numPr>
      </w:pPr>
      <w:r>
        <w:rPr>
          <w:b/>
          <w:bCs/>
          <w:lang w:val="en-GB"/>
        </w:rPr>
        <w:t xml:space="preserve">Isolated on-premise option </w:t>
      </w:r>
      <w:r>
        <w:rPr>
          <w:lang w:val="en-GB"/>
        </w:rPr>
        <w:t xml:space="preserve"/>
      </w:r>
      <w:r>
        <w:rPr>
          <w:lang w:val="en-GB"/>
        </w:rPr>
        <w:t xml:space="preserve">B: no outgoing flow, all processing in the customer's infrastructure.</w:t>
      </w:r>
    </w:p>
    <w:bookmarkEnd w:id="42"/>
    <w:bookmarkEnd w:id="43"/>
    <w:bookmarkStart w:id="44" w:name="Xf27fc752bd766297e25b0fbec12501eb2c919fc"/>
    <w:p>
      <w:pPr>
        <w:pStyle w:val="Heading2"/>
        <w:keepNext/>
        <w:keepLines/>
      </w:pPr>
      <w:r>
        <w:rPr>
          <w:color w:val="000000"/>
          <w:lang w:val="en-GB"/>
        </w:rPr>
        <w:t xml:space="preserve">6. Administration and support from France / EU</w:t>
      </w:r>
    </w:p>
    <w:p>
      <w:pPr>
        <w:pStyle w:val="FirstParagraph"/>
      </w:pPr>
      <w:r>
        <w:rPr>
          <w:lang w:val="en-GB"/>
        </w:rPr>
        <w:t xml:space="preserve">OHADJA contractually undertakes to carry out the administration and support of </w:t>
      </w:r>
      <w:r>
        <w:rPr>
          <w:lang w:val="en-GB"/>
        </w:rPr>
        <w:t xml:space="preserve"/>
      </w:r>
      <w:r>
        <w:rPr>
          <w:b/>
          <w:bCs/>
          <w:lang w:val="en-GB"/>
        </w:rPr>
        <w:t xml:space="preserve">the solution exclusively from France or the European </w:t>
      </w:r>
      <w:r>
        <w:rPr>
          <w:lang w:val="en-GB"/>
        </w:rPr>
        <w:t xml:space="preserve">Union. No administrative access to production data is made from a third country, and no transfer of data to a third country results from administration or support operations.</w:t>
      </w:r>
    </w:p>
    <w:p>
      <w:pPr>
        <w:pStyle w:val="BodyText"/>
      </w:pPr>
      <w:r>
        <w:rPr>
          <w:b/>
          <w:bCs/>
          <w:lang w:val="en-GB"/>
        </w:rPr>
        <w:t xml:space="preserve">Framework implemented:</w:t>
      </w:r>
    </w:p>
    <w:p>
      <w:pPr>
        <w:pStyle w:val="Compact"/>
        <w:numPr>
          <w:ilvl w:val="0"/>
          <w:numId w:val="1009"/>
        </w:numPr>
      </w:pPr>
      <w:r>
        <w:rPr>
          <w:lang w:val="en-GB"/>
        </w:rPr>
        <w:t xml:space="preserve">administration and support exclusively from France or the European Union;</w:t>
      </w:r>
    </w:p>
    <w:p>
      <w:pPr>
        <w:pStyle w:val="Compact"/>
        <w:numPr>
          <w:ilvl w:val="0"/>
          <w:numId w:val="1009"/>
        </w:numPr>
      </w:pPr>
      <w:r>
        <w:rPr>
          <w:lang w:val="en-GB"/>
        </w:rPr>
        <w:t xml:space="preserve">nominative access, reserved for authorized persons;</w:t>
      </w:r>
    </w:p>
    <w:p>
      <w:pPr>
        <w:pStyle w:val="Compact"/>
        <w:numPr>
          <w:ilvl w:val="0"/>
          <w:numId w:val="1009"/>
        </w:numPr>
      </w:pPr>
      <w:r>
        <w:rPr>
          <w:lang w:val="en-GB"/>
        </w:rPr>
        <w:t xml:space="preserve">Key-only SSH login, two-factor authentication, TLS;</w:t>
      </w:r>
    </w:p>
    <w:p>
      <w:pPr>
        <w:pStyle w:val="Compact"/>
        <w:numPr>
          <w:ilvl w:val="0"/>
          <w:numId w:val="1009"/>
        </w:numPr>
      </w:pPr>
      <w:r>
        <w:rPr>
          <w:lang w:val="en-GB"/>
        </w:rPr>
        <w:t xml:space="preserve">logging of administrative access;</w:t>
      </w:r>
    </w:p>
    <w:p>
      <w:pPr>
        <w:pStyle w:val="Compact"/>
        <w:numPr>
          <w:ilvl w:val="0"/>
          <w:numId w:val="1009"/>
        </w:numPr>
      </w:pPr>
      <w:r>
        <w:rPr>
          <w:lang w:val="en-GB"/>
        </w:rPr>
        <w:t xml:space="preserve">no local copy of production data on the administrator's workstation;</w:t>
      </w:r>
    </w:p>
    <w:p>
      <w:pPr>
        <w:pStyle w:val="Compact"/>
        <w:numPr>
          <w:ilvl w:val="0"/>
          <w:numId w:val="1009"/>
        </w:numPr>
      </w:pPr>
      <w:r>
        <w:rPr>
          <w:lang w:val="en-GB"/>
        </w:rPr>
        <w:t xml:space="preserve">encrypted workstation.</w:t>
      </w:r>
    </w:p>
    <w:p>
      <w:pPr>
        <w:pStyle w:val="FirstParagraph"/>
      </w:pPr>
      <w:r>
        <w:rPr>
          <w:lang w:val="en-GB"/>
        </w:rPr>
        <w:t xml:space="preserve">This commitment is consistent with OHADJA’s status as a publisher established in France (registered office in Paris).</w:t>
      </w:r>
    </w:p>
    <w:bookmarkEnd w:id="44"/>
    <w:bookmarkStart w:id="45" w:name="X8b67c202385f36df7b88c0ca51f80bcd914f097"/>
    <w:p>
      <w:pPr>
        <w:pStyle w:val="Heading2"/>
        <w:keepNext/>
        <w:keepLines/>
      </w:pPr>
      <w:r>
        <w:rPr>
          <w:color w:val="000000"/>
          <w:lang w:val="en-GB"/>
        </w:rPr>
        <w:t xml:space="preserve">7. Flow overview</w:t>
      </w:r>
    </w:p>
    <w:p>
      <w:pPr>
        <w:pStyle w:val="FirstParagraph"/>
      </w:pPr>
      <w:r>
        <w:rPr>
          <w:lang w:val="en-GB"/>
        </w:rPr>
        <w:t xml:space="preserve">The data flow diagram (upload, transcription, AI, backup) is returned to Visio format (.vsdx) during the implementation phase, based on the description in document TRB-CONF-01.03.</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45"/>
    <w:bookmarkEnd w:id="46"/>
    <w:bookmarkStart w:id="60" w:name="X086e6a2779536af984993aabbd9c9a847a687e2"/>
    <w:p>
      <w:pPr>
        <w:pStyle w:val="Heading1"/>
        <w:keepNext/>
        <w:keepLines/>
      </w:pPr>
      <w:r>
        <w:rPr>
          <w:color w:val="000000"/>
          <w:lang w:val="en-GB"/>
        </w:rPr>
        <w:t xml:space="preserve">Identification of actors and roles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OHA-RGPD-01</w:t>
            </w:r>
          </w:p>
        </w:tc>
      </w:tr>
      <w:tr>
        <w:trPr>
          <w:cantSplit/>
        </w:trPr>
        <w:tc>
          <w:tcPr/>
          <w:p>
            <w:pPr>
              <w:pStyle w:val="Compact"/>
            </w:pPr>
            <w:r>
              <w:rPr>
                <w:lang w:val="en-GB"/>
              </w:rPr>
              <w:t xml:space="preserve">Purpose</w:t>
            </w:r>
          </w:p>
        </w:tc>
        <w:tc>
          <w:tcPr/>
          <w:p>
            <w:pPr>
              <w:pStyle w:val="Compact"/>
            </w:pPr>
            <w:r>
              <w:rPr>
                <w:lang w:val="en-GB"/>
              </w:rPr>
              <w:t xml:space="preserve">Identification of actors and their roles within the meaning of GDPR</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47" w:name="X4c77b53808a8ef02d48fd63b082b5729319d6d1"/>
    <w:p>
      <w:pPr>
        <w:pStyle w:val="Heading2"/>
        <w:keepNext/>
        <w:keepLines/>
      </w:pPr>
      <w:r>
        <w:rPr>
          <w:color w:val="000000"/>
          <w:lang w:val="en-GB"/>
        </w:rPr>
        <w:t xml:space="preserve">1. Purpose of the document</w:t>
      </w:r>
    </w:p>
    <w:p>
      <w:pPr>
        <w:pStyle w:val="FirstParagraph"/>
      </w:pPr>
      <w:r>
        <w:rPr>
          <w:lang w:val="en-GB"/>
        </w:rPr>
        <w:t xml:space="preserve">This document precisely identifies all the players involved in the provision and operation of the TranscribIA solution, and qualifies the role of each within the meaning of Regulation (EU) 2016/679 (hereinafter “GDPR”). It specifies, for each actor, the operations actually carried out and the conditions of access to personal data.</w:t>
      </w:r>
    </w:p>
    <w:p>
      <w:pPr>
        <w:pStyle w:val="BodyText"/>
      </w:pPr>
      <w:r>
        <w:rPr>
          <w:lang w:val="en-GB"/>
        </w:rPr>
        <w:t xml:space="preserve">It constitutes the first part of the in-depth GDPR file provided to the Customer. Technical subprocessors are only cited here; they are detailed in document OHA-RGPD-03 (“List of subprocessors”). Data flows and human access are detailed in document OHA-RGPD-02 (“Data Flow Matrix”).</w:t>
      </w:r>
    </w:p>
    <w:p>
      <w:pPr>
        <w:pStyle w:val="BodyText"/>
      </w:pPr>
      <w:r>
        <w:rPr>
          <w:lang w:val="en-GB"/>
        </w:rPr>
        <w:t xml:space="preserve">Terminological point of attention: the Customer's request specifically </w:t>
      </w:r>
      <w:r>
        <w:rPr>
          <w:lang w:val="en-GB"/>
        </w:rPr>
        <w:t xml:space="preserve"/>
      </w:r>
      <w:r>
        <w:rPr>
          <w:b/>
          <w:bCs/>
          <w:lang w:val="en-GB"/>
        </w:rPr>
        <w:t xml:space="preserve">cites AMBASSADIA. </w:t>
      </w:r>
      <w:r>
        <w:rPr>
          <w:lang w:val="en-GB"/>
        </w:rPr>
        <w:t xml:space="preserve">It is appropriate to distinguish two entities from the same founding </w:t>
      </w:r>
      <w:r>
        <w:rPr>
          <w:lang w:val="en-GB"/>
        </w:rPr>
        <w:t xml:space="preserve"/>
      </w:r>
      <w:r>
        <w:rPr>
          <w:b/>
          <w:bCs/>
          <w:lang w:val="en-GB"/>
        </w:rPr>
        <w:t xml:space="preserve"/>
      </w:r>
      <w:r>
        <w:rPr>
          <w:lang w:val="en-GB"/>
        </w:rPr>
        <w:t xml:space="preserve">group: OHADJA, publisher of the software and processor within the meaning </w:t>
      </w:r>
      <w:r>
        <w:rPr>
          <w:lang w:val="en-GB"/>
        </w:rPr>
        <w:t xml:space="preserve"/>
      </w:r>
      <w:r>
        <w:rPr>
          <w:b/>
          <w:bCs/>
          <w:lang w:val="en-GB"/>
        </w:rPr>
        <w:t xml:space="preserve">of article 28, </w:t>
      </w:r>
      <w:r>
        <w:rPr>
          <w:lang w:val="en-GB"/>
        </w:rPr>
        <w:t xml:space="preserve">and AMBASSADIA SARL, commercial </w:t>
      </w:r>
      <w:r>
        <w:rPr>
          <w:lang w:val="en-GB"/>
        </w:rPr>
        <w:t xml:space="preserve"/>
      </w:r>
      <w:r>
        <w:rPr>
          <w:b/>
          <w:bCs/>
          <w:lang w:val="en-GB"/>
        </w:rPr>
        <w:t xml:space="preserve">reseller/distributor who does not access production </w:t>
      </w:r>
      <w:r>
        <w:rPr>
          <w:lang w:val="en-GB"/>
        </w:rPr>
        <w:t xml:space="preserve">data. This document explains this sharing of roles.</w:t>
      </w:r>
    </w:p>
    <w:p>
      <w:pPr>
        <w:pStyle w:val="BodyText"/>
      </w:pPr>
      <w:r>
        <w:rPr>
          <w:lang w:val="en-GB"/>
        </w:rPr>
        <w:t xml:space="preserve">Two modes of supply are possible and determine the scope of the roles:</w:t>
      </w:r>
    </w:p>
    <w:p>
      <w:pPr>
        <w:pStyle w:val="Compact"/>
        <w:numPr>
          <w:ilvl w:val="0"/>
          <w:numId w:val="1010"/>
        </w:numPr>
      </w:pPr>
      <w:r>
        <w:rPr>
          <w:b/>
          <w:bCs/>
          <w:lang w:val="en-GB"/>
        </w:rPr>
        <w:t xml:space="preserve">Option A — Sovereign </w:t>
      </w:r>
      <w:r>
        <w:rPr>
          <w:lang w:val="en-GB"/>
        </w:rPr>
        <w:t xml:space="preserve">SaaS: </w:t>
      </w:r>
      <w:r>
        <w:rPr>
          <w:lang w:val="en-GB"/>
        </w:rPr>
        <w:t xml:space="preserve">the solution is hosted and operated by OHADJA (production: </w:t>
      </w:r>
      <w:r>
        <w:rPr>
          <w:lang w:val="en-GB"/>
        </w:rPr>
        <w:t xml:space="preserve"/>
      </w:r>
      <w:r>
        <w:rPr>
          <w:rStyle w:val="VerbatimChar"/>
          <w:lang w:val="en-GB"/>
        </w:rPr>
        <w:t xml:space="preserve">client.transcribia.eu</w:t>
      </w:r>
      <w:r>
        <w:rPr>
          <w:lang w:val="en-GB"/>
        </w:rPr>
        <w:t xml:space="preserve">, operational domain, server located in France).</w:t>
      </w:r>
    </w:p>
    <w:p>
      <w:pPr>
        <w:pStyle w:val="Compact"/>
        <w:numPr>
          <w:ilvl w:val="0"/>
          <w:numId w:val="1010"/>
        </w:numPr>
      </w:pPr>
      <w:r>
        <w:rPr>
          <w:b/>
          <w:bCs/>
          <w:lang w:val="en-GB"/>
        </w:rPr>
        <w:t xml:space="preserve">Option B — On-premise: </w:t>
      </w:r>
      <w:r>
        <w:rPr>
          <w:lang w:val="en-GB"/>
        </w:rPr>
        <w:t xml:space="preserve"/>
      </w:r>
      <w:r>
        <w:rPr>
          <w:lang w:val="en-GB"/>
        </w:rPr>
        <w:t xml:space="preserve">the solution is deployed in the Customer's infrastructure. In the “isolated” variant (no outbound flow), all components run on the client, including the transcription engine and a self-hosted language model.</w:t>
      </w:r>
    </w:p>
    <w:bookmarkEnd w:id="47"/>
    <w:bookmarkStart w:id="54" w:name="X3505121eb9afb15f1ae15e1ef82d98b9e19d5cc"/>
    <w:p>
      <w:pPr>
        <w:pStyle w:val="Heading2"/>
        <w:keepNext/>
        <w:keepLines/>
      </w:pPr>
      <w:r>
        <w:rPr>
          <w:color w:val="000000"/>
          <w:lang w:val="en-GB"/>
        </w:rPr>
        <w:t xml:space="preserve">2. Actor sheets</w:t>
      </w:r>
    </w:p>
    <w:bookmarkStart w:id="48" w:name="X817a89d71e32c8dcf2c17305e31426acdb39f22"/>
    <w:p>
      <w:pPr>
        <w:pStyle w:val="Heading3"/>
        <w:keepNext/>
        <w:keepLines/>
      </w:pPr>
      <w:r>
        <w:rPr>
          <w:color w:val="000000"/>
          <w:lang w:val="en-GB"/>
        </w:rPr>
        <w:t xml:space="preserve">2.1 OHADJA — editor and processor (article 28 GDPR)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Naming</w:t>
            </w:r>
          </w:p>
        </w:tc>
        <w:tc>
          <w:tcPr/>
          <w:p>
            <w:pPr>
              <w:pStyle w:val="Compact"/>
            </w:pPr>
            <w:r>
              <w:rPr>
                <w:lang w:val="en-GB"/>
              </w:rPr>
              <w:t xml:space="preserve">OHADJA</w:t>
            </w:r>
          </w:p>
        </w:tc>
      </w:tr>
      <w:tr>
        <w:trPr>
          <w:cantSplit/>
        </w:trPr>
        <w:tc>
          <w:tcPr/>
          <w:p>
            <w:pPr>
              <w:pStyle w:val="Compact"/>
            </w:pPr>
            <w:r>
              <w:rPr>
                <w:lang w:val="en-GB"/>
              </w:rPr>
              <w:t xml:space="preserve">Legal form</w:t>
            </w:r>
          </w:p>
        </w:tc>
        <w:tc>
          <w:tcPr/>
          <w:p>
            <w:pPr>
              <w:pStyle w:val="Compact"/>
            </w:pPr>
            <w:r>
              <w:rPr>
                <w:lang w:val="en-GB"/>
              </w:rPr>
              <w:t xml:space="preserve">French simplified joint-stock company (société par actions simplifiée, SAS)</w:t>
            </w:r>
          </w:p>
        </w:tc>
      </w:tr>
      <w:tr>
        <w:trPr>
          <w:cantSplit/>
        </w:trPr>
        <w:tc>
          <w:tcPr/>
          <w:p>
            <w:pPr>
              <w:pStyle w:val="Compact"/>
            </w:pPr>
            <w:r>
              <w:rPr>
                <w:lang w:val="en-GB"/>
              </w:rPr>
              <w:t xml:space="preserve">Intracommunity VAT number</w:t>
            </w:r>
          </w:p>
        </w:tc>
        <w:tc>
          <w:tcPr/>
          <w:p>
            <w:pPr>
              <w:pStyle w:val="Compact"/>
            </w:pPr>
            <w:r>
              <w:rPr>
                <w:lang w:val="en-GB"/>
              </w:rPr>
              <w:t xml:space="preserve">FR78992146480</w:t>
            </w:r>
          </w:p>
        </w:tc>
      </w:tr>
      <w:tr>
        <w:trPr>
          <w:cantSplit/>
        </w:trPr>
        <w:tc>
          <w:tcPr/>
          <w:p>
            <w:pPr>
              <w:pStyle w:val="Compact"/>
            </w:pPr>
            <w:r>
              <w:rPr>
                <w:lang w:val="en-GB"/>
              </w:rPr>
              <w:t xml:space="preserve">Registration</w:t>
            </w:r>
          </w:p>
        </w:tc>
        <w:tc>
          <w:tcPr/>
          <w:p>
            <w:pPr>
              <w:pStyle w:val="Compact"/>
            </w:pPr>
            <w:r>
              <w:rPr>
                <w:lang w:val="en-GB"/>
              </w:rPr>
              <w:t xml:space="preserve">992 146 480 R.C.S. Paris — SIRET of the headquarters: 992 146 480 00015</w:t>
            </w:r>
          </w:p>
        </w:tc>
      </w:tr>
      <w:tr>
        <w:trPr>
          <w:cantSplit/>
        </w:trPr>
        <w:tc>
          <w:tcPr/>
          <w:p>
            <w:pPr>
              <w:pStyle w:val="Compact"/>
            </w:pPr>
            <w:r>
              <w:rPr>
                <w:lang w:val="en-GB"/>
              </w:rPr>
              <w:t xml:space="preserve">Head office</w:t>
            </w:r>
          </w:p>
        </w:tc>
        <w:tc>
          <w:tcPr/>
          <w:p>
            <w:pPr>
              <w:pStyle w:val="Compact"/>
            </w:pPr>
            <w:r>
              <w:rPr>
                <w:lang w:val="en-GB"/>
              </w:rPr>
              <w:t xml:space="preserve">60 rue François 1er, 75008 Paris, France</w:t>
            </w:r>
          </w:p>
        </w:tc>
      </w:tr>
      <w:tr>
        <w:trPr>
          <w:cantSplit/>
        </w:trPr>
        <w:tc>
          <w:tcPr/>
          <w:p>
            <w:pPr>
              <w:pStyle w:val="Compact"/>
            </w:pPr>
            <w:r>
              <w:rPr>
                <w:lang w:val="en-GB"/>
              </w:rPr>
              <w:t xml:space="preserve">Country of establishment</w:t>
            </w:r>
          </w:p>
        </w:tc>
        <w:tc>
          <w:tcPr/>
          <w:p>
            <w:pPr>
              <w:pStyle w:val="Compact"/>
            </w:pPr>
            <w:r>
              <w:rPr>
                <w:lang w:val="en-GB"/>
              </w:rPr>
              <w:t xml:space="preserve">France</w:t>
            </w:r>
          </w:p>
        </w:tc>
      </w:tr>
      <w:tr>
        <w:trPr>
          <w:cantSplit/>
        </w:trPr>
        <w:tc>
          <w:tcPr/>
          <w:p>
            <w:pPr>
              <w:pStyle w:val="Compact"/>
            </w:pPr>
            <w:r>
              <w:rPr>
                <w:lang w:val="en-GB"/>
              </w:rPr>
              <w:t xml:space="preserve">Co-founders</w:t>
            </w:r>
          </w:p>
        </w:tc>
        <w:tc>
          <w:tcPr/>
          <w:p>
            <w:pPr>
              <w:pStyle w:val="Compact"/>
            </w:pPr>
            <w:r>
              <w:rPr>
                <w:lang w:val="en-GB"/>
              </w:rPr>
              <w:t xml:space="preserve">Olivier Dupont (CTO) and Philippe Heyraud</w:t>
            </w:r>
          </w:p>
        </w:tc>
      </w:tr>
      <w:tr>
        <w:trPr>
          <w:cantSplit/>
        </w:trPr>
        <w:tc>
          <w:tcPr/>
          <w:p>
            <w:pPr>
              <w:pStyle w:val="Compact"/>
            </w:pPr>
            <w:r>
              <w:rPr>
                <w:lang w:val="en-GB"/>
              </w:rPr>
              <w:t xml:space="preserve">Signatory legal representative</w:t>
            </w:r>
          </w:p>
        </w:tc>
        <w:tc>
          <w:tcPr/>
          <w:p>
            <w:pPr>
              <w:pStyle w:val="Compact"/>
            </w:pPr>
            <w:r>
              <w:rPr>
                <w:lang w:val="en-GB"/>
              </w:rPr>
              <w:t xml:space="preserve">Olivier Dupont, President</w:t>
            </w:r>
          </w:p>
        </w:tc>
      </w:tr>
      <w:tr>
        <w:trPr>
          <w:cantSplit/>
        </w:trPr>
        <w:tc>
          <w:tcPr/>
          <w:p>
            <w:pPr>
              <w:pStyle w:val="Compact"/>
            </w:pPr>
            <w:r>
              <w:rPr>
                <w:lang w:val="en-GB"/>
              </w:rPr>
              <w:t xml:space="preserve">Data protection contact</w:t>
            </w:r>
          </w:p>
        </w:tc>
        <w:tc>
          <w:tcPr/>
          <w:p>
            <w:pPr>
              <w:pStyle w:val="Compact"/>
            </w:pPr>
            <w:hyperlink r:id="rId9">
              <w:r>
                <w:rPr>
                  <w:rStyle w:val="Hyperlink"/>
                  <w:lang w:val="en-GB"/>
                </w:rPr>
                <w:t xml:space="preserve">privacy@transcribia.eu</w:t>
              </w:r>
            </w:hyperlink>
          </w:p>
        </w:tc>
      </w:tr>
    </w:tbl>
    <w:p>
      <w:pPr>
        <w:pStyle w:val="BodyText"/>
      </w:pPr>
      <w:r>
        <w:rPr>
          <w:b/>
          <w:bCs/>
          <w:lang w:val="en-GB"/>
        </w:rPr>
        <w:t xml:space="preserve">Role GDPR. </w:t>
      </w:r>
      <w:r>
        <w:rPr>
          <w:lang w:val="en-GB"/>
        </w:rPr>
        <w:t xml:space="preserve"/>
      </w:r>
      <w:r>
        <w:rPr>
          <w:lang w:val="en-GB"/>
        </w:rPr>
        <w:t xml:space="preserve">OHADJA is the publisher and developer of TranscribIA software. Since it processes personal data on behalf of the Client, it acts as processor within the </w:t>
      </w:r>
      <w:r>
        <w:rPr>
          <w:lang w:val="en-GB"/>
        </w:rPr>
        <w:t xml:space="preserve"/>
      </w:r>
      <w:r>
        <w:rPr>
          <w:b/>
          <w:bCs/>
          <w:lang w:val="en-GB"/>
        </w:rPr>
        <w:t xml:space="preserve">meaning of </w:t>
      </w:r>
      <w:r>
        <w:rPr>
          <w:lang w:val="en-GB"/>
        </w:rPr>
        <w:t xml:space="preserve"/>
      </w:r>
      <w:r>
        <w:rPr>
          <w:lang w:val="en-GB"/>
        </w:rPr>
        <w:t xml:space="preserve">article 4.8 of GDPR, within the framework of Data Processing Agreement article 28 (“DPA”).</w:t>
      </w:r>
    </w:p>
    <w:p>
      <w:pPr>
        <w:pStyle w:val="BodyText"/>
      </w:pPr>
      <w:r>
        <w:rPr>
          <w:b/>
          <w:bCs/>
          <w:lang w:val="en-GB"/>
        </w:rPr>
        <w:t xml:space="preserve">Operations carried out.</w:t>
      </w:r>
    </w:p>
    <w:p>
      <w:pPr>
        <w:pStyle w:val="Compact"/>
        <w:numPr>
          <w:ilvl w:val="0"/>
          <w:numId w:val="1011"/>
        </w:numPr>
      </w:pPr>
      <w:r>
        <w:rPr>
          <w:lang w:val="en-GB"/>
        </w:rPr>
        <w:t xml:space="preserve">Development and corrective and evolutionary maintenance of the software.</w:t>
      </w:r>
    </w:p>
    <w:p>
      <w:pPr>
        <w:pStyle w:val="Compact"/>
        <w:numPr>
          <w:ilvl w:val="0"/>
          <w:numId w:val="1011"/>
        </w:numPr>
      </w:pPr>
      <w:r>
        <w:rPr>
          <w:lang w:val="en-GB"/>
        </w:rPr>
        <w:t xml:space="preserve">Option </w:t>
      </w:r>
      <w:r>
        <w:rPr>
          <w:lang w:val="en-GB"/>
        </w:rPr>
        <w:t xml:space="preserve"/>
      </w:r>
      <w:r>
        <w:rPr>
          <w:b/>
          <w:bCs/>
          <w:lang w:val="en-GB"/>
        </w:rPr>
        <w:t xml:space="preserve">A: </w:t>
      </w:r>
      <w:r>
        <w:rPr>
          <w:lang w:val="en-GB"/>
        </w:rPr>
        <w:t xml:space="preserve"/>
      </w:r>
      <w:r>
        <w:rPr>
          <w:lang w:val="en-GB"/>
        </w:rPr>
        <w:t xml:space="preserve">hosting, application operation, supervision, technical backups, updates and operational security of the service.</w:t>
      </w:r>
    </w:p>
    <w:p>
      <w:pPr>
        <w:pStyle w:val="Compact"/>
        <w:numPr>
          <w:ilvl w:val="0"/>
          <w:numId w:val="1011"/>
        </w:numPr>
      </w:pPr>
      <w:r>
        <w:rPr>
          <w:lang w:val="en-GB"/>
        </w:rPr>
        <w:t xml:space="preserve">In </w:t>
      </w:r>
      <w:r>
        <w:rPr>
          <w:lang w:val="en-GB"/>
        </w:rPr>
        <w:t xml:space="preserve"/>
      </w:r>
      <w:r>
        <w:rPr>
          <w:b/>
          <w:bCs/>
          <w:lang w:val="en-GB"/>
        </w:rPr>
        <w:t xml:space="preserve">Option </w:t>
      </w:r>
      <w:r>
        <w:rPr>
          <w:lang w:val="en-GB"/>
        </w:rPr>
        <w:t xml:space="preserve"/>
      </w:r>
      <w:r>
        <w:rPr>
          <w:lang w:val="en-GB"/>
        </w:rPr>
        <w:t xml:space="preserve">B: only operations actually entrusted by the Customer (support, maintenance, application updates, authorized remote access, technical assistance).</w:t>
      </w:r>
    </w:p>
    <w:p>
      <w:pPr>
        <w:pStyle w:val="Compact"/>
        <w:numPr>
          <w:ilvl w:val="0"/>
          <w:numId w:val="1011"/>
        </w:numPr>
      </w:pPr>
      <w:r>
        <w:rPr>
          <w:lang w:val="en-GB"/>
        </w:rPr>
        <w:t xml:space="preserve">First and second level support, upon request from the Customer.</w:t>
      </w:r>
    </w:p>
    <w:p>
      <w:pPr>
        <w:pStyle w:val="FirstParagraph"/>
      </w:pPr>
      <w:r>
        <w:rPr>
          <w:b/>
          <w:bCs/>
          <w:lang w:val="en-GB"/>
        </w:rPr>
        <w:t xml:space="preserve">Access to personal data: YES, subject to safeguards. </w:t>
      </w:r>
      <w:r>
        <w:rPr>
          <w:lang w:val="en-GB"/>
        </w:rPr>
        <w:t xml:space="preserve"/>
      </w:r>
      <w:r>
        <w:rPr>
          <w:lang w:val="en-GB"/>
        </w:rPr>
        <w:t xml:space="preserve">Authorised OHADJA staff may access production data strictly on a need-to-know basis (operations, support, security). Access is individually attributable, uses an SSH key, is protected by two-factor authentication (TOTP 2FA), encrypted in transit (TLS), logged, and involves no local copy of production data. Under the contractual commitment described in document OHA-RGPD-04, </w:t>
      </w:r>
      <w:r>
        <w:rPr>
          <w:lang w:val="en-GB"/>
        </w:rPr>
        <w:t xml:space="preserve"/>
      </w:r>
      <w:r>
        <w:rPr>
          <w:b/>
          <w:bCs/>
          <w:lang w:val="en-GB"/>
        </w:rPr>
        <w:t xml:space="preserve">administration and support are performed exclusively from France/the European </w:t>
      </w:r>
      <w:r>
        <w:rPr>
          <w:lang w:val="en-GB"/>
        </w:rPr>
        <w:t xml:space="preserve">Union.</w:t>
      </w:r>
    </w:p>
    <w:bookmarkEnd w:id="48"/>
    <w:bookmarkStart w:id="50" w:name="Xea56b233c56268ea1ab7c4ed5a13c76141f74a6"/>
    <w:p>
      <w:pPr>
        <w:pStyle w:val="Heading3"/>
        <w:keepNext/>
        <w:keepLines/>
      </w:pPr>
      <w:r>
        <w:rPr>
          <w:color w:val="000000"/>
          <w:lang w:val="en-GB"/>
        </w:rPr>
        <w:t xml:space="preserve">2.2 AMBASSADIA SARL — commercial reseller / distributor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Naming</w:t>
            </w:r>
          </w:p>
        </w:tc>
        <w:tc>
          <w:tcPr/>
          <w:p>
            <w:pPr>
              <w:pStyle w:val="Compact"/>
            </w:pPr>
            <w:r>
              <w:rPr>
                <w:lang w:val="en-GB"/>
              </w:rPr>
              <w:t xml:space="preserve">AMBASSADIA SARL</w:t>
            </w:r>
          </w:p>
        </w:tc>
      </w:tr>
      <w:tr>
        <w:trPr>
          <w:cantSplit/>
        </w:trPr>
        <w:tc>
          <w:tcPr/>
          <w:p>
            <w:pPr>
              <w:pStyle w:val="Compact"/>
            </w:pPr>
            <w:r>
              <w:rPr>
                <w:lang w:val="en-GB"/>
              </w:rPr>
              <w:t xml:space="preserve">Legal form</w:t>
            </w:r>
          </w:p>
        </w:tc>
        <w:tc>
          <w:tcPr/>
          <w:p>
            <w:pPr>
              <w:pStyle w:val="Compact"/>
            </w:pPr>
            <w:r>
              <w:rPr>
                <w:lang w:val="en-GB"/>
              </w:rPr>
              <w:t xml:space="preserve">Limited liability company (SARL) with share capital of €50,000</w:t>
            </w:r>
          </w:p>
        </w:tc>
      </w:tr>
      <w:tr>
        <w:trPr>
          <w:cantSplit/>
        </w:trPr>
        <w:tc>
          <w:tcPr/>
          <w:p>
            <w:pPr>
              <w:pStyle w:val="Compact"/>
            </w:pPr>
            <w:r>
              <w:rPr>
                <w:lang w:val="en-GB"/>
              </w:rPr>
              <w:t xml:space="preserve">Manager</w:t>
            </w:r>
          </w:p>
        </w:tc>
        <w:tc>
          <w:tcPr/>
          <w:p>
            <w:pPr>
              <w:pStyle w:val="Compact"/>
            </w:pPr>
            <w:r>
              <w:rPr>
                <w:lang w:val="en-GB"/>
              </w:rPr>
              <w:t xml:space="preserve">Olivier Dupont</w:t>
            </w:r>
          </w:p>
        </w:tc>
      </w:tr>
      <w:tr>
        <w:trPr>
          <w:cantSplit/>
        </w:trPr>
        <w:tc>
          <w:tcPr/>
          <w:p>
            <w:pPr>
              <w:pStyle w:val="Compact"/>
            </w:pPr>
            <w:r>
              <w:rPr>
                <w:lang w:val="en-GB"/>
              </w:rPr>
              <w:t xml:space="preserve">Role</w:t>
            </w:r>
          </w:p>
        </w:tc>
        <w:tc>
          <w:tcPr/>
          <w:p>
            <w:pPr>
              <w:pStyle w:val="Compact"/>
            </w:pPr>
            <w:r>
              <w:rPr>
                <w:lang w:val="en-GB"/>
              </w:rPr>
              <w:t xml:space="preserve">Commercial reseller / distributor (Monaco and France)</w:t>
            </w:r>
          </w:p>
        </w:tc>
      </w:tr>
      <w:tr>
        <w:trPr>
          <w:cantSplit/>
        </w:trPr>
        <w:tc>
          <w:tcPr/>
          <w:p>
            <w:pPr>
              <w:pStyle w:val="Compact"/>
            </w:pPr>
            <w:r>
              <w:rPr>
                <w:lang w:val="en-GB"/>
              </w:rPr>
              <w:t xml:space="preserve">Sales contact</w:t>
            </w:r>
          </w:p>
        </w:tc>
        <w:tc>
          <w:tcPr/>
          <w:p>
            <w:pPr>
              <w:pStyle w:val="Compact"/>
            </w:pPr>
            <w:hyperlink r:id="rId49">
              <w:r>
                <w:rPr>
                  <w:rStyle w:val="Hyperlink"/>
                  <w:lang w:val="en-GB"/>
                </w:rPr>
                <w:t xml:space="preserve">olivier@ambassadia.com</w:t>
              </w:r>
            </w:hyperlink>
          </w:p>
        </w:tc>
      </w:tr>
    </w:tbl>
    <w:p>
      <w:pPr>
        <w:pStyle w:val="BodyText"/>
      </w:pPr>
      <w:r>
        <w:rPr>
          <w:b/>
          <w:bCs/>
          <w:lang w:val="en-GB"/>
        </w:rPr>
        <w:t xml:space="preserve">Role GDPR. </w:t>
      </w:r>
      <w:r>
        <w:rPr>
          <w:lang w:val="en-GB"/>
        </w:rPr>
        <w:t xml:space="preserve"/>
      </w:r>
      <w:r>
        <w:rPr>
          <w:lang w:val="en-GB"/>
        </w:rPr>
        <w:t xml:space="preserve">AMBASSADIA SARL plays </w:t>
      </w:r>
      <w:r>
        <w:rPr>
          <w:lang w:val="en-GB"/>
        </w:rPr>
        <w:t xml:space="preserve"/>
      </w:r>
      <w:r>
        <w:rPr>
          <w:b/>
          <w:bCs/>
          <w:lang w:val="en-GB"/>
        </w:rPr>
        <w:t xml:space="preserve">a commercial </w:t>
      </w:r>
      <w:r>
        <w:rPr>
          <w:lang w:val="en-GB"/>
        </w:rPr>
        <w:t xml:space="preserve">role </w:t>
      </w:r>
      <w:r>
        <w:rPr>
          <w:lang w:val="en-GB"/>
        </w:rPr>
        <w:t xml:space="preserve">as reseller/distributor of the solution (Monaco and France). </w:t>
      </w:r>
      <w:r>
        <w:rPr>
          <w:lang w:val="en-GB"/>
        </w:rPr>
        <w:t xml:space="preserve"/>
      </w:r>
      <w:r>
        <w:rPr>
          <w:b/>
          <w:bCs/>
          <w:lang w:val="en-GB"/>
        </w:rPr>
        <w:t xml:space="preserve">It does not process production data on behalf of customers </w:t>
      </w:r>
      <w:r>
        <w:rPr>
          <w:lang w:val="en-GB"/>
        </w:rPr>
        <w:t xml:space="preserve"/>
      </w:r>
      <w:r>
        <w:rPr>
          <w:lang w:val="en-GB"/>
        </w:rPr>
        <w:t xml:space="preserve">and therefore acts, in the nominal </w:t>
      </w:r>
      <w:r>
        <w:rPr>
          <w:lang w:val="en-GB"/>
        </w:rPr>
        <w:t xml:space="preserve"/>
      </w:r>
      <w:r>
        <w:rPr>
          <w:b/>
          <w:bCs/>
          <w:lang w:val="en-GB"/>
        </w:rPr>
        <w:t xml:space="preserve">context, neither as processor nor as subprocessor </w:t>
      </w:r>
      <w:r>
        <w:rPr>
          <w:lang w:val="en-GB"/>
        </w:rPr>
        <w:t xml:space="preserve">with </w:t>
      </w:r>
      <w:r>
        <w:rPr>
          <w:lang w:val="en-GB"/>
        </w:rPr>
        <w:t xml:space="preserve">respect to Customer data [exact scope TO BE CONFIRMED]. The production domain </w:t>
      </w:r>
      <w:r>
        <w:rPr>
          <w:lang w:val="en-GB"/>
        </w:rPr>
        <w:t xml:space="preserve"/>
      </w:r>
      <w:r>
        <w:rPr>
          <w:rStyle w:val="VerbatimChar"/>
          <w:lang w:val="en-GB"/>
        </w:rPr>
        <w:t xml:space="preserve">client.transcribia.eu</w:t>
      </w:r>
      <w:r>
        <w:rPr>
          <w:lang w:val="en-GB"/>
        </w:rPr>
        <w:t xml:space="preserve"> </w:t>
      </w:r>
      <w:r>
        <w:rPr>
          <w:lang w:val="en-GB"/>
        </w:rPr>
        <w:t xml:space="preserve">and the address </w:t>
      </w:r>
      <w:r>
        <w:rPr>
          <w:lang w:val="en-GB"/>
        </w:rPr>
        <w:t xml:space="preserve"/>
      </w:r>
      <w:r>
        <w:rPr>
          <w:rStyle w:val="VerbatimChar"/>
          <w:lang w:val="en-GB"/>
        </w:rPr>
        <w:t xml:space="preserve">olivier@ambassadia.com</w:t>
      </w:r>
      <w:r>
        <w:rPr>
          <w:lang w:val="en-GB"/>
        </w:rPr>
        <w:t xml:space="preserve"> </w:t>
      </w:r>
      <w:r>
        <w:rPr>
          <w:lang w:val="en-GB"/>
        </w:rPr>
        <w:t xml:space="preserve">remain valid operational elements.</w:t>
      </w:r>
    </w:p>
    <w:p>
      <w:pPr>
        <w:pStyle w:val="BodyText"/>
      </w:pPr>
      <w:r>
        <w:rPr>
          <w:b/>
          <w:bCs/>
          <w:lang w:val="en-GB"/>
        </w:rPr>
        <w:t xml:space="preserve">Operations carried out.</w:t>
      </w:r>
    </w:p>
    <w:p>
      <w:pPr>
        <w:pStyle w:val="Compact"/>
        <w:numPr>
          <w:ilvl w:val="0"/>
          <w:numId w:val="1012"/>
        </w:numPr>
      </w:pPr>
      <w:r>
        <w:rPr>
          <w:lang w:val="en-GB"/>
        </w:rPr>
        <w:t xml:space="preserve">Marketing and commercial relations (Monaco and France).</w:t>
      </w:r>
    </w:p>
    <w:p>
      <w:pPr>
        <w:pStyle w:val="Compact"/>
        <w:numPr>
          <w:ilvl w:val="0"/>
          <w:numId w:val="1012"/>
        </w:numPr>
      </w:pPr>
      <w:r>
        <w:rPr>
          <w:lang w:val="en-GB"/>
        </w:rPr>
        <w:t xml:space="preserve">Orientation to OHADJA for the edition, operation and technical support of the platform.</w:t>
      </w:r>
    </w:p>
    <w:p>
      <w:pPr>
        <w:pStyle w:val="FirstParagraph"/>
      </w:pPr>
      <w:r>
        <w:rPr>
          <w:b/>
          <w:bCs/>
          <w:lang w:val="en-GB"/>
        </w:rPr>
        <w:t xml:space="preserve">Access to personal data: NO. AMBASSADIA </w:t>
      </w:r>
      <w:r>
        <w:rPr>
          <w:lang w:val="en-GB"/>
        </w:rPr>
        <w:t xml:space="preserve"/>
      </w:r>
      <w:r>
        <w:rPr>
          <w:lang w:val="en-GB"/>
        </w:rPr>
        <w:t xml:space="preserve">SARL does not access the Client's production data (audio, transcriptions, AI generations, accounts). The group's link with Monaco exists via this commercial reseller activity, but this does </w:t>
      </w:r>
      <w:r>
        <w:rPr>
          <w:lang w:val="en-GB"/>
        </w:rPr>
        <w:t xml:space="preserve">not </w:t>
      </w:r>
      <w:r>
        <w:rPr>
          <w:b/>
          <w:bCs/>
          <w:lang w:val="en-GB"/>
        </w:rPr>
        <w:t xml:space="preserve">entail any access to data: </w:t>
      </w:r>
      <w:r>
        <w:rPr>
          <w:lang w:val="en-GB"/>
        </w:rPr>
        <w:t xml:space="preserve"/>
      </w:r>
      <w:r>
        <w:rPr>
          <w:lang w:val="en-GB"/>
        </w:rPr>
        <w:t xml:space="preserve">technical administration and support come under OHADJA and are carried out exclusively from France / the EU (see OHA-RGPD-04).</w:t>
      </w:r>
    </w:p>
    <w:bookmarkEnd w:id="50"/>
    <w:bookmarkStart w:id="51" w:name="Xbc0907ca7f8d8ad2f042b1a5e018f1b60c3ac13"/>
    <w:p>
      <w:pPr>
        <w:pStyle w:val="Heading3"/>
        <w:keepNext/>
        <w:keepLines/>
      </w:pPr>
      <w:r>
        <w:rPr>
          <w:color w:val="000000"/>
          <w:lang w:val="en-GB"/>
        </w:rPr>
        <w:t xml:space="preserve">2.3 your integrator / reseller — distributor and integrator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Naming</w:t>
            </w:r>
          </w:p>
        </w:tc>
        <w:tc>
          <w:tcPr/>
          <w:p>
            <w:pPr>
              <w:pStyle w:val="Compact"/>
            </w:pPr>
            <w:r>
              <w:rPr>
                <w:lang w:val="en-GB"/>
              </w:rPr>
              <w:t xml:space="preserve">your integrator / reseller</w:t>
            </w:r>
          </w:p>
        </w:tc>
      </w:tr>
      <w:tr>
        <w:trPr>
          <w:cantSplit/>
        </w:trPr>
        <w:tc>
          <w:tcPr/>
          <w:p>
            <w:pPr>
              <w:pStyle w:val="Compact"/>
            </w:pPr>
            <w:r>
              <w:rPr>
                <w:lang w:val="en-GB"/>
              </w:rPr>
              <w:t xml:space="preserve">Business role</w:t>
            </w:r>
          </w:p>
        </w:tc>
        <w:tc>
          <w:tcPr/>
          <w:p>
            <w:pPr>
              <w:pStyle w:val="Compact"/>
            </w:pPr>
            <w:r>
              <w:rPr>
                <w:lang w:val="en-GB"/>
              </w:rPr>
              <w:t xml:space="preserve">Distributor and integrator of the TranscribIA solution</w:t>
            </w:r>
          </w:p>
        </w:tc>
      </w:tr>
      <w:tr>
        <w:trPr>
          <w:cantSplit/>
        </w:trPr>
        <w:tc>
          <w:tcPr/>
          <w:p>
            <w:pPr>
              <w:pStyle w:val="Compact"/>
            </w:pPr>
            <w:r>
              <w:rPr>
                <w:lang w:val="en-GB"/>
              </w:rPr>
              <w:t xml:space="preserve">Country of establishment</w:t>
            </w:r>
          </w:p>
        </w:tc>
        <w:tc>
          <w:tcPr/>
          <w:p>
            <w:pPr>
              <w:pStyle w:val="Compact"/>
            </w:pPr>
            <w:r>
              <w:rPr>
                <w:lang w:val="en-GB"/>
              </w:rPr>
              <w:t xml:space="preserve">France</w:t>
            </w:r>
          </w:p>
        </w:tc>
      </w:tr>
    </w:tbl>
    <w:p>
      <w:pPr>
        <w:pStyle w:val="BodyText"/>
      </w:pPr>
      <w:r>
        <w:rPr>
          <w:b/>
          <w:bCs/>
          <w:lang w:val="en-GB"/>
        </w:rPr>
        <w:t xml:space="preserve">Role GDPR. </w:t>
      </w:r>
      <w:r>
        <w:rPr>
          <w:lang w:val="en-GB"/>
        </w:rPr>
        <w:t xml:space="preserve"/>
      </w:r>
      <w:r>
        <w:rPr>
          <w:lang w:val="en-GB"/>
        </w:rPr>
        <w:t xml:space="preserve">your integrator/reseller ensures the marketing of the solution, its integration into conference systems (hardware), and first-level customer relations. In the nominal context, the integrator / </w:t>
      </w:r>
      <w:r>
        <w:rPr>
          <w:lang w:val="en-GB"/>
        </w:rPr>
        <w:t xml:space="preserve"/>
      </w:r>
      <w:r>
        <w:rPr>
          <w:b/>
          <w:bCs/>
          <w:lang w:val="en-GB"/>
        </w:rPr>
        <w:t xml:space="preserve">reseller acts neither as processor nor as subprocessor with respect to the Customer's production </w:t>
      </w:r>
      <w:r>
        <w:rPr>
          <w:lang w:val="en-GB"/>
        </w:rPr>
        <w:t xml:space="preserve"/>
      </w:r>
      <w:r>
        <w:rPr>
          <w:lang w:val="en-GB"/>
        </w:rPr>
        <w:t xml:space="preserve">data.</w:t>
      </w:r>
    </w:p>
    <w:p>
      <w:pPr>
        <w:pStyle w:val="BodyText"/>
      </w:pPr>
      <w:r>
        <w:rPr>
          <w:b/>
          <w:bCs/>
          <w:lang w:val="en-GB"/>
        </w:rPr>
        <w:t xml:space="preserve">Operations carried out.</w:t>
      </w:r>
    </w:p>
    <w:p>
      <w:pPr>
        <w:pStyle w:val="Compact"/>
        <w:numPr>
          <w:ilvl w:val="0"/>
          <w:numId w:val="1013"/>
        </w:numPr>
      </w:pPr>
      <w:r>
        <w:rPr>
          <w:lang w:val="en-GB"/>
        </w:rPr>
        <w:t xml:space="preserve">Marketing and commercial relations.</w:t>
      </w:r>
    </w:p>
    <w:p>
      <w:pPr>
        <w:pStyle w:val="Compact"/>
        <w:numPr>
          <w:ilvl w:val="0"/>
          <w:numId w:val="1013"/>
        </w:numPr>
      </w:pPr>
      <w:r>
        <w:rPr>
          <w:lang w:val="en-GB"/>
        </w:rPr>
        <w:t xml:space="preserve">Hardware integration with conference systems.</w:t>
      </w:r>
    </w:p>
    <w:p>
      <w:pPr>
        <w:pStyle w:val="Compact"/>
        <w:numPr>
          <w:ilvl w:val="0"/>
          <w:numId w:val="1013"/>
        </w:numPr>
      </w:pPr>
      <w:r>
        <w:rPr>
          <w:lang w:val="en-GB"/>
        </w:rPr>
        <w:t xml:space="preserve">First level support, orientation to OHADJA for technical support of the platform.</w:t>
      </w:r>
    </w:p>
    <w:p>
      <w:pPr>
        <w:pStyle w:val="FirstParagraph"/>
      </w:pPr>
      <w:r>
        <w:rPr>
          <w:b/>
          <w:bCs/>
          <w:lang w:val="en-GB"/>
        </w:rPr>
        <w:t xml:space="preserve">Access to personal data: NO (in principle).</w:t>
      </w:r>
    </w:p>
    <w:p>
      <w:pPr>
        <w:pStyle w:val="Compact"/>
        <w:numPr>
          <w:ilvl w:val="0"/>
          <w:numId w:val="1014"/>
        </w:numPr>
      </w:pPr>
      <w:r>
        <w:rPr>
          <w:lang w:val="en-GB"/>
        </w:rPr>
        <w:t xml:space="preserve">the integrator/reseller </w:t>
      </w:r>
      <w:r>
        <w:rPr>
          <w:lang w:val="en-GB"/>
        </w:rPr>
        <w:t xml:space="preserve"/>
      </w:r>
      <w:r>
        <w:rPr>
          <w:b/>
          <w:bCs/>
          <w:lang w:val="en-GB"/>
        </w:rPr>
        <w:t xml:space="preserve">does not access </w:t>
      </w:r>
      <w:r>
        <w:rPr>
          <w:lang w:val="en-GB"/>
        </w:rPr>
        <w:t xml:space="preserve"/>
      </w:r>
      <w:r>
        <w:rPr>
          <w:lang w:val="en-GB"/>
        </w:rPr>
        <w:t xml:space="preserve">the Customer's production data (audio, transcriptions, AI generations, accounts).</w:t>
      </w:r>
    </w:p>
    <w:p>
      <w:pPr>
        <w:pStyle w:val="Compact"/>
        <w:numPr>
          <w:ilvl w:val="0"/>
          <w:numId w:val="1014"/>
        </w:numPr>
      </w:pPr>
      <w:r>
        <w:rPr>
          <w:lang w:val="en-GB"/>
        </w:rPr>
        <w:t xml:space="preserve">Exception controlled by the Customer: if the Customer </w:t>
      </w:r>
      <w:r>
        <w:rPr>
          <w:lang w:val="en-GB"/>
        </w:rPr>
        <w:t xml:space="preserve"/>
      </w:r>
      <w:r>
        <w:rPr>
          <w:b/>
          <w:bCs/>
          <w:lang w:val="en-GB"/>
        </w:rPr>
        <w:t xml:space="preserve">explicitly creates </w:t>
      </w:r>
      <w:r>
        <w:rPr>
          <w:lang w:val="en-GB"/>
        </w:rPr>
        <w:t xml:space="preserve"/>
      </w:r>
      <w:r>
        <w:rPr>
          <w:lang w:val="en-GB"/>
        </w:rPr>
        <w:t xml:space="preserve">a service account for the benefit of the integrator / reseller in his organization, the corresponding access then falls under the authorizations decided and traced by the Customer himself.</w:t>
      </w:r>
    </w:p>
    <w:p>
      <w:pPr>
        <w:pStyle w:val="Compact"/>
        <w:numPr>
          <w:ilvl w:val="0"/>
          <w:numId w:val="1014"/>
        </w:numPr>
      </w:pPr>
      <w:r>
        <w:rPr>
          <w:b/>
          <w:bCs/>
          <w:lang w:val="en-GB"/>
        </w:rPr>
        <w:t xml:space="preserve">Case of the demo account: </w:t>
      </w:r>
      <w:r>
        <w:rPr>
          <w:lang w:val="en-GB"/>
        </w:rPr>
        <w:t xml:space="preserve"/>
      </w:r>
      <w:r>
        <w:rPr>
          <w:lang w:val="en-GB"/>
        </w:rPr>
        <w:t xml:space="preserve">an integrator/reseller administration role (</w:t>
      </w:r>
      <w:r>
        <w:rPr>
          <w:rStyle w:val="VerbatimChar"/>
          <w:lang w:val="en-GB"/>
        </w:rPr>
        <w:t xml:space="preserve">super_agent</w:t>
      </w:r>
      <w:r>
        <w:rPr>
          <w:lang w:val="en-GB"/>
        </w:rPr>
        <w:t xml:space="preserve">) only exists on the demo environment, </w:t>
      </w:r>
      <w:r>
        <w:rPr>
          <w:lang w:val="en-GB"/>
        </w:rPr>
        <w:t xml:space="preserve"/>
      </w:r>
      <w:r>
        <w:rPr>
          <w:b/>
          <w:bCs/>
          <w:lang w:val="en-GB"/>
        </w:rPr>
        <w:t xml:space="preserve">never on </w:t>
      </w:r>
      <w:r>
        <w:rPr>
          <w:lang w:val="en-GB"/>
        </w:rPr>
        <w:t xml:space="preserve">production. This role allows you to create structures and accounts for commercial demonstration purposes; it does not provide </w:t>
      </w:r>
      <w:r>
        <w:rPr>
          <w:lang w:val="en-GB"/>
        </w:rPr>
        <w:t xml:space="preserve"/>
      </w:r>
      <w:r>
        <w:rPr>
          <w:b/>
          <w:bCs/>
          <w:lang w:val="en-GB"/>
        </w:rPr>
        <w:t xml:space="preserve">any access to the organizations' </w:t>
      </w:r>
      <w:r>
        <w:rPr>
          <w:lang w:val="en-GB"/>
        </w:rPr>
        <w:t xml:space="preserve"/>
      </w:r>
      <w:r>
        <w:rPr>
          <w:lang w:val="en-GB"/>
        </w:rPr>
        <w:t xml:space="preserve">content (neither audio nor transcriptions).</w:t>
      </w:r>
    </w:p>
    <w:bookmarkEnd w:id="51"/>
    <w:bookmarkStart w:id="52" w:name="Xa91448aaf16ce566fab1d93587d96bb314a63a9"/>
    <w:p>
      <w:pPr>
        <w:pStyle w:val="Heading3"/>
        <w:keepNext/>
        <w:keepLines/>
      </w:pPr>
      <w:r>
        <w:rPr>
          <w:color w:val="000000"/>
          <w:lang w:val="en-GB"/>
        </w:rPr>
        <w:t xml:space="preserve">2.4 The Client (client organization) — controller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Naming</w:t>
            </w:r>
          </w:p>
        </w:tc>
        <w:tc>
          <w:tcPr/>
          <w:p>
            <w:pPr>
              <w:pStyle w:val="Compact"/>
            </w:pPr>
            <w:r>
              <w:rPr>
                <w:lang w:val="en-GB"/>
              </w:rPr>
              <w:t xml:space="preserve">Client organization</w:t>
            </w:r>
          </w:p>
        </w:tc>
      </w:tr>
      <w:tr>
        <w:trPr>
          <w:cantSplit/>
        </w:trPr>
        <w:tc>
          <w:tcPr/>
          <w:p>
            <w:pPr>
              <w:pStyle w:val="Compact"/>
            </w:pPr>
            <w:r>
              <w:rPr>
                <w:lang w:val="en-GB"/>
              </w:rPr>
              <w:t xml:space="preserve">Role GDPR</w:t>
            </w:r>
          </w:p>
        </w:tc>
        <w:tc>
          <w:tcPr/>
          <w:p>
            <w:pPr>
              <w:pStyle w:val="Compact"/>
            </w:pPr>
            <w:r>
              <w:rPr>
                <w:lang w:val="en-GB"/>
              </w:rPr>
              <w:t xml:space="preserve">Controller (item 4.7 GDPR)</w:t>
            </w:r>
          </w:p>
        </w:tc>
      </w:tr>
      <w:tr>
        <w:trPr>
          <w:cantSplit/>
        </w:trPr>
        <w:tc>
          <w:tcPr/>
          <w:p>
            <w:pPr>
              <w:pStyle w:val="Compact"/>
            </w:pPr>
            <w:r>
              <w:rPr>
                <w:lang w:val="en-GB"/>
              </w:rPr>
              <w:t xml:space="preserve">Contact details</w:t>
            </w:r>
          </w:p>
        </w:tc>
        <w:tc>
          <w:tcPr/>
          <w:p>
            <w:pPr>
              <w:pStyle w:val="Compact"/>
            </w:pPr>
            <w:r>
              <w:rPr>
                <w:lang w:val="en-GB"/>
              </w:rPr>
              <w:t xml:space="preserve">[TO BE COMPLETED by the customer: legal representative, DPO contact]</w:t>
            </w:r>
          </w:p>
        </w:tc>
      </w:tr>
    </w:tbl>
    <w:p>
      <w:pPr>
        <w:pStyle w:val="BodyText"/>
      </w:pPr>
      <w:r>
        <w:rPr>
          <w:b/>
          <w:bCs/>
          <w:lang w:val="en-GB"/>
        </w:rPr>
        <w:t xml:space="preserve">Role GDPR. </w:t>
      </w:r>
      <w:r>
        <w:rPr>
          <w:lang w:val="en-GB"/>
        </w:rPr>
        <w:t xml:space="preserve"/>
      </w:r>
      <w:r>
        <w:rPr>
          <w:lang w:val="en-GB"/>
        </w:rPr>
        <w:t xml:space="preserve">The Client determines the purposes and essential means of the processing carried out using TranscribIA. As such, it is his responsibility to:</w:t>
      </w:r>
    </w:p>
    <w:p>
      <w:pPr>
        <w:pStyle w:val="Compact"/>
        <w:numPr>
          <w:ilvl w:val="0"/>
          <w:numId w:val="1015"/>
        </w:numPr>
      </w:pPr>
      <w:r>
        <w:rPr>
          <w:lang w:val="en-GB"/>
        </w:rPr>
        <w:t xml:space="preserve">define the legal basis for each processing (article 6, and where applicable article 9);</w:t>
      </w:r>
    </w:p>
    <w:p>
      <w:pPr>
        <w:pStyle w:val="Compact"/>
        <w:numPr>
          <w:ilvl w:val="0"/>
          <w:numId w:val="1015"/>
        </w:numPr>
      </w:pPr>
      <w:r>
        <w:rPr>
          <w:lang w:val="en-GB"/>
        </w:rPr>
        <w:t xml:space="preserve">inform the persons concerned (articles 12 to 14);</w:t>
      </w:r>
    </w:p>
    <w:p>
      <w:pPr>
        <w:pStyle w:val="Compact"/>
        <w:numPr>
          <w:ilvl w:val="0"/>
          <w:numId w:val="1015"/>
        </w:numPr>
      </w:pPr>
      <w:r>
        <w:rPr>
          <w:lang w:val="en-GB"/>
        </w:rPr>
        <w:t xml:space="preserve">set the retention periods applicable to its content (configurable by organization);</w:t>
      </w:r>
    </w:p>
    <w:p>
      <w:pPr>
        <w:pStyle w:val="Compact"/>
        <w:numPr>
          <w:ilvl w:val="0"/>
          <w:numId w:val="1015"/>
        </w:numPr>
      </w:pPr>
      <w:r>
        <w:rPr>
          <w:lang w:val="en-GB"/>
        </w:rPr>
        <w:t xml:space="preserve">manage requests to exercise people’s rights;</w:t>
      </w:r>
    </w:p>
    <w:p>
      <w:pPr>
        <w:pStyle w:val="Compact"/>
        <w:numPr>
          <w:ilvl w:val="0"/>
          <w:numId w:val="1015"/>
        </w:numPr>
      </w:pPr>
      <w:r>
        <w:rPr>
          <w:lang w:val="en-GB"/>
        </w:rPr>
        <w:t xml:space="preserve">keep the register of processing activities (article 30.1);</w:t>
      </w:r>
    </w:p>
    <w:p>
      <w:pPr>
        <w:pStyle w:val="Compact"/>
        <w:numPr>
          <w:ilvl w:val="0"/>
          <w:numId w:val="1015"/>
        </w:numPr>
      </w:pPr>
      <w:r>
        <w:rPr>
          <w:lang w:val="en-GB"/>
        </w:rPr>
        <w:t xml:space="preserve">carry out, when required, the impact analysis relating to data protection (article 35).</w:t>
      </w:r>
    </w:p>
    <w:p>
      <w:pPr>
        <w:pStyle w:val="FirstParagraph"/>
      </w:pPr>
      <w:r>
        <w:rPr>
          <w:b/>
          <w:bCs/>
          <w:lang w:val="en-GB"/>
        </w:rPr>
        <w:t xml:space="preserve">Access to data: </w:t>
      </w:r>
      <w:r>
        <w:rPr>
          <w:lang w:val="en-GB"/>
        </w:rPr>
        <w:t xml:space="preserve">YES, as controller, via the accounts and roles he creates and administers within his organization.</w:t>
      </w:r>
    </w:p>
    <w:bookmarkEnd w:id="52"/>
    <w:bookmarkStart w:id="53" w:name="X013e398b6217181d0b11a7c01590f89a86b1984"/>
    <w:p>
      <w:pPr>
        <w:pStyle w:val="Heading3"/>
        <w:keepNext/>
        <w:keepLines/>
      </w:pPr>
      <w:r>
        <w:rPr>
          <w:color w:val="000000"/>
          <w:lang w:val="en-GB"/>
        </w:rPr>
        <w:t xml:space="preserve">2.5 Subprocessors technical (reference)</w:t>
      </w:r>
    </w:p>
    <w:p>
      <w:pPr>
        <w:pStyle w:val="FirstParagraph"/>
      </w:pPr>
      <w:r>
        <w:rPr>
          <w:lang w:val="en-GB"/>
        </w:rPr>
        <w:t xml:space="preserve">In </w:t>
      </w:r>
      <w:r>
        <w:rPr>
          <w:lang w:val="en-GB"/>
        </w:rPr>
        <w:t xml:space="preserve"/>
      </w:r>
      <w:r>
        <w:rPr>
          <w:b/>
          <w:bCs/>
          <w:lang w:val="en-GB"/>
        </w:rPr>
        <w:t xml:space="preserve">Option A </w:t>
      </w:r>
      <w:r>
        <w:rPr>
          <w:lang w:val="en-GB"/>
        </w:rPr>
        <w:t xml:space="preserve">(SaaS), OHADJA uses subprocessors for hosting, backup, GPU transcription and artificial intelligence functions. Each is identified — country of establishment, role, processing and storage locations, human access, guarantees — in document OHA-RGPD-03. </w:t>
      </w:r>
      <w:r>
        <w:rPr>
          <w:lang w:val="en-GB"/>
        </w:rPr>
        <w:t xml:space="preserve"/>
      </w:r>
      <w:r>
        <w:rPr>
          <w:b/>
          <w:bCs/>
          <w:lang w:val="en-GB"/>
        </w:rPr>
        <w:t xml:space="preserve">Possible </w:t>
      </w:r>
      <w:r>
        <w:rPr>
          <w:lang w:val="en-GB"/>
        </w:rPr>
        <w:t xml:space="preserve">transfers and access outside the EEA are covered in document </w:t>
      </w:r>
      <w:r>
        <w:rPr>
          <w:lang w:val="en-GB"/>
        </w:rPr>
        <w:t xml:space="preserve"/>
      </w:r>
      <w:r>
        <w:rPr>
          <w:b/>
          <w:bCs/>
          <w:lang w:val="en-GB"/>
        </w:rPr>
        <w:t xml:space="preserve"/>
      </w:r>
      <w:r>
        <w:rPr>
          <w:lang w:val="en-GB"/>
        </w:rPr>
        <w:t xml:space="preserve">OHA-RGPD-04.</w:t>
      </w:r>
    </w:p>
    <w:p>
      <w:pPr>
        <w:pStyle w:val="BodyText"/>
      </w:pPr>
      <w:r>
        <w:rPr>
          <w:lang w:val="en-GB"/>
        </w:rPr>
        <w:t xml:space="preserve">In </w:t>
      </w:r>
      <w:r>
        <w:rPr>
          <w:lang w:val="en-GB"/>
        </w:rPr>
        <w:t xml:space="preserve"/>
      </w:r>
      <w:r>
        <w:rPr>
          <w:b/>
          <w:bCs/>
          <w:lang w:val="en-GB"/>
        </w:rPr>
        <w:t xml:space="preserve">isolated </w:t>
      </w:r>
      <w:r>
        <w:rPr>
          <w:lang w:val="en-GB"/>
        </w:rPr>
        <w:t xml:space="preserve">Option B, </w:t>
      </w:r>
      <w:r>
        <w:rPr>
          <w:lang w:val="en-GB"/>
        </w:rPr>
        <w:t xml:space="preserve"/>
      </w:r>
      <w:r>
        <w:rPr>
          <w:b/>
          <w:bCs/>
          <w:lang w:val="en-GB"/>
        </w:rPr>
        <w:t xml:space="preserve">there </w:t>
      </w:r>
      <w:r>
        <w:rPr>
          <w:lang w:val="en-GB"/>
        </w:rPr>
        <w:t xml:space="preserve">is </w:t>
      </w:r>
      <w:r>
        <w:rPr>
          <w:lang w:val="en-GB"/>
        </w:rPr>
        <w:t xml:space="preserve">no subprocessor: all processing runs in the Customer's infrastructure.</w:t>
      </w:r>
    </w:p>
    <w:bookmarkEnd w:id="53"/>
    <w:bookmarkEnd w:id="54"/>
    <w:bookmarkStart w:id="55" w:name="Xa3b753c59da78167f5a5b09b154b0079cdc206c"/>
    <w:p>
      <w:pPr>
        <w:pStyle w:val="Heading2"/>
        <w:keepNext/>
        <w:keepLines/>
      </w:pPr>
      <w:r>
        <w:rPr>
          <w:color w:val="000000"/>
          <w:lang w:val="en-GB"/>
        </w:rPr>
        <w:t xml:space="preserve">3. Summary table of roles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Actor</w:t>
            </w:r>
          </w:p>
        </w:tc>
        <w:tc>
          <w:tcPr>
            <w:tcW w:type="dxa" w:w="2340"/>
            <w:tcMar>
              <w:left w:type="dxa" w:w="80"/>
              <w:right w:type="dxa" w:w="80"/>
            </w:tcMar>
          </w:tcPr>
          <w:p>
            <w:pPr>
              <w:pStyle w:val="Compact"/>
            </w:pPr>
            <w:r>
              <w:rPr>
                <w:sz w:val="19"/>
                <w:szCs w:val="19"/>
                <w:lang w:val="en-GB"/>
              </w:rPr>
              <w:t xml:space="preserve">Role GDPR</w:t>
            </w:r>
          </w:p>
        </w:tc>
        <w:tc>
          <w:tcPr>
            <w:tcW w:type="dxa" w:w="2340"/>
            <w:tcMar>
              <w:left w:type="dxa" w:w="80"/>
              <w:right w:type="dxa" w:w="80"/>
            </w:tcMar>
          </w:tcPr>
          <w:p>
            <w:pPr>
              <w:pStyle w:val="Compact"/>
            </w:pPr>
            <w:r>
              <w:rPr>
                <w:sz w:val="19"/>
                <w:szCs w:val="19"/>
                <w:lang w:val="en-GB"/>
              </w:rPr>
              <w:t xml:space="preserve">Operations carried out</w:t>
            </w:r>
          </w:p>
        </w:tc>
        <w:tc>
          <w:tcPr>
            <w:tcW w:type="dxa" w:w="2340"/>
            <w:tcMar>
              <w:left w:type="dxa" w:w="80"/>
              <w:right w:type="dxa" w:w="80"/>
            </w:tcMar>
          </w:tcPr>
          <w:p>
            <w:pPr>
              <w:pStyle w:val="Compact"/>
            </w:pPr>
            <w:r>
              <w:rPr>
                <w:sz w:val="19"/>
                <w:szCs w:val="19"/>
                <w:lang w:val="en-GB"/>
              </w:rPr>
              <w:t xml:space="preserve">Access to production data</w:t>
            </w:r>
          </w:p>
        </w:tc>
      </w:tr>
      <w:tr>
        <w:trPr>
          <w:cantSplit/>
        </w:trPr>
        <w:tc>
          <w:tcPr>
            <w:tcW w:type="dxa" w:w="2340"/>
            <w:tcMar>
              <w:left w:type="dxa" w:w="80"/>
              <w:right w:type="dxa" w:w="80"/>
            </w:tcMar>
          </w:tcPr>
          <w:p>
            <w:pPr>
              <w:pStyle w:val="Compact"/>
            </w:pPr>
            <w:r>
              <w:rPr>
                <w:b/>
                <w:bCs/>
                <w:sz w:val="19"/>
                <w:szCs w:val="19"/>
                <w:lang w:val="en-GB"/>
              </w:rPr>
              <w:t xml:space="preserve">the Customer</w:t>
            </w:r>
          </w:p>
        </w:tc>
        <w:tc>
          <w:tcPr>
            <w:tcW w:type="dxa" w:w="2340"/>
            <w:tcMar>
              <w:left w:type="dxa" w:w="80"/>
              <w:right w:type="dxa" w:w="80"/>
            </w:tcMar>
          </w:tcPr>
          <w:p>
            <w:pPr>
              <w:pStyle w:val="Compact"/>
            </w:pPr>
            <w:r>
              <w:rPr>
                <w:sz w:val="19"/>
                <w:szCs w:val="19"/>
                <w:lang w:val="en-GB"/>
              </w:rPr>
              <w:t xml:space="preserve">Controller (art. 4.7)</w:t>
            </w:r>
          </w:p>
        </w:tc>
        <w:tc>
          <w:tcPr>
            <w:tcW w:type="dxa" w:w="2340"/>
            <w:tcMar>
              <w:left w:type="dxa" w:w="80"/>
              <w:right w:type="dxa" w:w="80"/>
            </w:tcMar>
          </w:tcPr>
          <w:p>
            <w:pPr>
              <w:pStyle w:val="Compact"/>
            </w:pPr>
            <w:r>
              <w:rPr>
                <w:sz w:val="19"/>
                <w:szCs w:val="19"/>
                <w:lang w:val="en-GB"/>
              </w:rPr>
              <w:t xml:space="preserve">Determines purposes, legal bases, durations; informs people; manages rights</w:t>
            </w:r>
          </w:p>
        </w:tc>
        <w:tc>
          <w:tcPr>
            <w:tcW w:type="dxa" w:w="2340"/>
            <w:tcMar>
              <w:left w:type="dxa" w:w="80"/>
              <w:right w:type="dxa" w:w="80"/>
            </w:tcMar>
          </w:tcPr>
          <w:p>
            <w:pPr>
              <w:pStyle w:val="Compact"/>
            </w:pPr>
            <w:r>
              <w:rPr>
                <w:sz w:val="19"/>
                <w:szCs w:val="19"/>
                <w:lang w:val="en-GB"/>
              </w:rPr>
              <w:t xml:space="preserve">Yes (via their accounts and roles)</w:t>
            </w:r>
          </w:p>
        </w:tc>
      </w:tr>
      <w:tr>
        <w:trPr>
          <w:cantSplit/>
        </w:trPr>
        <w:tc>
          <w:tcPr>
            <w:tcW w:type="dxa" w:w="2340"/>
            <w:tcMar>
              <w:left w:type="dxa" w:w="80"/>
              <w:right w:type="dxa" w:w="80"/>
            </w:tcMar>
          </w:tcPr>
          <w:p>
            <w:pPr>
              <w:pStyle w:val="Compact"/>
            </w:pPr>
            <w:r>
              <w:rPr>
                <w:b/>
                <w:bCs/>
                <w:sz w:val="19"/>
                <w:szCs w:val="19"/>
                <w:lang w:val="en-GB"/>
              </w:rPr>
              <w:t xml:space="preserve">OHADJA</w:t>
            </w:r>
          </w:p>
        </w:tc>
        <w:tc>
          <w:tcPr>
            <w:tcW w:type="dxa" w:w="2340"/>
            <w:tcMar>
              <w:left w:type="dxa" w:w="80"/>
              <w:right w:type="dxa" w:w="80"/>
            </w:tcMar>
          </w:tcPr>
          <w:p>
            <w:pPr>
              <w:pStyle w:val="Compact"/>
            </w:pPr>
            <w:r>
              <w:rPr>
                <w:sz w:val="19"/>
                <w:szCs w:val="19"/>
                <w:lang w:val="en-GB"/>
              </w:rPr>
              <w:t xml:space="preserve">Processor (art. 4.8 / art. 28) — editor</w:t>
            </w:r>
          </w:p>
        </w:tc>
        <w:tc>
          <w:tcPr>
            <w:tcW w:type="dxa" w:w="2340"/>
            <w:tcMar>
              <w:left w:type="dxa" w:w="80"/>
              <w:right w:type="dxa" w:w="80"/>
            </w:tcMar>
          </w:tcPr>
          <w:p>
            <w:pPr>
              <w:pStyle w:val="Compact"/>
            </w:pPr>
            <w:r>
              <w:rPr>
                <w:sz w:val="19"/>
                <w:szCs w:val="19"/>
                <w:lang w:val="en-GB"/>
              </w:rPr>
              <w:t xml:space="preserve">Edition, SaaS operation (Option A), support, maintenance</w:t>
            </w:r>
          </w:p>
        </w:tc>
        <w:tc>
          <w:tcPr>
            <w:tcW w:type="dxa" w:w="2340"/>
            <w:tcMar>
              <w:left w:type="dxa" w:w="80"/>
              <w:right w:type="dxa" w:w="80"/>
            </w:tcMar>
          </w:tcPr>
          <w:p>
            <w:pPr>
              <w:pStyle w:val="Compact"/>
            </w:pPr>
            <w:r>
              <w:rPr>
                <w:sz w:val="19"/>
                <w:szCs w:val="19"/>
                <w:lang w:val="en-GB"/>
              </w:rPr>
              <w:t xml:space="preserve">Yes — framed (nominative, SSH, 2FA, TLS, journaled, no local copy, from France/EU)</w:t>
            </w:r>
          </w:p>
        </w:tc>
      </w:tr>
      <w:tr>
        <w:trPr>
          <w:cantSplit/>
        </w:trPr>
        <w:tc>
          <w:tcPr>
            <w:tcW w:type="dxa" w:w="2340"/>
            <w:tcMar>
              <w:left w:type="dxa" w:w="80"/>
              <w:right w:type="dxa" w:w="80"/>
            </w:tcMar>
          </w:tcPr>
          <w:p>
            <w:pPr>
              <w:pStyle w:val="Compact"/>
            </w:pPr>
            <w:r>
              <w:rPr>
                <w:b/>
                <w:bCs/>
                <w:sz w:val="19"/>
                <w:szCs w:val="19"/>
                <w:lang w:val="en-GB"/>
              </w:rPr>
              <w:t xml:space="preserve">AMBASSADIA SARL</w:t>
            </w:r>
          </w:p>
        </w:tc>
        <w:tc>
          <w:tcPr>
            <w:tcW w:type="dxa" w:w="2340"/>
            <w:tcMar>
              <w:left w:type="dxa" w:w="80"/>
              <w:right w:type="dxa" w:w="80"/>
            </w:tcMar>
          </w:tcPr>
          <w:p>
            <w:pPr>
              <w:pStyle w:val="Compact"/>
            </w:pPr>
            <w:r>
              <w:rPr>
                <w:sz w:val="19"/>
                <w:szCs w:val="19"/>
                <w:lang w:val="en-GB"/>
              </w:rPr>
              <w:t xml:space="preserve">Commercial reseller / distributor (Monaco and France) — no data processing</w:t>
            </w:r>
          </w:p>
        </w:tc>
        <w:tc>
          <w:tcPr>
            <w:tcW w:type="dxa" w:w="2340"/>
            <w:tcMar>
              <w:left w:type="dxa" w:w="80"/>
              <w:right w:type="dxa" w:w="80"/>
            </w:tcMar>
          </w:tcPr>
          <w:p>
            <w:pPr>
              <w:pStyle w:val="Compact"/>
            </w:pPr>
            <w:r>
              <w:rPr>
                <w:sz w:val="19"/>
                <w:szCs w:val="19"/>
                <w:lang w:val="en-GB"/>
              </w:rPr>
              <w:t xml:space="preserve">Marketing, commercial relations</w:t>
            </w:r>
          </w:p>
        </w:tc>
        <w:tc>
          <w:tcPr>
            <w:tcW w:type="dxa" w:w="2340"/>
            <w:tcMar>
              <w:left w:type="dxa" w:w="80"/>
              <w:right w:type="dxa" w:w="80"/>
            </w:tcMar>
          </w:tcPr>
          <w:p>
            <w:pPr>
              <w:pStyle w:val="Compact"/>
            </w:pPr>
            <w:r>
              <w:rPr>
                <w:sz w:val="19"/>
                <w:szCs w:val="19"/>
                <w:lang w:val="en-GB"/>
              </w:rPr>
              <w:t xml:space="preserve">No</w:t>
            </w:r>
          </w:p>
        </w:tc>
      </w:tr>
      <w:tr>
        <w:trPr>
          <w:cantSplit/>
        </w:trPr>
        <w:tc>
          <w:tcPr>
            <w:tcW w:type="dxa" w:w="2340"/>
            <w:tcMar>
              <w:left w:type="dxa" w:w="80"/>
              <w:right w:type="dxa" w:w="80"/>
            </w:tcMar>
          </w:tcPr>
          <w:p>
            <w:pPr>
              <w:pStyle w:val="Compact"/>
            </w:pPr>
            <w:r>
              <w:rPr>
                <w:b/>
                <w:bCs/>
                <w:sz w:val="19"/>
                <w:szCs w:val="19"/>
                <w:lang w:val="en-GB"/>
              </w:rPr>
              <w:t xml:space="preserve">your integrator / reseller</w:t>
            </w:r>
          </w:p>
        </w:tc>
        <w:tc>
          <w:tcPr>
            <w:tcW w:type="dxa" w:w="2340"/>
            <w:tcMar>
              <w:left w:type="dxa" w:w="80"/>
              <w:right w:type="dxa" w:w="80"/>
            </w:tcMar>
          </w:tcPr>
          <w:p>
            <w:pPr>
              <w:pStyle w:val="Compact"/>
            </w:pPr>
            <w:r>
              <w:rPr>
                <w:sz w:val="19"/>
                <w:szCs w:val="19"/>
                <w:lang w:val="en-GB"/>
              </w:rPr>
              <w:t xml:space="preserve">Distributor / integrator — no processing of production data</w:t>
            </w:r>
          </w:p>
        </w:tc>
        <w:tc>
          <w:tcPr>
            <w:tcW w:type="dxa" w:w="2340"/>
            <w:tcMar>
              <w:left w:type="dxa" w:w="80"/>
              <w:right w:type="dxa" w:w="80"/>
            </w:tcMar>
          </w:tcPr>
          <w:p>
            <w:pPr>
              <w:pStyle w:val="Compact"/>
            </w:pPr>
            <w:r>
              <w:rPr>
                <w:sz w:val="19"/>
                <w:szCs w:val="19"/>
                <w:lang w:val="en-GB"/>
              </w:rPr>
              <w:t xml:space="preserve">Marketing, hardware integration, 1st level relationship</w:t>
            </w:r>
          </w:p>
        </w:tc>
        <w:tc>
          <w:tcPr>
            <w:tcW w:type="dxa" w:w="2340"/>
            <w:tcMar>
              <w:left w:type="dxa" w:w="80"/>
              <w:right w:type="dxa" w:w="80"/>
            </w:tcMar>
          </w:tcPr>
          <w:p>
            <w:pPr>
              <w:pStyle w:val="Compact"/>
            </w:pPr>
            <w:r>
              <w:rPr>
                <w:sz w:val="19"/>
                <w:szCs w:val="19"/>
                <w:lang w:val="en-GB"/>
              </w:rPr>
              <w:t xml:space="preserve">No — except service account created by customer; admin role on demo only, without access to content</w:t>
            </w:r>
          </w:p>
        </w:tc>
      </w:tr>
      <w:tr>
        <w:trPr>
          <w:cantSplit/>
        </w:trPr>
        <w:tc>
          <w:tcPr>
            <w:tcW w:type="dxa" w:w="2340"/>
            <w:tcMar>
              <w:left w:type="dxa" w:w="80"/>
              <w:right w:type="dxa" w:w="80"/>
            </w:tcMar>
          </w:tcPr>
          <w:p>
            <w:pPr>
              <w:pStyle w:val="Compact"/>
            </w:pPr>
            <w:r>
              <w:rPr>
                <w:b/>
                <w:bCs/>
                <w:sz w:val="19"/>
                <w:szCs w:val="19"/>
                <w:lang w:val="en-GB"/>
              </w:rPr>
              <w:t xml:space="preserve">Subprocessors technical</w:t>
            </w:r>
          </w:p>
        </w:tc>
        <w:tc>
          <w:tcPr>
            <w:tcW w:type="dxa" w:w="2340"/>
            <w:tcMar>
              <w:left w:type="dxa" w:w="80"/>
              <w:right w:type="dxa" w:w="80"/>
            </w:tcMar>
          </w:tcPr>
          <w:p>
            <w:pPr>
              <w:pStyle w:val="Compact"/>
            </w:pPr>
            <w:r>
              <w:rPr>
                <w:sz w:val="19"/>
                <w:szCs w:val="19"/>
                <w:lang w:val="en-GB"/>
              </w:rPr>
              <w:t xml:space="preserve">Subprocessors (art. 28.2/28.4) — Option A only</w:t>
            </w:r>
          </w:p>
        </w:tc>
        <w:tc>
          <w:tcPr>
            <w:tcW w:type="dxa" w:w="2340"/>
            <w:tcMar>
              <w:left w:type="dxa" w:w="80"/>
              <w:right w:type="dxa" w:w="80"/>
            </w:tcMar>
          </w:tcPr>
          <w:p>
            <w:pPr>
              <w:pStyle w:val="Compact"/>
            </w:pPr>
            <w:r>
              <w:rPr>
                <w:sz w:val="19"/>
                <w:szCs w:val="19"/>
                <w:lang w:val="en-GB"/>
              </w:rPr>
              <w:t xml:space="preserve">Hosting, backup, GPU transcription, AI (see OHA-RGPD-03)</w:t>
            </w:r>
          </w:p>
        </w:tc>
        <w:tc>
          <w:tcPr>
            <w:tcW w:type="dxa" w:w="2340"/>
            <w:tcMar>
              <w:left w:type="dxa" w:w="80"/>
              <w:right w:type="dxa" w:w="80"/>
            </w:tcMar>
          </w:tcPr>
          <w:p>
            <w:pPr>
              <w:pStyle w:val="Compact"/>
            </w:pPr>
            <w:r>
              <w:rPr>
                <w:sz w:val="19"/>
                <w:szCs w:val="19"/>
                <w:lang w:val="en-GB"/>
              </w:rPr>
              <w:t xml:space="preserve">See OHA-RGPD-03 (mostly automated processing, without human access to content)</w:t>
            </w:r>
          </w:p>
        </w:tc>
      </w:tr>
    </w:tbl>
    <w:bookmarkEnd w:id="55"/>
    <w:bookmarkStart w:id="59" w:name="Xaef194183ecdfd08edae724911271a5bfba8a85"/>
    <w:p>
      <w:pPr>
        <w:pStyle w:val="Heading2"/>
        <w:keepNext/>
        <w:keepLines/>
      </w:pPr>
      <w:r>
        <w:rPr>
          <w:color w:val="000000"/>
          <w:lang w:val="en-GB"/>
        </w:rPr>
        <w:t xml:space="preserve">4. Actor chain diagram (Option A — SaaS)</w:t>
      </w:r>
    </w:p>
    <w:p>
      <w:pPr>
        <w:pStyle w:val="FirstParagraph"/>
        <w:keepNext/>
      </w:pPr>
      <w:r>
        <w:drawing>
          <wp:inline>
            <wp:extent cx="5334000" cy="4960620"/>
            <wp:effectExtent b="0" l="0" r="0" t="0"/>
            <wp:docPr descr="Chaîne d'acteurs" title="" id="57" name="Picture"/>
            <a:graphic>
              <a:graphicData uri="http://schemas.openxmlformats.org/drawingml/2006/picture">
                <pic:pic>
                  <pic:nvPicPr>
                    <pic:cNvPr descr="img/acteurs.png" id="58" name="Picture"/>
                    <pic:cNvPicPr>
                      <a:picLocks noChangeArrowheads="1" noChangeAspect="1"/>
                    </pic:cNvPicPr>
                  </pic:nvPicPr>
                  <pic:blipFill>
                    <a:blip r:embed="rId56"/>
                    <a:stretch>
                      <a:fillRect/>
                    </a:stretch>
                  </pic:blipFill>
                  <pic:spPr bwMode="auto">
                    <a:xfrm>
                      <a:off x="0" y="0"/>
                      <a:ext cx="5334000" cy="4960620"/>
                    </a:xfrm>
                    <a:prstGeom prst="rect">
                      <a:avLst/>
                    </a:prstGeom>
                    <a:noFill/>
                    <a:ln w="9525">
                      <a:noFill/>
                      <a:headEnd/>
                      <a:tailEnd/>
                    </a:ln>
                  </pic:spPr>
                </pic:pic>
              </a:graphicData>
            </a:graphic>
          </wp:inline>
        </w:drawing>
      </w:r>
    </w:p>
    <w:p>
      <w:pPr>
        <w:pStyle w:val="BodyText"/>
        <w:keepLines/>
      </w:pPr>
      <w:r>
        <w:rPr>
          <w:i/>
          <w:iCs/>
          <w:lang w:val="en-GB"/>
        </w:rPr>
        <w:t xml:space="preserve">Figure 1 — Chain of actors GDPR of TranscribIA: resellers/distributors, customer controller, OHADJA (publisher and processor art. 28) and subprocessors (Visio .vsdx version re-established in the implementation phase).</w:t>
      </w:r>
    </w:p>
    <w:p>
      <w:pPr>
        <w:pStyle w:val="BodyText"/>
      </w:pPr>
      <w:r>
        <w:rPr>
          <w:b/>
          <w:bCs/>
          <w:lang w:val="en-GB"/>
        </w:rPr>
        <w:t xml:space="preserve">Text version:</w:t>
      </w:r>
    </w:p>
    <w:p>
      <w:pPr>
        <w:pStyle w:val="SourceCode"/>
      </w:pPr>
      <w:r>
        <w:rPr>
          <w:rStyle w:val="VerbatimChar"/>
          <w:rFonts w:ascii="Courier New" w:hAnsi="Courier New" w:eastAsia="Courier New" w:cs="Courier New"/>
          <w:sz w:val="17"/>
          <w:szCs w:val="17"/>
        </w:rPr>
        <w:t xml:space="preserve">CUSTOMER ORGANISATION — Controller</w:t>
        <w:br/>
        <w:t xml:space="preserve">  Purposes, legal bases, retention, information and data subject rights</w:t>
        <w:br/>
        <w:t xml:space="preserve">  | uses the service                     ^ assistance / support (2nd level)</w:t>
        <w:br/>
        <w:t xml:space="preserve">  v                                      |</w:t>
        <w:br/>
        <w:t xml:space="preserve">OHADJA — Publisher + Processor (Art. 28)</w:t>
        <w:br/>
        <w:t xml:space="preserve">  SaaS operations, support, maintenance</w:t>
        <w:br/>
        <w:t xml:space="preserve">  Data access: France / EU only</w:t>
        <w:br/>
        <w:t xml:space="preserve">  ^ commercial relationship through RESELLERS / DISTRIBUTORS:</w:t>
        <w:br/>
        <w:t xml:space="preserve">    - AMBASSADIA SARL (Monaco and France)</w:t>
        <w:br/>
        <w:t xml:space="preserve">    - integrator / reseller</w:t>
        <w:br/>
        <w:t xml:space="preserve">    - commercial role, NO data access</w:t>
        <w:br/>
        <w:t xml:space="preserve">  | engages subprocessors (Option A)</w:t>
        <w:br/>
        <w:t xml:space="preserve">  v</w:t>
        <w:br/>
        <w:t xml:space="preserve">Hosting (France) · Backup (EU)</w:t>
        <w:br/>
        <w:t xml:space="preserve">GPU transcription · AI functions (LLM)</w:t>
        <w:br/>
        <w:t xml:space="preserve">  -&gt; details: documents OHA-RGPD-03/04</w:t>
      </w:r>
    </w:p>
    <w:p>
      <w:pPr>
        <w:pStyle w:val="FirstParagraph"/>
      </w:pPr>
      <w:r>
        <w:rPr>
          <w:lang w:val="en-GB"/>
        </w:rPr>
        <w:t xml:space="preserve">In </w:t>
      </w:r>
      <w:r>
        <w:rPr>
          <w:lang w:val="en-GB"/>
        </w:rPr>
        <w:t xml:space="preserve"/>
      </w:r>
      <w:r>
        <w:rPr>
          <w:b/>
          <w:bCs/>
          <w:lang w:val="en-GB"/>
        </w:rPr>
        <w:t xml:space="preserve">isolated Option </w:t>
      </w:r>
      <w:r>
        <w:rPr>
          <w:lang w:val="en-GB"/>
        </w:rPr>
        <w:t xml:space="preserve">B, the diagram is reduced to the Client alone: all the components (application, database, GPU transcription, language model) run in its infrastructure; OHADJA only intervenes for the maintenance/support operations entrusted to it, and there is no subprocessor.</w:t>
      </w:r>
    </w:p>
    <w:p>
      <w:pPr>
        <w:pStyle w:val="BlockText"/>
      </w:pPr>
      <w:r>
        <w:rPr>
          <w:lang w:val="en-GB"/>
        </w:rPr>
        <w:t xml:space="preserve">The final synoptic will be submitted in Visio format (.vsdx) during the implementation phase, based on this diagram.</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59"/>
    <w:bookmarkEnd w:id="60"/>
    <w:bookmarkStart w:id="77" w:name="X001a6d632cb4d7312fb50fba4a39a5158970664"/>
    <w:p>
      <w:pPr>
        <w:pStyle w:val="Heading1"/>
        <w:keepNext/>
        <w:keepLines/>
      </w:pPr>
      <w:r>
        <w:rPr>
          <w:color w:val="000000"/>
          <w:lang w:val="en-GB"/>
        </w:rPr>
        <w:t xml:space="preserve">Detailed Data Flow Matrix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OHA-RGPD-02</w:t>
            </w:r>
          </w:p>
        </w:tc>
      </w:tr>
      <w:tr>
        <w:trPr>
          <w:cantSplit/>
        </w:trPr>
        <w:tc>
          <w:tcPr/>
          <w:p>
            <w:pPr>
              <w:pStyle w:val="Compact"/>
            </w:pPr>
            <w:r>
              <w:rPr>
                <w:lang w:val="en-GB"/>
              </w:rPr>
              <w:t xml:space="preserve">Purpose</w:t>
            </w:r>
          </w:p>
        </w:tc>
        <w:tc>
          <w:tcPr/>
          <w:p>
            <w:pPr>
              <w:pStyle w:val="Compact"/>
            </w:pPr>
            <w:r>
              <w:rPr>
                <w:lang w:val="en-GB"/>
              </w:rPr>
              <w:t xml:space="preserve">Matrix of data flows, human and technical access, navigation of an audio file</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61" w:name="X9d6322e4a9ce86e02c43d63da458956a899a10f"/>
    <w:p>
      <w:pPr>
        <w:pStyle w:val="Heading2"/>
        <w:keepNext/>
        <w:keepLines/>
      </w:pPr>
      <w:r>
        <w:rPr>
          <w:color w:val="000000"/>
          <w:lang w:val="en-GB"/>
        </w:rPr>
        <w:t xml:space="preserve">1. Purpose and method</w:t>
      </w:r>
    </w:p>
    <w:p>
      <w:pPr>
        <w:pStyle w:val="FirstParagraph"/>
      </w:pPr>
      <w:r>
        <w:rPr>
          <w:lang w:val="en-GB"/>
        </w:rPr>
        <w:t xml:space="preserve">This document describes, for each category of data processed by TranscribIA, the origin, the complete step-by-step journey, the components crossed, the encryption state (in transit and at rest), the destinations, and the retention period at each step. Each flow is described for the two modes of supply:</w:t>
      </w:r>
    </w:p>
    <w:p>
      <w:pPr>
        <w:pStyle w:val="Compact"/>
        <w:numPr>
          <w:ilvl w:val="0"/>
          <w:numId w:val="1016"/>
        </w:numPr>
      </w:pPr>
      <w:r>
        <w:rPr>
          <w:b/>
          <w:bCs/>
          <w:lang w:val="en-GB"/>
        </w:rPr>
        <w:t xml:space="preserve">Option A — Sovereign SaaS </w:t>
      </w:r>
      <w:r>
        <w:rPr>
          <w:lang w:val="en-GB"/>
        </w:rPr>
        <w:t xml:space="preserve"/>
      </w:r>
      <w:r>
        <w:rPr>
          <w:lang w:val="en-GB"/>
        </w:rPr>
        <w:t xml:space="preserve">operated by OHADJA;</w:t>
      </w:r>
    </w:p>
    <w:p>
      <w:pPr>
        <w:pStyle w:val="Compact"/>
        <w:numPr>
          <w:ilvl w:val="0"/>
          <w:numId w:val="1016"/>
        </w:numPr>
      </w:pPr>
      <w:r>
        <w:rPr>
          <w:b/>
          <w:bCs/>
          <w:lang w:val="en-GB"/>
        </w:rPr>
        <w:t xml:space="preserve">Option B — On-premise </w:t>
      </w:r>
      <w:r>
        <w:rPr>
          <w:lang w:val="en-GB"/>
        </w:rPr>
        <w:t xml:space="preserve"/>
      </w:r>
      <w:r>
        <w:rPr>
          <w:lang w:val="en-GB"/>
        </w:rPr>
        <w:t xml:space="preserve">in the Customer's infrastructure (isolated variant: no outgoing flow).</w:t>
      </w:r>
    </w:p>
    <w:p>
      <w:pPr>
        <w:pStyle w:val="FirstParagraph"/>
      </w:pPr>
      <w:r>
        <w:rPr>
          <w:lang w:val="en-GB"/>
        </w:rPr>
        <w:t xml:space="preserve">It then includes a section dedicated to </w:t>
      </w:r>
      <w:r>
        <w:rPr>
          <w:lang w:val="en-GB"/>
        </w:rPr>
        <w:t xml:space="preserve"/>
      </w:r>
      <w:r>
        <w:rPr>
          <w:b/>
          <w:bCs/>
          <w:lang w:val="en-GB"/>
        </w:rPr>
        <w:t xml:space="preserve">human and technical access, </w:t>
      </w:r>
      <w:r>
        <w:rPr>
          <w:lang w:val="en-GB"/>
        </w:rPr>
        <w:t xml:space="preserve">including the frank treatment of access and flows outside the EEA possible in Option A, </w:t>
      </w:r>
      <w:r>
        <w:rPr>
          <w:lang w:val="en-GB"/>
        </w:rPr>
        <w:t xml:space="preserve"/>
      </w:r>
      <w:r>
        <w:rPr>
          <w:b/>
          <w:bCs/>
          <w:lang w:val="en-GB"/>
        </w:rPr>
        <w:t xml:space="preserve">then the end-to-end journey of an audio </w:t>
      </w:r>
      <w:r>
        <w:rPr>
          <w:lang w:val="en-GB"/>
        </w:rPr>
        <w:t xml:space="preserve">file.</w:t>
      </w:r>
    </w:p>
    <w:p>
      <w:pPr>
        <w:pStyle w:val="BodyText"/>
      </w:pPr>
      <w:r>
        <w:rPr>
          <w:lang w:val="en-GB"/>
        </w:rPr>
        <w:t xml:space="preserve">Cipher conventions used:</w:t>
      </w:r>
    </w:p>
    <w:p>
      <w:pPr>
        <w:pStyle w:val="Compact"/>
        <w:numPr>
          <w:ilvl w:val="0"/>
          <w:numId w:val="1017"/>
        </w:numPr>
      </w:pPr>
      <w:r>
        <w:rPr>
          <w:b/>
          <w:bCs/>
          <w:lang w:val="en-GB"/>
        </w:rPr>
        <w:t xml:space="preserve">In transit: </w:t>
      </w:r>
      <w:r>
        <w:rPr>
          <w:lang w:val="en-GB"/>
        </w:rPr>
        <w:t xml:space="preserve"/>
      </w:r>
      <w:r>
        <w:rPr>
          <w:lang w:val="en-GB"/>
        </w:rPr>
        <w:t xml:space="preserve">TLS 1.2+ (Let's Encrypt, strong suites, HSTS) for all application access, APIs and administration interfaces.</w:t>
      </w:r>
    </w:p>
    <w:p>
      <w:pPr>
        <w:pStyle w:val="Compact"/>
        <w:numPr>
          <w:ilvl w:val="0"/>
          <w:numId w:val="1017"/>
        </w:numPr>
      </w:pPr>
      <w:r>
        <w:rPr>
          <w:b/>
          <w:bCs/>
          <w:lang w:val="en-GB"/>
        </w:rPr>
        <w:t xml:space="preserve">At rest: </w:t>
      </w:r>
      <w:r>
        <w:rPr>
          <w:lang w:val="en-GB"/>
        </w:rPr>
        <w:t xml:space="preserve"/>
      </w:r>
      <w:r>
        <w:rPr>
          <w:lang w:val="en-GB"/>
        </w:rPr>
        <w:t xml:space="preserve">encrypted backups </w:t>
      </w:r>
      <w:r>
        <w:rPr>
          <w:lang w:val="en-GB"/>
        </w:rPr>
        <w:t xml:space="preserve"/>
      </w:r>
      <w:r>
        <w:rPr>
          <w:b/>
          <w:bCs/>
          <w:lang w:val="en-GB"/>
        </w:rPr>
        <w:t xml:space="preserve">before </w:t>
      </w:r>
      <w:r>
        <w:rPr>
          <w:lang w:val="en-GB"/>
        </w:rPr>
        <w:t xml:space="preserve"/>
      </w:r>
      <w:r>
        <w:rPr>
          <w:lang w:val="en-GB"/>
        </w:rPr>
        <w:t xml:space="preserve">outsourcing (age, X25519 + ChaCha20-Poly1305); production server system disk encryption: as per data center offering — planned upgrade (LUKS/gocryptfs). The application data and the PostgreSQL database reside on the hardened production server (SSH by key, firewall, fail2ban). In the tables below, the mention “at rest (see §1)” refers to this clarification.</w:t>
      </w:r>
    </w:p>
    <w:bookmarkEnd w:id="61"/>
    <w:bookmarkStart w:id="69" w:name="Xfb7177fe7e5e1f8db1258879121b148c25ab828"/>
    <w:p>
      <w:pPr>
        <w:pStyle w:val="Heading2"/>
        <w:keepNext/>
        <w:keepLines/>
      </w:pPr>
      <w:r>
        <w:rPr>
          <w:color w:val="000000"/>
          <w:lang w:val="en-GB"/>
        </w:rPr>
        <w:t xml:space="preserve">2. Flow matrix by data category</w:t>
      </w:r>
    </w:p>
    <w:bookmarkStart w:id="62" w:name="Xf15a0825ce5467990e6266ab21e1d3cf1a58279"/>
    <w:p>
      <w:pPr>
        <w:pStyle w:val="Heading3"/>
        <w:keepNext/>
        <w:keepLines/>
      </w:pPr>
      <w:r>
        <w:rPr>
          <w:color w:val="000000"/>
          <w:lang w:val="en-GB"/>
        </w:rPr>
        <w:t xml:space="preserve">2.1 Audio files (and video if applicable)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Actor/component</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Encryption</w:t>
            </w:r>
          </w:p>
        </w:tc>
        <w:tc>
          <w:tcPr>
            <w:tcW w:type="dxa" w:w="1872"/>
            <w:tcMar>
              <w:left w:type="dxa" w:w="80"/>
              <w:right w:type="dxa" w:w="80"/>
            </w:tcMar>
          </w:tcPr>
          <w:p>
            <w:pPr>
              <w:pStyle w:val="Compact"/>
            </w:pPr>
            <w:r>
              <w:rPr>
                <w:sz w:val="19"/>
                <w:szCs w:val="19"/>
                <w:lang w:val="en-GB"/>
              </w:rPr>
              <w:t xml:space="preserve">Duration at stage</w:t>
            </w:r>
          </w:p>
        </w:tc>
      </w:tr>
      <w:tr>
        <w:trPr>
          <w:cantSplit/>
        </w:trPr>
        <w:tc>
          <w:tcPr>
            <w:tcW w:type="dxa" w:w="1872"/>
            <w:tcMar>
              <w:left w:type="dxa" w:w="80"/>
              <w:right w:type="dxa" w:w="80"/>
            </w:tcMar>
          </w:tcPr>
          <w:p>
            <w:pPr>
              <w:pStyle w:val="Compact"/>
            </w:pPr>
            <w:r>
              <w:rPr>
                <w:sz w:val="19"/>
                <w:szCs w:val="19"/>
                <w:lang w:val="en-GB"/>
              </w:rPr>
              <w:t xml:space="preserve">Origin</w:t>
            </w:r>
          </w:p>
        </w:tc>
        <w:tc>
          <w:tcPr>
            <w:tcW w:type="dxa" w:w="1872"/>
            <w:tcMar>
              <w:left w:type="dxa" w:w="80"/>
              <w:right w:type="dxa" w:w="80"/>
            </w:tcMar>
          </w:tcPr>
          <w:p>
            <w:pPr>
              <w:pStyle w:val="Compact"/>
            </w:pPr>
            <w:r>
              <w:rPr>
                <w:sz w:val="19"/>
                <w:szCs w:val="19"/>
                <w:lang w:val="en-GB"/>
              </w:rPr>
              <w:t xml:space="preserve">Client User (upload)</w:t>
            </w:r>
          </w:p>
        </w:tc>
        <w:tc>
          <w:tcPr>
            <w:tcW w:type="dxa" w:w="1872"/>
            <w:tcMar>
              <w:left w:type="dxa" w:w="80"/>
              <w:right w:type="dxa" w:w="80"/>
            </w:tcMar>
          </w:tcPr>
          <w:p>
            <w:pPr>
              <w:pStyle w:val="Compact"/>
            </w:pPr>
            <w:r>
              <w:rPr>
                <w:sz w:val="19"/>
                <w:szCs w:val="19"/>
                <w:lang w:val="en-GB"/>
              </w:rPr>
              <w:t xml:space="preserve">Client workstation</w:t>
            </w:r>
          </w:p>
        </w:tc>
        <w:tc>
          <w:tcPr>
            <w:tcW w:type="dxa" w:w="1872"/>
            <w:tcMar>
              <w:left w:type="dxa" w:w="80"/>
              <w:right w:type="dxa" w:w="80"/>
            </w:tcMar>
          </w:tcPr>
          <w:p>
            <w:pPr>
              <w:pStyle w:val="Compact"/>
            </w:pPr>
            <w:r>
              <w:rPr>
                <w:sz w:val="19"/>
                <w:szCs w:val="19"/>
                <w:lang w:val="en-GB"/>
              </w:rPr>
              <w:t xml:space="preserve">TLS in transit</w:t>
            </w:r>
          </w:p>
        </w:tc>
        <w:tc>
          <w:tcPr>
            <w:tcW w:type="dxa" w:w="1872"/>
            <w:tcMar>
              <w:left w:type="dxa" w:w="80"/>
              <w:right w:type="dxa" w:w="80"/>
            </w:tcMar>
          </w:tcPr>
          <w:p>
            <w:pPr>
              <w:pStyle w:val="Compact"/>
            </w:pPr>
            <w:r>
              <w:rPr>
                <w:sz w:val="19"/>
                <w:szCs w:val="19"/>
                <w:lang w:val="en-GB"/>
              </w:rPr>
              <w:t xml:space="preserve">—</w:t>
            </w:r>
          </w:p>
        </w:tc>
      </w:tr>
      <w:tr>
        <w:trPr>
          <w:cantSplit/>
        </w:trPr>
        <w:tc>
          <w:tcPr>
            <w:tcW w:type="dxa" w:w="1872"/>
            <w:tcMar>
              <w:left w:type="dxa" w:w="80"/>
              <w:right w:type="dxa" w:w="80"/>
            </w:tcMar>
          </w:tcPr>
          <w:p>
            <w:pPr>
              <w:pStyle w:val="Compact"/>
            </w:pPr>
            <w:r>
              <w:rPr>
                <w:sz w:val="19"/>
                <w:szCs w:val="19"/>
                <w:lang w:val="en-GB"/>
              </w:rPr>
              <w:t xml:space="preserve">Reception</w:t>
            </w:r>
          </w:p>
        </w:tc>
        <w:tc>
          <w:tcPr>
            <w:tcW w:type="dxa" w:w="1872"/>
            <w:tcMar>
              <w:left w:type="dxa" w:w="80"/>
              <w:right w:type="dxa" w:w="80"/>
            </w:tcMar>
          </w:tcPr>
          <w:p>
            <w:pPr>
              <w:pStyle w:val="Compact"/>
            </w:pPr>
            <w:r>
              <w:rPr>
                <w:sz w:val="19"/>
                <w:szCs w:val="19"/>
                <w:lang w:val="en-GB"/>
              </w:rPr>
              <w:t xml:space="preserve">Nginx → Laravel application</w:t>
            </w:r>
          </w:p>
        </w:tc>
        <w:tc>
          <w:tcPr>
            <w:tcW w:type="dxa" w:w="1872"/>
            <w:tcMar>
              <w:left w:type="dxa" w:w="80"/>
              <w:right w:type="dxa" w:w="80"/>
            </w:tcMar>
          </w:tcPr>
          <w:p>
            <w:pPr>
              <w:pStyle w:val="Compact"/>
            </w:pPr>
            <w:r>
              <w:rPr>
                <w:sz w:val="19"/>
                <w:szCs w:val="19"/>
                <w:lang w:val="en-GB"/>
              </w:rPr>
              <w:t xml:space="preserve">Prod server (France, Opt. A) / client infrastructure (Opt. B)</w:t>
            </w:r>
          </w:p>
        </w:tc>
        <w:tc>
          <w:tcPr>
            <w:tcW w:type="dxa" w:w="1872"/>
            <w:tcMar>
              <w:left w:type="dxa" w:w="80"/>
              <w:right w:type="dxa" w:w="80"/>
            </w:tcMar>
          </w:tcPr>
          <w:p>
            <w:pPr>
              <w:pStyle w:val="Compact"/>
            </w:pPr>
            <w:r>
              <w:rPr>
                <w:sz w:val="19"/>
                <w:szCs w:val="19"/>
                <w:lang w:val="en-GB"/>
              </w:rPr>
              <w:t xml:space="preserve">TLS; ClamAV before writing</w:t>
            </w:r>
          </w:p>
        </w:tc>
        <w:tc>
          <w:tcPr>
            <w:tcW w:type="dxa" w:w="1872"/>
            <w:tcMar>
              <w:left w:type="dxa" w:w="80"/>
              <w:right w:type="dxa" w:w="80"/>
            </w:tcMar>
          </w:tcPr>
          <w:p>
            <w:pPr>
              <w:pStyle w:val="Compact"/>
            </w:pPr>
            <w:r>
              <w:rPr>
                <w:sz w:val="19"/>
                <w:szCs w:val="19"/>
                <w:lang w:val="en-GB"/>
              </w:rPr>
              <w:t xml:space="preserve">Transient</w:t>
            </w:r>
          </w:p>
        </w:tc>
      </w:tr>
      <w:tr>
        <w:trPr>
          <w:cantSplit/>
        </w:trPr>
        <w:tc>
          <w:tcPr>
            <w:tcW w:type="dxa" w:w="1872"/>
            <w:tcMar>
              <w:left w:type="dxa" w:w="80"/>
              <w:right w:type="dxa" w:w="80"/>
            </w:tcMar>
          </w:tcPr>
          <w:p>
            <w:pPr>
              <w:pStyle w:val="Compact"/>
            </w:pPr>
            <w:r>
              <w:rPr>
                <w:sz w:val="19"/>
                <w:szCs w:val="19"/>
                <w:lang w:val="en-GB"/>
              </w:rPr>
              <w:t xml:space="preserve">Storage</w:t>
            </w:r>
          </w:p>
        </w:tc>
        <w:tc>
          <w:tcPr>
            <w:tcW w:type="dxa" w:w="1872"/>
            <w:tcMar>
              <w:left w:type="dxa" w:w="80"/>
              <w:right w:type="dxa" w:w="80"/>
            </w:tcMar>
          </w:tcPr>
          <w:p>
            <w:pPr>
              <w:pStyle w:val="Compact"/>
            </w:pPr>
            <w:r>
              <w:rPr>
                <w:sz w:val="19"/>
                <w:szCs w:val="19"/>
                <w:lang w:val="en-GB"/>
              </w:rPr>
              <w:t xml:space="preserve">Application file system</w:t>
            </w:r>
          </w:p>
        </w:tc>
        <w:tc>
          <w:tcPr>
            <w:tcW w:type="dxa" w:w="1872"/>
            <w:tcMar>
              <w:left w:type="dxa" w:w="80"/>
              <w:right w:type="dxa" w:w="80"/>
            </w:tcMar>
          </w:tcPr>
          <w:p>
            <w:pPr>
              <w:pStyle w:val="Compact"/>
            </w:pPr>
            <w:r>
              <w:rPr>
                <w:sz w:val="19"/>
                <w:szCs w:val="19"/>
                <w:lang w:val="en-GB"/>
              </w:rPr>
              <w:t xml:space="preserve">Production server, France (Opt. A) / client infra</w:t>
            </w:r>
          </w:p>
        </w:tc>
        <w:tc>
          <w:tcPr>
            <w:tcW w:type="dxa" w:w="1872"/>
            <w:tcMar>
              <w:left w:type="dxa" w:w="80"/>
              <w:right w:type="dxa" w:w="80"/>
            </w:tcMar>
          </w:tcPr>
          <w:p>
            <w:pPr>
              <w:pStyle w:val="Compact"/>
            </w:pPr>
            <w:r>
              <w:rPr>
                <w:sz w:val="19"/>
                <w:szCs w:val="19"/>
                <w:lang w:val="en-GB"/>
              </w:rPr>
              <w:t xml:space="preserve">At rest (see §1)</w:t>
            </w:r>
          </w:p>
        </w:tc>
        <w:tc>
          <w:tcPr>
            <w:tcW w:type="dxa" w:w="1872"/>
            <w:tcMar>
              <w:left w:type="dxa" w:w="80"/>
              <w:right w:type="dxa" w:w="80"/>
            </w:tcMar>
          </w:tcPr>
          <w:p>
            <w:pPr>
              <w:pStyle w:val="Compact"/>
            </w:pPr>
            <w:r>
              <w:rPr>
                <w:sz w:val="19"/>
                <w:szCs w:val="19"/>
                <w:lang w:val="en-GB"/>
              </w:rPr>
              <w:t xml:space="preserve">Duration configured by the Customer, otherwise duration of the contract</w:t>
            </w:r>
          </w:p>
        </w:tc>
      </w:tr>
      <w:tr>
        <w:trPr>
          <w:cantSplit/>
        </w:trPr>
        <w:tc>
          <w:tcPr>
            <w:tcW w:type="dxa" w:w="1872"/>
            <w:tcMar>
              <w:left w:type="dxa" w:w="80"/>
              <w:right w:type="dxa" w:w="80"/>
            </w:tcMar>
          </w:tcPr>
          <w:p>
            <w:pPr>
              <w:pStyle w:val="Compact"/>
            </w:pPr>
            <w:r>
              <w:rPr>
                <w:sz w:val="19"/>
                <w:szCs w:val="19"/>
                <w:lang w:val="en-GB"/>
              </w:rPr>
              <w:t xml:space="preserve">Treatment</w:t>
            </w:r>
          </w:p>
        </w:tc>
        <w:tc>
          <w:tcPr>
            <w:tcW w:type="dxa" w:w="1872"/>
            <w:tcMar>
              <w:left w:type="dxa" w:w="80"/>
              <w:right w:type="dxa" w:w="80"/>
            </w:tcMar>
          </w:tcPr>
          <w:p>
            <w:pPr>
              <w:pStyle w:val="Compact"/>
            </w:pPr>
            <w:r>
              <w:rPr>
                <w:sz w:val="19"/>
                <w:szCs w:val="19"/>
                <w:lang w:val="en-GB"/>
              </w:rPr>
              <w:t xml:space="preserve">GPU transcription worker</w:t>
            </w:r>
          </w:p>
        </w:tc>
        <w:tc>
          <w:tcPr>
            <w:tcW w:type="dxa" w:w="1872"/>
            <w:tcMar>
              <w:left w:type="dxa" w:w="80"/>
              <w:right w:type="dxa" w:w="80"/>
            </w:tcMar>
          </w:tcPr>
          <w:p>
            <w:pPr>
              <w:pStyle w:val="Compact"/>
            </w:pPr>
            <w:r>
              <w:rPr>
                <w:sz w:val="19"/>
                <w:szCs w:val="19"/>
                <w:lang w:val="en-GB"/>
              </w:rPr>
              <w:t xml:space="preserve">Dedicated UE GPU (Opt. A) / Local GPU (Isolated Opt. B)</w:t>
            </w:r>
          </w:p>
        </w:tc>
        <w:tc>
          <w:tcPr>
            <w:tcW w:type="dxa" w:w="1872"/>
            <w:tcMar>
              <w:left w:type="dxa" w:w="80"/>
              <w:right w:type="dxa" w:w="80"/>
            </w:tcMar>
          </w:tcPr>
          <w:p>
            <w:pPr>
              <w:pStyle w:val="Compact"/>
            </w:pPr>
            <w:r>
              <w:rPr>
                <w:sz w:val="19"/>
                <w:szCs w:val="19"/>
                <w:lang w:val="en-GB"/>
              </w:rPr>
              <w:t xml:space="preserve">TLS between components; Temporary signed URL (30 min) for streaming</w:t>
            </w:r>
          </w:p>
        </w:tc>
        <w:tc>
          <w:tcPr>
            <w:tcW w:type="dxa" w:w="1872"/>
            <w:tcMar>
              <w:left w:type="dxa" w:w="80"/>
              <w:right w:type="dxa" w:w="80"/>
            </w:tcMar>
          </w:tcPr>
          <w:p>
            <w:pPr>
              <w:pStyle w:val="Compact"/>
            </w:pPr>
            <w:r>
              <w:rPr>
                <w:sz w:val="19"/>
                <w:szCs w:val="19"/>
                <w:lang w:val="en-GB"/>
              </w:rPr>
              <w:t xml:space="preserve">Job time; deleted on worker side after processing</w:t>
            </w:r>
          </w:p>
        </w:tc>
      </w:tr>
      <w:tr>
        <w:trPr>
          <w:cantSplit/>
        </w:trPr>
        <w:tc>
          <w:tcPr>
            <w:tcW w:type="dxa" w:w="1872"/>
            <w:tcMar>
              <w:left w:type="dxa" w:w="80"/>
              <w:right w:type="dxa" w:w="80"/>
            </w:tcMar>
          </w:tcPr>
          <w:p>
            <w:pPr>
              <w:pStyle w:val="Compact"/>
            </w:pPr>
            <w:r>
              <w:rPr>
                <w:sz w:val="19"/>
                <w:szCs w:val="19"/>
                <w:lang w:val="en-GB"/>
              </w:rPr>
              <w:t xml:space="preserve">Backup</w:t>
            </w:r>
          </w:p>
        </w:tc>
        <w:tc>
          <w:tcPr>
            <w:tcW w:type="dxa" w:w="1872"/>
            <w:tcMar>
              <w:left w:type="dxa" w:w="80"/>
              <w:right w:type="dxa" w:w="80"/>
            </w:tcMar>
          </w:tcPr>
          <w:p>
            <w:pPr>
              <w:pStyle w:val="Compact"/>
            </w:pPr>
            <w:r>
              <w:rPr>
                <w:sz w:val="19"/>
                <w:szCs w:val="19"/>
                <w:lang w:val="en-GB"/>
              </w:rPr>
              <w:t xml:space="preserve">Encryption age → rclone</w:t>
            </w:r>
          </w:p>
        </w:tc>
        <w:tc>
          <w:tcPr>
            <w:tcW w:type="dxa" w:w="1872"/>
            <w:tcMar>
              <w:left w:type="dxa" w:w="80"/>
              <w:right w:type="dxa" w:w="80"/>
            </w:tcMar>
          </w:tcPr>
          <w:p>
            <w:pPr>
              <w:pStyle w:val="Compact"/>
            </w:pPr>
            <w:r>
              <w:rPr>
                <w:sz w:val="19"/>
                <w:szCs w:val="19"/>
                <w:lang w:val="en-GB"/>
              </w:rPr>
              <w:t xml:space="preserve">Scaleway (France, EU) (Opt. A)</w:t>
            </w:r>
          </w:p>
        </w:tc>
        <w:tc>
          <w:tcPr>
            <w:tcW w:type="dxa" w:w="1872"/>
            <w:tcMar>
              <w:left w:type="dxa" w:w="80"/>
              <w:right w:type="dxa" w:w="80"/>
            </w:tcMar>
          </w:tcPr>
          <w:p>
            <w:pPr>
              <w:pStyle w:val="Compact"/>
            </w:pPr>
            <w:r>
              <w:rPr>
                <w:sz w:val="19"/>
                <w:szCs w:val="19"/>
                <w:lang w:val="en-GB"/>
              </w:rPr>
              <w:t xml:space="preserve">age (before sending)</w:t>
            </w:r>
          </w:p>
        </w:tc>
        <w:tc>
          <w:tcPr>
            <w:tcW w:type="dxa" w:w="1872"/>
            <w:tcMar>
              <w:left w:type="dxa" w:w="80"/>
              <w:right w:type="dxa" w:w="80"/>
            </w:tcMar>
          </w:tcPr>
          <w:p>
            <w:pPr>
              <w:pStyle w:val="Compact"/>
            </w:pPr>
            <w:r>
              <w:rPr>
                <w:sz w:val="19"/>
                <w:szCs w:val="19"/>
                <w:lang w:val="en-GB"/>
              </w:rPr>
              <w:t xml:space="preserve">≤ 90 days (rotation)</w:t>
            </w:r>
          </w:p>
        </w:tc>
      </w:tr>
      <w:tr>
        <w:trPr>
          <w:cantSplit/>
        </w:trPr>
        <w:tc>
          <w:tcPr>
            <w:tcW w:type="dxa" w:w="1872"/>
            <w:tcMar>
              <w:left w:type="dxa" w:w="80"/>
              <w:right w:type="dxa" w:w="80"/>
            </w:tcMar>
          </w:tcPr>
          <w:p>
            <w:pPr>
              <w:pStyle w:val="Compact"/>
            </w:pPr>
            <w:r>
              <w:rPr>
                <w:sz w:val="19"/>
                <w:szCs w:val="19"/>
                <w:lang w:val="en-GB"/>
              </w:rPr>
              <w:t xml:space="preserve">Final destination</w:t>
            </w:r>
          </w:p>
        </w:tc>
        <w:tc>
          <w:tcPr>
            <w:tcW w:type="dxa" w:w="1872"/>
            <w:tcMar>
              <w:left w:type="dxa" w:w="80"/>
              <w:right w:type="dxa" w:w="80"/>
            </w:tcMar>
          </w:tcPr>
          <w:p>
            <w:pPr>
              <w:pStyle w:val="Compact"/>
            </w:pPr>
            <w:r>
              <w:rPr>
                <w:sz w:val="19"/>
                <w:szCs w:val="19"/>
                <w:lang w:val="en-GB"/>
              </w:rPr>
              <w:t xml:space="preserve">Deletion on request / expiration</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According to the retention policy (see OHA-RGPD-05)</w:t>
            </w:r>
          </w:p>
        </w:tc>
      </w:tr>
    </w:tbl>
    <w:bookmarkEnd w:id="62"/>
    <w:bookmarkStart w:id="63" w:name="X150edd64680ffa97c3c8f0861456ba0cfb19877"/>
    <w:p>
      <w:pPr>
        <w:pStyle w:val="Heading3"/>
        <w:keepNext/>
        <w:keepLines/>
      </w:pPr>
      <w:r>
        <w:rPr>
          <w:color w:val="000000"/>
          <w:lang w:val="en-GB"/>
        </w:rPr>
        <w:t xml:space="preserve">2.2 Transcriptions (segments, versions, corrections, chapters, diarization)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Actor/component</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Encryption</w:t>
            </w:r>
          </w:p>
        </w:tc>
        <w:tc>
          <w:tcPr>
            <w:tcW w:type="dxa" w:w="1872"/>
            <w:tcMar>
              <w:left w:type="dxa" w:w="80"/>
              <w:right w:type="dxa" w:w="80"/>
            </w:tcMar>
          </w:tcPr>
          <w:p>
            <w:pPr>
              <w:pStyle w:val="Compact"/>
            </w:pPr>
            <w:r>
              <w:rPr>
                <w:sz w:val="19"/>
                <w:szCs w:val="19"/>
                <w:lang w:val="en-GB"/>
              </w:rPr>
              <w:t xml:space="preserve">Duration at stage</w:t>
            </w:r>
          </w:p>
        </w:tc>
      </w:tr>
      <w:tr>
        <w:trPr>
          <w:cantSplit/>
        </w:trPr>
        <w:tc>
          <w:tcPr>
            <w:tcW w:type="dxa" w:w="1872"/>
            <w:tcMar>
              <w:left w:type="dxa" w:w="80"/>
              <w:right w:type="dxa" w:w="80"/>
            </w:tcMar>
          </w:tcPr>
          <w:p>
            <w:pPr>
              <w:pStyle w:val="Compact"/>
            </w:pPr>
            <w:r>
              <w:rPr>
                <w:sz w:val="19"/>
                <w:szCs w:val="19"/>
                <w:lang w:val="en-GB"/>
              </w:rPr>
              <w:t xml:space="preserve">Generation</w:t>
            </w:r>
          </w:p>
        </w:tc>
        <w:tc>
          <w:tcPr>
            <w:tcW w:type="dxa" w:w="1872"/>
            <w:tcMar>
              <w:left w:type="dxa" w:w="80"/>
              <w:right w:type="dxa" w:w="80"/>
            </w:tcMar>
          </w:tcPr>
          <w:p>
            <w:pPr>
              <w:pStyle w:val="Compact"/>
            </w:pPr>
            <w:r>
              <w:rPr>
                <w:sz w:val="19"/>
                <w:szCs w:val="19"/>
                <w:lang w:val="en-GB"/>
              </w:rPr>
              <w:t xml:space="preserve">Transcription worker (whisperX + pyannote)</w:t>
            </w:r>
          </w:p>
        </w:tc>
        <w:tc>
          <w:tcPr>
            <w:tcW w:type="dxa" w:w="1872"/>
            <w:tcMar>
              <w:left w:type="dxa" w:w="80"/>
              <w:right w:type="dxa" w:w="80"/>
            </w:tcMar>
          </w:tcPr>
          <w:p>
            <w:pPr>
              <w:pStyle w:val="Compact"/>
            </w:pPr>
            <w:r>
              <w:rPr>
                <w:sz w:val="19"/>
                <w:szCs w:val="19"/>
                <w:lang w:val="en-GB"/>
              </w:rPr>
              <w:t xml:space="preserve">Dedicated UE GPU (Opt. A) / Local GPU (Opt. B)</w:t>
            </w:r>
          </w:p>
        </w:tc>
        <w:tc>
          <w:tcPr>
            <w:tcW w:type="dxa" w:w="1872"/>
            <w:tcMar>
              <w:left w:type="dxa" w:w="80"/>
              <w:right w:type="dxa" w:w="80"/>
            </w:tcMar>
          </w:tcPr>
          <w:p>
            <w:pPr>
              <w:pStyle w:val="Compact"/>
            </w:pPr>
            <w:r>
              <w:rPr>
                <w:sz w:val="19"/>
                <w:szCs w:val="19"/>
                <w:lang w:val="en-GB"/>
              </w:rPr>
              <w:t xml:space="preserve">TLS between components</w:t>
            </w:r>
          </w:p>
        </w:tc>
        <w:tc>
          <w:tcPr>
            <w:tcW w:type="dxa" w:w="1872"/>
            <w:tcMar>
              <w:left w:type="dxa" w:w="80"/>
              <w:right w:type="dxa" w:w="80"/>
            </w:tcMar>
          </w:tcPr>
          <w:p>
            <w:pPr>
              <w:pStyle w:val="Compact"/>
            </w:pPr>
            <w:r>
              <w:rPr>
                <w:sz w:val="19"/>
                <w:szCs w:val="19"/>
                <w:lang w:val="en-GB"/>
              </w:rPr>
              <w:t xml:space="preserve">Job time</w:t>
            </w:r>
          </w:p>
        </w:tc>
      </w:tr>
      <w:tr>
        <w:trPr>
          <w:cantSplit/>
        </w:trPr>
        <w:tc>
          <w:tcPr>
            <w:tcW w:type="dxa" w:w="1872"/>
            <w:tcMar>
              <w:left w:type="dxa" w:w="80"/>
              <w:right w:type="dxa" w:w="80"/>
            </w:tcMar>
          </w:tcPr>
          <w:p>
            <w:pPr>
              <w:pStyle w:val="Compact"/>
            </w:pPr>
            <w:r>
              <w:rPr>
                <w:sz w:val="19"/>
                <w:szCs w:val="19"/>
                <w:lang w:val="en-GB"/>
              </w:rPr>
              <w:t xml:space="preserve">Return</w:t>
            </w:r>
          </w:p>
        </w:tc>
        <w:tc>
          <w:tcPr>
            <w:tcW w:type="dxa" w:w="1872"/>
            <w:tcMar>
              <w:left w:type="dxa" w:w="80"/>
              <w:right w:type="dxa" w:w="80"/>
            </w:tcMar>
          </w:tcPr>
          <w:p>
            <w:pPr>
              <w:pStyle w:val="Compact"/>
            </w:pPr>
            <w:r>
              <w:rPr>
                <w:rStyle w:val="VerbatimChar"/>
                <w:sz w:val="19"/>
                <w:szCs w:val="19"/>
                <w:lang w:val="en-GB"/>
              </w:rPr>
              <w:t xml:space="preserve">POST /complete</w:t>
            </w:r>
            <w:r>
              <w:rPr>
                <w:sz w:val="19"/>
                <w:szCs w:val="19"/>
                <w:lang w:val="en-GB"/>
              </w:rPr>
              <w:t xml:space="preserve"> </w:t>
            </w:r>
            <w:r>
              <w:rPr>
                <w:sz w:val="19"/>
                <w:szCs w:val="19"/>
                <w:lang w:val="en-GB"/>
              </w:rPr>
              <w:t xml:space="preserve">(JSON segments) → application</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TLS</w:t>
            </w:r>
          </w:p>
        </w:tc>
        <w:tc>
          <w:tcPr>
            <w:tcW w:type="dxa" w:w="1872"/>
            <w:tcMar>
              <w:left w:type="dxa" w:w="80"/>
              <w:right w:type="dxa" w:w="80"/>
            </w:tcMar>
          </w:tcPr>
          <w:p>
            <w:pPr>
              <w:pStyle w:val="Compact"/>
            </w:pPr>
            <w:r>
              <w:rPr>
                <w:sz w:val="19"/>
                <w:szCs w:val="19"/>
                <w:lang w:val="en-GB"/>
              </w:rPr>
              <w:t xml:space="preserve">Transient</w:t>
            </w:r>
          </w:p>
        </w:tc>
      </w:tr>
      <w:tr>
        <w:trPr>
          <w:cantSplit/>
        </w:trPr>
        <w:tc>
          <w:tcPr>
            <w:tcW w:type="dxa" w:w="1872"/>
            <w:tcMar>
              <w:left w:type="dxa" w:w="80"/>
              <w:right w:type="dxa" w:w="80"/>
            </w:tcMar>
          </w:tcPr>
          <w:p>
            <w:pPr>
              <w:pStyle w:val="Compact"/>
            </w:pPr>
            <w:r>
              <w:rPr>
                <w:sz w:val="19"/>
                <w:szCs w:val="19"/>
                <w:lang w:val="en-GB"/>
              </w:rPr>
              <w:t xml:space="preserve">Storage</w:t>
            </w:r>
          </w:p>
        </w:tc>
        <w:tc>
          <w:tcPr>
            <w:tcW w:type="dxa" w:w="1872"/>
            <w:tcMar>
              <w:left w:type="dxa" w:w="80"/>
              <w:right w:type="dxa" w:w="80"/>
            </w:tcMar>
          </w:tcPr>
          <w:p>
            <w:pPr>
              <w:pStyle w:val="Compact"/>
            </w:pPr>
            <w:r>
              <w:rPr>
                <w:sz w:val="19"/>
                <w:szCs w:val="19"/>
                <w:lang w:val="en-GB"/>
              </w:rPr>
              <w:t xml:space="preserve">PostgreSQL (schema dedicated to the organization)</w:t>
            </w:r>
          </w:p>
        </w:tc>
        <w:tc>
          <w:tcPr>
            <w:tcW w:type="dxa" w:w="1872"/>
            <w:tcMar>
              <w:left w:type="dxa" w:w="80"/>
              <w:right w:type="dxa" w:w="80"/>
            </w:tcMar>
          </w:tcPr>
          <w:p>
            <w:pPr>
              <w:pStyle w:val="Compact"/>
            </w:pPr>
            <w:r>
              <w:rPr>
                <w:sz w:val="19"/>
                <w:szCs w:val="19"/>
                <w:lang w:val="en-GB"/>
              </w:rPr>
              <w:t xml:space="preserve">Production server, France</w:t>
            </w:r>
          </w:p>
        </w:tc>
        <w:tc>
          <w:tcPr>
            <w:tcW w:type="dxa" w:w="1872"/>
            <w:tcMar>
              <w:left w:type="dxa" w:w="80"/>
              <w:right w:type="dxa" w:w="80"/>
            </w:tcMar>
          </w:tcPr>
          <w:p>
            <w:pPr>
              <w:pStyle w:val="Compact"/>
            </w:pPr>
            <w:r>
              <w:rPr>
                <w:sz w:val="19"/>
                <w:szCs w:val="19"/>
                <w:lang w:val="en-GB"/>
              </w:rPr>
              <w:t xml:space="preserve">At rest (see §1)</w:t>
            </w:r>
          </w:p>
        </w:tc>
        <w:tc>
          <w:tcPr>
            <w:tcW w:type="dxa" w:w="1872"/>
            <w:tcMar>
              <w:left w:type="dxa" w:w="80"/>
              <w:right w:type="dxa" w:w="80"/>
            </w:tcMar>
          </w:tcPr>
          <w:p>
            <w:pPr>
              <w:pStyle w:val="Compact"/>
            </w:pPr>
            <w:r>
              <w:rPr>
                <w:sz w:val="19"/>
                <w:szCs w:val="19"/>
                <w:lang w:val="en-GB"/>
              </w:rPr>
              <w:t xml:space="preserve">Set duration / contract duration</w:t>
            </w:r>
          </w:p>
        </w:tc>
      </w:tr>
      <w:tr>
        <w:trPr>
          <w:cantSplit/>
        </w:trPr>
        <w:tc>
          <w:tcPr>
            <w:tcW w:type="dxa" w:w="1872"/>
            <w:tcMar>
              <w:left w:type="dxa" w:w="80"/>
              <w:right w:type="dxa" w:w="80"/>
            </w:tcMar>
          </w:tcPr>
          <w:p>
            <w:pPr>
              <w:pStyle w:val="Compact"/>
            </w:pPr>
            <w:r>
              <w:rPr>
                <w:sz w:val="19"/>
                <w:szCs w:val="19"/>
                <w:lang w:val="en-GB"/>
              </w:rPr>
              <w:t xml:space="preserve">Operation</w:t>
            </w:r>
          </w:p>
        </w:tc>
        <w:tc>
          <w:tcPr>
            <w:tcW w:type="dxa" w:w="1872"/>
            <w:tcMar>
              <w:left w:type="dxa" w:w="80"/>
              <w:right w:type="dxa" w:w="80"/>
            </w:tcMar>
          </w:tcPr>
          <w:p>
            <w:pPr>
              <w:pStyle w:val="Compact"/>
            </w:pPr>
            <w:r>
              <w:rPr>
                <w:sz w:val="19"/>
                <w:szCs w:val="19"/>
                <w:lang w:val="en-GB"/>
              </w:rPr>
              <w:t xml:space="preserve">Editing, correction, versioning by the user</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TLS</w:t>
            </w:r>
          </w:p>
        </w:tc>
        <w:tc>
          <w:tcPr>
            <w:tcW w:type="dxa" w:w="1872"/>
            <w:tcMar>
              <w:left w:type="dxa" w:w="80"/>
              <w:right w:type="dxa" w:w="80"/>
            </w:tcMar>
          </w:tcPr>
          <w:p>
            <w:pPr>
              <w:pStyle w:val="Compact"/>
            </w:pPr>
            <w:r>
              <w:rPr>
                <w:sz w:val="19"/>
                <w:szCs w:val="19"/>
                <w:lang w:val="en-GB"/>
              </w:rPr>
              <w:t xml:space="preserve">Same</w:t>
            </w:r>
          </w:p>
        </w:tc>
      </w:tr>
      <w:tr>
        <w:trPr>
          <w:cantSplit/>
        </w:trPr>
        <w:tc>
          <w:tcPr>
            <w:tcW w:type="dxa" w:w="1872"/>
            <w:tcMar>
              <w:left w:type="dxa" w:w="80"/>
              <w:right w:type="dxa" w:w="80"/>
            </w:tcMar>
          </w:tcPr>
          <w:p>
            <w:pPr>
              <w:pStyle w:val="Compact"/>
            </w:pPr>
            <w:r>
              <w:rPr>
                <w:sz w:val="19"/>
                <w:szCs w:val="19"/>
                <w:lang w:val="en-GB"/>
              </w:rPr>
              <w:t xml:space="preserve">Backup</w:t>
            </w:r>
          </w:p>
        </w:tc>
        <w:tc>
          <w:tcPr>
            <w:tcW w:type="dxa" w:w="1872"/>
            <w:tcMar>
              <w:left w:type="dxa" w:w="80"/>
              <w:right w:type="dxa" w:w="80"/>
            </w:tcMar>
          </w:tcPr>
          <w:p>
            <w:pPr>
              <w:pStyle w:val="Compact"/>
            </w:pPr>
            <w:r>
              <w:rPr>
                <w:sz w:val="19"/>
                <w:szCs w:val="19"/>
                <w:lang w:val="en-GB"/>
              </w:rPr>
              <w:t xml:space="preserve">age → rclone</w:t>
            </w:r>
          </w:p>
        </w:tc>
        <w:tc>
          <w:tcPr>
            <w:tcW w:type="dxa" w:w="1872"/>
            <w:tcMar>
              <w:left w:type="dxa" w:w="80"/>
              <w:right w:type="dxa" w:w="80"/>
            </w:tcMar>
          </w:tcPr>
          <w:p>
            <w:pPr>
              <w:pStyle w:val="Compact"/>
            </w:pPr>
            <w:r>
              <w:rPr>
                <w:sz w:val="19"/>
                <w:szCs w:val="19"/>
                <w:lang w:val="en-GB"/>
              </w:rPr>
              <w:t xml:space="preserve">Scaleway (France, EU) (Opt. A)</w:t>
            </w:r>
          </w:p>
        </w:tc>
        <w:tc>
          <w:tcPr>
            <w:tcW w:type="dxa" w:w="1872"/>
            <w:tcMar>
              <w:left w:type="dxa" w:w="80"/>
              <w:right w:type="dxa" w:w="80"/>
            </w:tcMar>
          </w:tcPr>
          <w:p>
            <w:pPr>
              <w:pStyle w:val="Compact"/>
            </w:pPr>
            <w:r>
              <w:rPr>
                <w:sz w:val="19"/>
                <w:szCs w:val="19"/>
                <w:lang w:val="en-GB"/>
              </w:rPr>
              <w:t xml:space="preserve">age</w:t>
            </w:r>
          </w:p>
        </w:tc>
        <w:tc>
          <w:tcPr>
            <w:tcW w:type="dxa" w:w="1872"/>
            <w:tcMar>
              <w:left w:type="dxa" w:w="80"/>
              <w:right w:type="dxa" w:w="80"/>
            </w:tcMar>
          </w:tcPr>
          <w:p>
            <w:pPr>
              <w:pStyle w:val="Compact"/>
            </w:pPr>
            <w:r>
              <w:rPr>
                <w:sz w:val="19"/>
                <w:szCs w:val="19"/>
                <w:lang w:val="en-GB"/>
              </w:rPr>
              <w:t xml:space="preserve">≤ 90 j</w:t>
            </w:r>
          </w:p>
        </w:tc>
      </w:tr>
    </w:tbl>
    <w:bookmarkEnd w:id="63"/>
    <w:bookmarkStart w:id="64" w:name="Xae01f554397da6c2da74971edeb9ac8502cc0e8"/>
    <w:p>
      <w:pPr>
        <w:pStyle w:val="Heading3"/>
        <w:keepNext/>
        <w:keepLines/>
      </w:pPr>
      <w:r>
        <w:rPr>
          <w:color w:val="000000"/>
          <w:lang w:val="en-GB"/>
        </w:rPr>
        <w:t xml:space="preserve">2.3 Summaries and AI generations (minutes, chapters, analyses)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Actor/component</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Encryption</w:t>
            </w:r>
          </w:p>
        </w:tc>
        <w:tc>
          <w:tcPr>
            <w:tcW w:type="dxa" w:w="1872"/>
            <w:tcMar>
              <w:left w:type="dxa" w:w="80"/>
              <w:right w:type="dxa" w:w="80"/>
            </w:tcMar>
          </w:tcPr>
          <w:p>
            <w:pPr>
              <w:pStyle w:val="Compact"/>
            </w:pPr>
            <w:r>
              <w:rPr>
                <w:sz w:val="19"/>
                <w:szCs w:val="19"/>
                <w:lang w:val="en-GB"/>
              </w:rPr>
              <w:t xml:space="preserve">Duration at stage</w:t>
            </w:r>
          </w:p>
        </w:tc>
      </w:tr>
      <w:tr>
        <w:trPr>
          <w:cantSplit/>
        </w:trPr>
        <w:tc>
          <w:tcPr>
            <w:tcW w:type="dxa" w:w="1872"/>
            <w:tcMar>
              <w:left w:type="dxa" w:w="80"/>
              <w:right w:type="dxa" w:w="80"/>
            </w:tcMar>
          </w:tcPr>
          <w:p>
            <w:pPr>
              <w:pStyle w:val="Compact"/>
            </w:pPr>
            <w:r>
              <w:rPr>
                <w:sz w:val="19"/>
                <w:szCs w:val="19"/>
                <w:lang w:val="en-GB"/>
              </w:rPr>
              <w:t xml:space="preserve">Triggering</w:t>
            </w:r>
          </w:p>
        </w:tc>
        <w:tc>
          <w:tcPr>
            <w:tcW w:type="dxa" w:w="1872"/>
            <w:tcMar>
              <w:left w:type="dxa" w:w="80"/>
              <w:right w:type="dxa" w:w="80"/>
            </w:tcMar>
          </w:tcPr>
          <w:p>
            <w:pPr>
              <w:pStyle w:val="Compact"/>
            </w:pPr>
            <w:r>
              <w:rPr>
                <w:sz w:val="19"/>
                <w:szCs w:val="19"/>
                <w:lang w:val="en-GB"/>
              </w:rPr>
              <w:t xml:space="preserve">User selects sources</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TLS</w:t>
            </w:r>
          </w:p>
        </w:tc>
        <w:tc>
          <w:tcPr>
            <w:tcW w:type="dxa" w:w="1872"/>
            <w:tcMar>
              <w:left w:type="dxa" w:w="80"/>
              <w:right w:type="dxa" w:w="80"/>
            </w:tcMar>
          </w:tcPr>
          <w:p>
            <w:pPr>
              <w:pStyle w:val="Compact"/>
            </w:pPr>
            <w:r>
              <w:rPr>
                <w:sz w:val="19"/>
                <w:szCs w:val="19"/>
                <w:lang w:val="en-GB"/>
              </w:rPr>
              <w:t xml:space="preserve">—</w:t>
            </w:r>
          </w:p>
        </w:tc>
      </w:tr>
      <w:tr>
        <w:trPr>
          <w:cantSplit/>
        </w:trPr>
        <w:tc>
          <w:tcPr>
            <w:tcW w:type="dxa" w:w="1872"/>
            <w:tcMar>
              <w:left w:type="dxa" w:w="80"/>
              <w:right w:type="dxa" w:w="80"/>
            </w:tcMar>
          </w:tcPr>
          <w:p>
            <w:pPr>
              <w:pStyle w:val="Compact"/>
            </w:pPr>
            <w:r>
              <w:rPr>
                <w:sz w:val="19"/>
                <w:szCs w:val="19"/>
                <w:lang w:val="en-GB"/>
              </w:rPr>
              <w:t xml:space="preserve">Send to model</w:t>
            </w:r>
          </w:p>
        </w:tc>
        <w:tc>
          <w:tcPr>
            <w:tcW w:type="dxa" w:w="1872"/>
            <w:tcMar>
              <w:left w:type="dxa" w:w="80"/>
              <w:right w:type="dxa" w:w="80"/>
            </w:tcMar>
          </w:tcPr>
          <w:p>
            <w:pPr>
              <w:pStyle w:val="Compact"/>
            </w:pPr>
            <w:r>
              <w:rPr>
                <w:b/>
                <w:bCs/>
                <w:sz w:val="19"/>
                <w:szCs w:val="19"/>
                <w:lang w:val="en-GB"/>
              </w:rPr>
              <w:t xml:space="preserve">Primary route: controlled vLLM servers (EU); </w:t>
            </w:r>
            <w:r>
              <w:rPr>
                <w:sz w:val="19"/>
                <w:szCs w:val="19"/>
                <w:lang w:val="en-GB"/>
              </w:rPr>
              <w:t xml:space="preserve"/>
            </w:r>
            <w:r>
              <w:rPr>
                <w:sz w:val="19"/>
                <w:szCs w:val="19"/>
                <w:lang w:val="en-GB"/>
              </w:rPr>
              <w:t xml:space="preserve">fallback that can be disabled: OpenRouter → model provider; or self-hosted LLM (Option B)</w:t>
            </w:r>
          </w:p>
        </w:tc>
        <w:tc>
          <w:tcPr>
            <w:tcW w:type="dxa" w:w="1872"/>
            <w:tcMar>
              <w:left w:type="dxa" w:w="80"/>
              <w:right w:type="dxa" w:w="80"/>
            </w:tcMar>
          </w:tcPr>
          <w:p>
            <w:pPr>
              <w:pStyle w:val="Compact"/>
            </w:pPr>
            <w:r>
              <w:rPr>
                <w:sz w:val="19"/>
                <w:szCs w:val="19"/>
                <w:lang w:val="en-GB"/>
              </w:rPr>
              <w:t xml:space="preserve">EU (Strasbourg / Paris) on the primary route; US </w:t>
            </w:r>
            <w:r>
              <w:rPr>
                <w:sz w:val="19"/>
                <w:szCs w:val="19"/>
                <w:lang w:val="en-GB"/>
              </w:rPr>
              <w:t xml:space="preserve"/>
            </w:r>
            <w:r>
              <w:rPr>
                <w:b/>
                <w:bCs/>
                <w:sz w:val="19"/>
                <w:szCs w:val="19"/>
                <w:lang w:val="en-GB"/>
              </w:rPr>
              <w:t xml:space="preserve">possible only </w:t>
            </w:r>
            <w:r>
              <w:rPr>
                <w:sz w:val="19"/>
                <w:szCs w:val="19"/>
                <w:lang w:val="en-GB"/>
              </w:rPr>
              <w:t xml:space="preserve"/>
            </w:r>
            <w:r>
              <w:rPr>
                <w:sz w:val="19"/>
                <w:szCs w:val="19"/>
                <w:lang w:val="en-GB"/>
              </w:rPr>
              <w:t xml:space="preserve">through OpenRouter fallback</w:t>
            </w:r>
          </w:p>
        </w:tc>
        <w:tc>
          <w:tcPr>
            <w:tcW w:type="dxa" w:w="1872"/>
            <w:tcMar>
              <w:left w:type="dxa" w:w="80"/>
              <w:right w:type="dxa" w:w="80"/>
            </w:tcMar>
          </w:tcPr>
          <w:p>
            <w:pPr>
              <w:pStyle w:val="Compact"/>
            </w:pPr>
            <w:r>
              <w:rPr>
                <w:sz w:val="19"/>
                <w:szCs w:val="19"/>
                <w:lang w:val="en-GB"/>
              </w:rPr>
              <w:t xml:space="preserve">TLS; no-train; minimization</w:t>
            </w:r>
          </w:p>
        </w:tc>
        <w:tc>
          <w:tcPr>
            <w:tcW w:type="dxa" w:w="1872"/>
            <w:tcMar>
              <w:left w:type="dxa" w:w="80"/>
              <w:right w:type="dxa" w:w="80"/>
            </w:tcMar>
          </w:tcPr>
          <w:p>
            <w:pPr>
              <w:pStyle w:val="Compact"/>
            </w:pPr>
            <w:r>
              <w:rPr>
                <w:sz w:val="19"/>
                <w:szCs w:val="19"/>
                <w:lang w:val="en-GB"/>
              </w:rPr>
              <w:t xml:space="preserve">The time of inference; no sustainable storage on the supplier side</w:t>
            </w:r>
          </w:p>
        </w:tc>
      </w:tr>
      <w:tr>
        <w:trPr>
          <w:cantSplit/>
        </w:trPr>
        <w:tc>
          <w:tcPr>
            <w:tcW w:type="dxa" w:w="1872"/>
            <w:tcMar>
              <w:left w:type="dxa" w:w="80"/>
              <w:right w:type="dxa" w:w="80"/>
            </w:tcMar>
          </w:tcPr>
          <w:p>
            <w:pPr>
              <w:pStyle w:val="Compact"/>
            </w:pPr>
            <w:r>
              <w:rPr>
                <w:sz w:val="19"/>
                <w:szCs w:val="19"/>
                <w:lang w:val="en-GB"/>
              </w:rPr>
              <w:t xml:space="preserve">Return</w:t>
            </w:r>
          </w:p>
        </w:tc>
        <w:tc>
          <w:tcPr>
            <w:tcW w:type="dxa" w:w="1872"/>
            <w:tcMar>
              <w:left w:type="dxa" w:w="80"/>
              <w:right w:type="dxa" w:w="80"/>
            </w:tcMar>
          </w:tcPr>
          <w:p>
            <w:pPr>
              <w:pStyle w:val="Compact"/>
            </w:pPr>
            <w:r>
              <w:rPr>
                <w:sz w:val="19"/>
                <w:szCs w:val="19"/>
                <w:lang w:val="en-GB"/>
              </w:rPr>
              <w:t xml:space="preserve">Generated response → application</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TLS</w:t>
            </w:r>
          </w:p>
        </w:tc>
        <w:tc>
          <w:tcPr>
            <w:tcW w:type="dxa" w:w="1872"/>
            <w:tcMar>
              <w:left w:type="dxa" w:w="80"/>
              <w:right w:type="dxa" w:w="80"/>
            </w:tcMar>
          </w:tcPr>
          <w:p>
            <w:pPr>
              <w:pStyle w:val="Compact"/>
            </w:pPr>
            <w:r>
              <w:rPr>
                <w:sz w:val="19"/>
                <w:szCs w:val="19"/>
                <w:lang w:val="en-GB"/>
              </w:rPr>
              <w:t xml:space="preserve">Transient</w:t>
            </w:r>
          </w:p>
        </w:tc>
      </w:tr>
      <w:tr>
        <w:trPr>
          <w:cantSplit/>
        </w:trPr>
        <w:tc>
          <w:tcPr>
            <w:tcW w:type="dxa" w:w="1872"/>
            <w:tcMar>
              <w:left w:type="dxa" w:w="80"/>
              <w:right w:type="dxa" w:w="80"/>
            </w:tcMar>
          </w:tcPr>
          <w:p>
            <w:pPr>
              <w:pStyle w:val="Compact"/>
            </w:pPr>
            <w:r>
              <w:rPr>
                <w:sz w:val="19"/>
                <w:szCs w:val="19"/>
                <w:lang w:val="en-GB"/>
              </w:rPr>
              <w:t xml:space="preserve">Storage</w:t>
            </w:r>
          </w:p>
        </w:tc>
        <w:tc>
          <w:tcPr>
            <w:tcW w:type="dxa" w:w="1872"/>
            <w:tcMar>
              <w:left w:type="dxa" w:w="80"/>
              <w:right w:type="dxa" w:w="80"/>
            </w:tcMar>
          </w:tcPr>
          <w:p>
            <w:pPr>
              <w:pStyle w:val="Compact"/>
            </w:pPr>
            <w:r>
              <w:rPr>
                <w:sz w:val="19"/>
                <w:szCs w:val="19"/>
                <w:lang w:val="en-GB"/>
              </w:rPr>
              <w:t xml:space="preserve"/>
            </w:r>
            <w:r>
              <w:rPr>
                <w:sz w:val="19"/>
                <w:szCs w:val="19"/>
                <w:lang w:val="en-GB"/>
              </w:rPr>
              <w:t xml:space="preserve"/>
            </w:r>
            <w:r>
              <w:rPr>
                <w:rStyle w:val="VerbatimChar"/>
                <w:sz w:val="19"/>
                <w:szCs w:val="19"/>
                <w:lang w:val="en-GB"/>
              </w:rPr>
              <w:t xml:space="preserve">ai_generations</w:t>
            </w:r>
            <w:r>
              <w:rPr>
                <w:sz w:val="19"/>
                <w:szCs w:val="19"/>
                <w:lang w:val="en-GB"/>
              </w:rPr>
              <w:t xml:space="preserve"> </w:t>
            </w:r>
            <w:r>
              <w:rPr>
                <w:sz w:val="19"/>
                <w:szCs w:val="19"/>
                <w:lang w:val="en-GB"/>
              </w:rPr>
              <w:t xml:space="preserve">table (tenant)</w:t>
            </w:r>
          </w:p>
        </w:tc>
        <w:tc>
          <w:tcPr>
            <w:tcW w:type="dxa" w:w="1872"/>
            <w:tcMar>
              <w:left w:type="dxa" w:w="80"/>
              <w:right w:type="dxa" w:w="80"/>
            </w:tcMar>
          </w:tcPr>
          <w:p>
            <w:pPr>
              <w:pStyle w:val="Compact"/>
            </w:pPr>
            <w:r>
              <w:rPr>
                <w:sz w:val="19"/>
                <w:szCs w:val="19"/>
                <w:lang w:val="en-GB"/>
              </w:rPr>
              <w:t xml:space="preserve">PostgreSQL, production server France</w:t>
            </w:r>
          </w:p>
        </w:tc>
        <w:tc>
          <w:tcPr>
            <w:tcW w:type="dxa" w:w="1872"/>
            <w:tcMar>
              <w:left w:type="dxa" w:w="80"/>
              <w:right w:type="dxa" w:w="80"/>
            </w:tcMar>
          </w:tcPr>
          <w:p>
            <w:pPr>
              <w:pStyle w:val="Compact"/>
            </w:pPr>
            <w:r>
              <w:rPr>
                <w:sz w:val="19"/>
                <w:szCs w:val="19"/>
                <w:lang w:val="en-GB"/>
              </w:rPr>
              <w:t xml:space="preserve">At rest (see §1)</w:t>
            </w:r>
          </w:p>
        </w:tc>
        <w:tc>
          <w:tcPr>
            <w:tcW w:type="dxa" w:w="1872"/>
            <w:tcMar>
              <w:left w:type="dxa" w:w="80"/>
              <w:right w:type="dxa" w:w="80"/>
            </w:tcMar>
          </w:tcPr>
          <w:p>
            <w:pPr>
              <w:pStyle w:val="Compact"/>
            </w:pPr>
            <w:r>
              <w:rPr>
                <w:sz w:val="19"/>
                <w:szCs w:val="19"/>
                <w:lang w:val="en-GB"/>
              </w:rPr>
              <w:t xml:space="preserve">Set duration / contract duration</w:t>
            </w:r>
          </w:p>
        </w:tc>
      </w:tr>
      <w:tr>
        <w:trPr>
          <w:cantSplit/>
        </w:trPr>
        <w:tc>
          <w:tcPr>
            <w:tcW w:type="dxa" w:w="1872"/>
            <w:tcMar>
              <w:left w:type="dxa" w:w="80"/>
              <w:right w:type="dxa" w:w="80"/>
            </w:tcMar>
          </w:tcPr>
          <w:p>
            <w:pPr>
              <w:pStyle w:val="Compact"/>
            </w:pPr>
            <w:r>
              <w:rPr>
                <w:sz w:val="19"/>
                <w:szCs w:val="19"/>
                <w:lang w:val="en-GB"/>
              </w:rPr>
              <w:t xml:space="preserve">Backup</w:t>
            </w:r>
          </w:p>
        </w:tc>
        <w:tc>
          <w:tcPr>
            <w:tcW w:type="dxa" w:w="1872"/>
            <w:tcMar>
              <w:left w:type="dxa" w:w="80"/>
              <w:right w:type="dxa" w:w="80"/>
            </w:tcMar>
          </w:tcPr>
          <w:p>
            <w:pPr>
              <w:pStyle w:val="Compact"/>
            </w:pPr>
            <w:r>
              <w:rPr>
                <w:sz w:val="19"/>
                <w:szCs w:val="19"/>
                <w:lang w:val="en-GB"/>
              </w:rPr>
              <w:t xml:space="preserve">age → rclone</w:t>
            </w:r>
          </w:p>
        </w:tc>
        <w:tc>
          <w:tcPr>
            <w:tcW w:type="dxa" w:w="1872"/>
            <w:tcMar>
              <w:left w:type="dxa" w:w="80"/>
              <w:right w:type="dxa" w:w="80"/>
            </w:tcMar>
          </w:tcPr>
          <w:p>
            <w:pPr>
              <w:pStyle w:val="Compact"/>
            </w:pPr>
            <w:r>
              <w:rPr>
                <w:sz w:val="19"/>
                <w:szCs w:val="19"/>
                <w:lang w:val="en-GB"/>
              </w:rPr>
              <w:t xml:space="preserve">Scaleway (France, EU)</w:t>
            </w:r>
          </w:p>
        </w:tc>
        <w:tc>
          <w:tcPr>
            <w:tcW w:type="dxa" w:w="1872"/>
            <w:tcMar>
              <w:left w:type="dxa" w:w="80"/>
              <w:right w:type="dxa" w:w="80"/>
            </w:tcMar>
          </w:tcPr>
          <w:p>
            <w:pPr>
              <w:pStyle w:val="Compact"/>
            </w:pPr>
            <w:r>
              <w:rPr>
                <w:sz w:val="19"/>
                <w:szCs w:val="19"/>
                <w:lang w:val="en-GB"/>
              </w:rPr>
              <w:t xml:space="preserve">age</w:t>
            </w:r>
          </w:p>
        </w:tc>
        <w:tc>
          <w:tcPr>
            <w:tcW w:type="dxa" w:w="1872"/>
            <w:tcMar>
              <w:left w:type="dxa" w:w="80"/>
              <w:right w:type="dxa" w:w="80"/>
            </w:tcMar>
          </w:tcPr>
          <w:p>
            <w:pPr>
              <w:pStyle w:val="Compact"/>
            </w:pPr>
            <w:r>
              <w:rPr>
                <w:sz w:val="19"/>
                <w:szCs w:val="19"/>
                <w:lang w:val="en-GB"/>
              </w:rPr>
              <w:t xml:space="preserve">≤ 90 j</w:t>
            </w:r>
          </w:p>
        </w:tc>
      </w:tr>
    </w:tbl>
    <w:bookmarkEnd w:id="64"/>
    <w:bookmarkStart w:id="65" w:name="Xf33d00c3bf24ebe4aaf41272309e8f487b00b12"/>
    <w:p>
      <w:pPr>
        <w:pStyle w:val="Heading3"/>
        <w:keepNext/>
        <w:keepLines/>
      </w:pPr>
      <w:r>
        <w:rPr>
          <w:color w:val="000000"/>
          <w:lang w:val="en-GB"/>
        </w:rPr>
        <w:t xml:space="preserve">2.4 Model prompts and outputs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Actor/component</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Encryption</w:t>
            </w:r>
          </w:p>
        </w:tc>
        <w:tc>
          <w:tcPr>
            <w:tcW w:type="dxa" w:w="1872"/>
            <w:tcMar>
              <w:left w:type="dxa" w:w="80"/>
              <w:right w:type="dxa" w:w="80"/>
            </w:tcMar>
          </w:tcPr>
          <w:p>
            <w:pPr>
              <w:pStyle w:val="Compact"/>
            </w:pPr>
            <w:r>
              <w:rPr>
                <w:sz w:val="19"/>
                <w:szCs w:val="19"/>
                <w:lang w:val="en-GB"/>
              </w:rPr>
              <w:t xml:space="preserve">Duration at stage</w:t>
            </w:r>
          </w:p>
        </w:tc>
      </w:tr>
      <w:tr>
        <w:trPr>
          <w:cantSplit/>
        </w:trPr>
        <w:tc>
          <w:tcPr>
            <w:tcW w:type="dxa" w:w="1872"/>
            <w:tcMar>
              <w:left w:type="dxa" w:w="80"/>
              <w:right w:type="dxa" w:w="80"/>
            </w:tcMar>
          </w:tcPr>
          <w:p>
            <w:pPr>
              <w:pStyle w:val="Compact"/>
            </w:pPr>
            <w:r>
              <w:rPr>
                <w:sz w:val="19"/>
                <w:szCs w:val="19"/>
                <w:lang w:val="en-GB"/>
              </w:rPr>
              <w:t xml:space="preserve">Constitution of the prompt</w:t>
            </w:r>
          </w:p>
        </w:tc>
        <w:tc>
          <w:tcPr>
            <w:tcW w:type="dxa" w:w="1872"/>
            <w:tcMar>
              <w:left w:type="dxa" w:w="80"/>
              <w:right w:type="dxa" w:w="80"/>
            </w:tcMar>
          </w:tcPr>
          <w:p>
            <w:pPr>
              <w:pStyle w:val="Compact"/>
            </w:pPr>
            <w:r>
              <w:rPr>
                <w:sz w:val="19"/>
                <w:szCs w:val="19"/>
                <w:lang w:val="en-GB"/>
              </w:rPr>
              <w:t xml:space="preserve">Application (user-selected sources, minimization)</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TLS</w:t>
            </w:r>
          </w:p>
        </w:tc>
        <w:tc>
          <w:tcPr>
            <w:tcW w:type="dxa" w:w="1872"/>
            <w:tcMar>
              <w:left w:type="dxa" w:w="80"/>
              <w:right w:type="dxa" w:w="80"/>
            </w:tcMar>
          </w:tcPr>
          <w:p>
            <w:pPr>
              <w:pStyle w:val="Compact"/>
            </w:pPr>
            <w:r>
              <w:rPr>
                <w:sz w:val="19"/>
                <w:szCs w:val="19"/>
                <w:lang w:val="en-GB"/>
              </w:rPr>
              <w:t xml:space="preserve">Transient</w:t>
            </w:r>
          </w:p>
        </w:tc>
      </w:tr>
      <w:tr>
        <w:trPr>
          <w:cantSplit/>
        </w:trPr>
        <w:tc>
          <w:tcPr>
            <w:tcW w:type="dxa" w:w="1872"/>
            <w:tcMar>
              <w:left w:type="dxa" w:w="80"/>
              <w:right w:type="dxa" w:w="80"/>
            </w:tcMar>
          </w:tcPr>
          <w:p>
            <w:pPr>
              <w:pStyle w:val="Compact"/>
            </w:pPr>
            <w:r>
              <w:rPr>
                <w:sz w:val="19"/>
                <w:szCs w:val="19"/>
                <w:lang w:val="en-GB"/>
              </w:rPr>
              <w:t xml:space="preserve">Transmission</w:t>
            </w:r>
          </w:p>
        </w:tc>
        <w:tc>
          <w:tcPr>
            <w:tcW w:type="dxa" w:w="1872"/>
            <w:tcMar>
              <w:left w:type="dxa" w:w="80"/>
              <w:right w:type="dxa" w:w="80"/>
            </w:tcMar>
          </w:tcPr>
          <w:p>
            <w:pPr>
              <w:pStyle w:val="Compact"/>
            </w:pPr>
            <w:r>
              <w:rPr>
                <w:b/>
                <w:bCs/>
                <w:sz w:val="19"/>
                <w:szCs w:val="19"/>
                <w:lang w:val="en-GB"/>
              </w:rPr>
              <w:t xml:space="preserve">Primary channel: EU vLLM servers (controlled); </w:t>
            </w:r>
            <w:r>
              <w:rPr>
                <w:sz w:val="19"/>
                <w:szCs w:val="19"/>
                <w:lang w:val="en-GB"/>
              </w:rPr>
              <w:t xml:space="preserve"/>
            </w:r>
            <w:r>
              <w:rPr>
                <w:sz w:val="19"/>
                <w:szCs w:val="19"/>
                <w:lang w:val="en-GB"/>
              </w:rPr>
              <w:t xml:space="preserve">deactivatable fallback: OpenRouter → provider; or local endpoint (Opt. B)</w:t>
            </w:r>
          </w:p>
        </w:tc>
        <w:tc>
          <w:tcPr>
            <w:tcW w:type="dxa" w:w="1872"/>
            <w:tcMar>
              <w:left w:type="dxa" w:w="80"/>
              <w:right w:type="dxa" w:w="80"/>
            </w:tcMar>
          </w:tcPr>
          <w:p>
            <w:pPr>
              <w:pStyle w:val="Compact"/>
            </w:pPr>
            <w:r>
              <w:rPr>
                <w:sz w:val="19"/>
                <w:szCs w:val="19"/>
                <w:lang w:val="en-GB"/>
              </w:rPr>
              <w:t xml:space="preserve">EU on the primary route; US </w:t>
            </w:r>
            <w:r>
              <w:rPr>
                <w:sz w:val="19"/>
                <w:szCs w:val="19"/>
                <w:lang w:val="en-GB"/>
              </w:rPr>
              <w:t xml:space="preserve"/>
            </w:r>
            <w:r>
              <w:rPr>
                <w:b/>
                <w:bCs/>
                <w:sz w:val="19"/>
                <w:szCs w:val="19"/>
                <w:lang w:val="en-GB"/>
              </w:rPr>
              <w:t xml:space="preserve">possible only </w:t>
            </w:r>
            <w:r>
              <w:rPr>
                <w:sz w:val="19"/>
                <w:szCs w:val="19"/>
                <w:lang w:val="en-GB"/>
              </w:rPr>
              <w:t xml:space="preserve"/>
            </w:r>
            <w:r>
              <w:rPr>
                <w:sz w:val="19"/>
                <w:szCs w:val="19"/>
                <w:lang w:val="en-GB"/>
              </w:rPr>
              <w:t xml:space="preserve">through fallback</w:t>
            </w:r>
          </w:p>
        </w:tc>
        <w:tc>
          <w:tcPr>
            <w:tcW w:type="dxa" w:w="1872"/>
            <w:tcMar>
              <w:left w:type="dxa" w:w="80"/>
              <w:right w:type="dxa" w:w="80"/>
            </w:tcMar>
          </w:tcPr>
          <w:p>
            <w:pPr>
              <w:pStyle w:val="Compact"/>
            </w:pPr>
            <w:r>
              <w:rPr>
                <w:sz w:val="19"/>
                <w:szCs w:val="19"/>
                <w:lang w:val="en-GB"/>
              </w:rPr>
              <w:t xml:space="preserve">TLS; no-train</w:t>
            </w:r>
          </w:p>
        </w:tc>
        <w:tc>
          <w:tcPr>
            <w:tcW w:type="dxa" w:w="1872"/>
            <w:tcMar>
              <w:left w:type="dxa" w:w="80"/>
              <w:right w:type="dxa" w:w="80"/>
            </w:tcMar>
          </w:tcPr>
          <w:p>
            <w:pPr>
              <w:pStyle w:val="Compact"/>
            </w:pPr>
            <w:r>
              <w:rPr>
                <w:sz w:val="19"/>
                <w:szCs w:val="19"/>
                <w:lang w:val="en-GB"/>
              </w:rPr>
              <w:t xml:space="preserve">Time for inference</w:t>
            </w:r>
          </w:p>
        </w:tc>
      </w:tr>
      <w:tr>
        <w:trPr>
          <w:cantSplit/>
        </w:trPr>
        <w:tc>
          <w:tcPr>
            <w:tcW w:type="dxa" w:w="1872"/>
            <w:tcMar>
              <w:left w:type="dxa" w:w="80"/>
              <w:right w:type="dxa" w:w="80"/>
            </w:tcMar>
          </w:tcPr>
          <w:p>
            <w:pPr>
              <w:pStyle w:val="Compact"/>
            </w:pPr>
            <w:r>
              <w:rPr>
                <w:sz w:val="19"/>
                <w:szCs w:val="19"/>
                <w:lang w:val="en-GB"/>
              </w:rPr>
              <w:t xml:space="preserve">Exit</w:t>
            </w:r>
          </w:p>
        </w:tc>
        <w:tc>
          <w:tcPr>
            <w:tcW w:type="dxa" w:w="1872"/>
            <w:tcMar>
              <w:left w:type="dxa" w:w="80"/>
              <w:right w:type="dxa" w:w="80"/>
            </w:tcMar>
          </w:tcPr>
          <w:p>
            <w:pPr>
              <w:pStyle w:val="Compact"/>
            </w:pPr>
            <w:r>
              <w:rPr>
                <w:sz w:val="19"/>
                <w:szCs w:val="19"/>
                <w:lang w:val="en-GB"/>
              </w:rPr>
              <w:t xml:space="preserve">Kept in the tenant (editable, validated by a human)</w:t>
            </w:r>
          </w:p>
        </w:tc>
        <w:tc>
          <w:tcPr>
            <w:tcW w:type="dxa" w:w="1872"/>
            <w:tcMar>
              <w:left w:type="dxa" w:w="80"/>
              <w:right w:type="dxa" w:w="80"/>
            </w:tcMar>
          </w:tcPr>
          <w:p>
            <w:pPr>
              <w:pStyle w:val="Compact"/>
            </w:pPr>
            <w:r>
              <w:rPr>
                <w:sz w:val="19"/>
                <w:szCs w:val="19"/>
                <w:lang w:val="en-GB"/>
              </w:rPr>
              <w:t xml:space="preserve">PostgreSQL (tenant)</w:t>
            </w:r>
          </w:p>
        </w:tc>
        <w:tc>
          <w:tcPr>
            <w:tcW w:type="dxa" w:w="1872"/>
            <w:tcMar>
              <w:left w:type="dxa" w:w="80"/>
              <w:right w:type="dxa" w:w="80"/>
            </w:tcMar>
          </w:tcPr>
          <w:p>
            <w:pPr>
              <w:pStyle w:val="Compact"/>
            </w:pPr>
            <w:r>
              <w:rPr>
                <w:sz w:val="19"/>
                <w:szCs w:val="19"/>
                <w:lang w:val="en-GB"/>
              </w:rPr>
              <w:t xml:space="preserve">At rest (see §1)</w:t>
            </w:r>
          </w:p>
        </w:tc>
        <w:tc>
          <w:tcPr>
            <w:tcW w:type="dxa" w:w="1872"/>
            <w:tcMar>
              <w:left w:type="dxa" w:w="80"/>
              <w:right w:type="dxa" w:w="80"/>
            </w:tcMar>
          </w:tcPr>
          <w:p>
            <w:pPr>
              <w:pStyle w:val="Compact"/>
            </w:pPr>
            <w:r>
              <w:rPr>
                <w:sz w:val="19"/>
                <w:szCs w:val="19"/>
                <w:lang w:val="en-GB"/>
              </w:rPr>
              <w:t xml:space="preserve">Set duration / contract duration</w:t>
            </w:r>
          </w:p>
        </w:tc>
      </w:tr>
      <w:tr>
        <w:trPr>
          <w:cantSplit/>
        </w:trPr>
        <w:tc>
          <w:tcPr>
            <w:tcW w:type="dxa" w:w="1872"/>
            <w:tcMar>
              <w:left w:type="dxa" w:w="80"/>
              <w:right w:type="dxa" w:w="80"/>
            </w:tcMar>
          </w:tcPr>
          <w:p>
            <w:pPr>
              <w:pStyle w:val="Compact"/>
            </w:pPr>
            <w:r>
              <w:rPr>
                <w:sz w:val="19"/>
                <w:szCs w:val="19"/>
                <w:lang w:val="en-GB"/>
              </w:rPr>
              <w:t xml:space="preserve">Supplier side</w:t>
            </w:r>
          </w:p>
        </w:tc>
        <w:tc>
          <w:tcPr>
            <w:tcW w:type="dxa" w:w="1872"/>
            <w:tcMar>
              <w:left w:type="dxa" w:w="80"/>
              <w:right w:type="dxa" w:w="80"/>
            </w:tcMar>
          </w:tcPr>
          <w:p>
            <w:pPr>
              <w:pStyle w:val="Compact"/>
            </w:pPr>
            <w:r>
              <w:rPr>
                <w:sz w:val="19"/>
                <w:szCs w:val="19"/>
                <w:lang w:val="en-GB"/>
              </w:rPr>
              <w:t xml:space="preserve">Primary route: no third party; backup: no lasting storage, no training</w:t>
            </w:r>
          </w:p>
        </w:tc>
        <w:tc>
          <w:tcPr>
            <w:tcW w:type="dxa" w:w="1872"/>
            <w:tcMar>
              <w:left w:type="dxa" w:w="80"/>
              <w:right w:type="dxa" w:w="80"/>
            </w:tcMar>
          </w:tcPr>
          <w:p>
            <w:pPr>
              <w:pStyle w:val="Compact"/>
            </w:pPr>
            <w:r>
              <w:rPr>
                <w:sz w:val="19"/>
                <w:szCs w:val="19"/>
                <w:lang w:val="en-GB"/>
              </w:rPr>
              <w:t xml:space="preserve">EU (primary route); US/EU depending on model (rescue)</w:t>
            </w:r>
          </w:p>
        </w:tc>
        <w:tc>
          <w:tcPr>
            <w:tcW w:type="dxa" w:w="1872"/>
            <w:tcMar>
              <w:left w:type="dxa" w:w="80"/>
              <w:right w:type="dxa" w:w="80"/>
            </w:tcMar>
          </w:tcPr>
          <w:p>
            <w:pPr>
              <w:pStyle w:val="Compact"/>
            </w:pPr>
            <w:r>
              <w:rPr>
                <w:sz w:val="19"/>
                <w:szCs w:val="19"/>
                <w:lang w:val="en-GB"/>
              </w:rPr>
              <w:t xml:space="preserve">According to supplier DPA (rescue)</w:t>
            </w:r>
          </w:p>
        </w:tc>
        <w:tc>
          <w:tcPr>
            <w:tcW w:type="dxa" w:w="1872"/>
            <w:tcMar>
              <w:left w:type="dxa" w:w="80"/>
              <w:right w:type="dxa" w:w="80"/>
            </w:tcMar>
          </w:tcPr>
          <w:p>
            <w:pPr>
              <w:pStyle w:val="Compact"/>
            </w:pPr>
            <w:r>
              <w:rPr>
                <w:sz w:val="19"/>
                <w:szCs w:val="19"/>
                <w:lang w:val="en-GB"/>
              </w:rPr>
              <w:t xml:space="preserve">[TO BE COMPLETED: exact retention by supplier]</w:t>
            </w:r>
          </w:p>
        </w:tc>
      </w:tr>
    </w:tbl>
    <w:bookmarkEnd w:id="65"/>
    <w:bookmarkStart w:id="66" w:name="X11292ab5bd72f4d399359c76ca524b5506db9c0"/>
    <w:p>
      <w:pPr>
        <w:pStyle w:val="Heading3"/>
        <w:keepNext/>
        <w:keepLines/>
      </w:pPr>
      <w:r>
        <w:rPr>
          <w:color w:val="000000"/>
          <w:lang w:val="en-GB"/>
        </w:rPr>
        <w:t xml:space="preserve">2.5 Temporary data (voice embeddings in RAM, temporary processing files)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Actor/component</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Encryption</w:t>
            </w:r>
          </w:p>
        </w:tc>
        <w:tc>
          <w:tcPr>
            <w:tcW w:type="dxa" w:w="1872"/>
            <w:tcMar>
              <w:left w:type="dxa" w:w="80"/>
              <w:right w:type="dxa" w:w="80"/>
            </w:tcMar>
          </w:tcPr>
          <w:p>
            <w:pPr>
              <w:pStyle w:val="Compact"/>
            </w:pPr>
            <w:r>
              <w:rPr>
                <w:sz w:val="19"/>
                <w:szCs w:val="19"/>
                <w:lang w:val="en-GB"/>
              </w:rPr>
              <w:t xml:space="preserve">Duration at stage</w:t>
            </w:r>
          </w:p>
        </w:tc>
      </w:tr>
      <w:tr>
        <w:trPr>
          <w:cantSplit/>
        </w:trPr>
        <w:tc>
          <w:tcPr>
            <w:tcW w:type="dxa" w:w="1872"/>
            <w:tcMar>
              <w:left w:type="dxa" w:w="80"/>
              <w:right w:type="dxa" w:w="80"/>
            </w:tcMar>
          </w:tcPr>
          <w:p>
            <w:pPr>
              <w:pStyle w:val="Compact"/>
            </w:pPr>
            <w:r>
              <w:rPr>
                <w:sz w:val="19"/>
                <w:szCs w:val="19"/>
                <w:lang w:val="en-GB"/>
              </w:rPr>
              <w:t xml:space="preserve">Calculation</w:t>
            </w:r>
          </w:p>
        </w:tc>
        <w:tc>
          <w:tcPr>
            <w:tcW w:type="dxa" w:w="1872"/>
            <w:tcMar>
              <w:left w:type="dxa" w:w="80"/>
              <w:right w:type="dxa" w:w="80"/>
            </w:tcMar>
          </w:tcPr>
          <w:p>
            <w:pPr>
              <w:pStyle w:val="Compact"/>
            </w:pPr>
            <w:r>
              <w:rPr>
                <w:sz w:val="19"/>
                <w:szCs w:val="19"/>
                <w:lang w:val="en-GB"/>
              </w:rPr>
              <w:t xml:space="preserve">Worker (voice diarization/correlation)</w:t>
            </w:r>
          </w:p>
        </w:tc>
        <w:tc>
          <w:tcPr>
            <w:tcW w:type="dxa" w:w="1872"/>
            <w:tcMar>
              <w:left w:type="dxa" w:w="80"/>
              <w:right w:type="dxa" w:w="80"/>
            </w:tcMar>
          </w:tcPr>
          <w:p>
            <w:pPr>
              <w:pStyle w:val="Compact"/>
            </w:pPr>
            <w:r>
              <w:rPr>
                <w:sz w:val="19"/>
                <w:szCs w:val="19"/>
                <w:lang w:val="en-GB"/>
              </w:rPr>
              <w:t xml:space="preserve">RAM (RAM), </w:t>
            </w:r>
            <w:r>
              <w:rPr>
                <w:sz w:val="19"/>
                <w:szCs w:val="19"/>
                <w:lang w:val="en-GB"/>
              </w:rPr>
              <w:t xml:space="preserve"/>
            </w:r>
            <w:r>
              <w:rPr>
                <w:rStyle w:val="VerbatimChar"/>
                <w:sz w:val="19"/>
                <w:szCs w:val="19"/>
                <w:lang w:val="en-GB"/>
              </w:rPr>
              <w:t xml:space="preserve">tmpfs</w:t>
            </w:r>
            <w:r>
              <w:rPr>
                <w:sz w:val="19"/>
                <w:szCs w:val="19"/>
                <w:lang w:val="en-GB"/>
              </w:rPr>
              <w:t xml:space="preserve"> </w:t>
            </w:r>
            <w:r>
              <w:rPr>
                <w:sz w:val="19"/>
                <w:szCs w:val="19"/>
                <w:lang w:val="en-GB"/>
              </w:rPr>
              <w:t xml:space="preserve">when possible</w:t>
            </w:r>
          </w:p>
        </w:tc>
        <w:tc>
          <w:tcPr>
            <w:tcW w:type="dxa" w:w="1872"/>
            <w:tcMar>
              <w:left w:type="dxa" w:w="80"/>
              <w:right w:type="dxa" w:w="80"/>
            </w:tcMar>
          </w:tcPr>
          <w:p>
            <w:pPr>
              <w:pStyle w:val="Compact"/>
            </w:pPr>
            <w:r>
              <w:rPr>
                <w:sz w:val="19"/>
                <w:szCs w:val="19"/>
                <w:lang w:val="en-GB"/>
              </w:rPr>
              <w:t xml:space="preserve">— (never outsourced)</w:t>
            </w:r>
          </w:p>
        </w:tc>
        <w:tc>
          <w:tcPr>
            <w:tcW w:type="dxa" w:w="1872"/>
            <w:tcMar>
              <w:left w:type="dxa" w:w="80"/>
              <w:right w:type="dxa" w:w="80"/>
            </w:tcMar>
          </w:tcPr>
          <w:p>
            <w:pPr>
              <w:pStyle w:val="Compact"/>
            </w:pPr>
            <w:r>
              <w:rPr>
                <w:sz w:val="19"/>
                <w:szCs w:val="19"/>
                <w:lang w:val="en-GB"/>
              </w:rPr>
              <w:t xml:space="preserve">Query duration only</w:t>
            </w:r>
          </w:p>
        </w:tc>
      </w:tr>
      <w:tr>
        <w:trPr>
          <w:cantSplit/>
        </w:trPr>
        <w:tc>
          <w:tcPr>
            <w:tcW w:type="dxa" w:w="1872"/>
            <w:tcMar>
              <w:left w:type="dxa" w:w="80"/>
              <w:right w:type="dxa" w:w="80"/>
            </w:tcMar>
          </w:tcPr>
          <w:p>
            <w:pPr>
              <w:pStyle w:val="Compact"/>
            </w:pPr>
            <w:r>
              <w:rPr>
                <w:sz w:val="19"/>
                <w:szCs w:val="19"/>
                <w:lang w:val="en-GB"/>
              </w:rPr>
              <w:t xml:space="preserve">Cleaning</w:t>
            </w:r>
          </w:p>
        </w:tc>
        <w:tc>
          <w:tcPr>
            <w:tcW w:type="dxa" w:w="1872"/>
            <w:tcMar>
              <w:left w:type="dxa" w:w="80"/>
              <w:right w:type="dxa" w:w="80"/>
            </w:tcMar>
          </w:tcPr>
          <w:p>
            <w:pPr>
              <w:pStyle w:val="Compact"/>
            </w:pPr>
            <w:r>
              <w:rPr>
                <w:sz w:val="19"/>
                <w:szCs w:val="19"/>
                <w:lang w:val="en-GB"/>
              </w:rPr>
              <w:t xml:space="preserve">Destruction at end of processing </w:t>
            </w:r>
            <w:r>
              <w:rPr>
                <w:sz w:val="19"/>
                <w:szCs w:val="19"/>
                <w:lang w:val="en-GB"/>
              </w:rPr>
              <w:t xml:space="preserve">(</w:t>
            </w:r>
            <w:r>
              <w:rPr>
                <w:rStyle w:val="VerbatimChar"/>
                <w:sz w:val="19"/>
                <w:szCs w:val="19"/>
                <w:lang w:val="en-GB"/>
              </w:rPr>
              <w:t xml:space="preserve">finally</w:t>
            </w:r>
            <w:r>
              <w:rPr>
                <w:sz w:val="19"/>
                <w:szCs w:val="19"/>
                <w:lang w:val="en-GB"/>
              </w:rPr>
              <w:t xml:space="preserve"> block)</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Destroyed; no persistent template</w:t>
            </w:r>
          </w:p>
        </w:tc>
      </w:tr>
      <w:tr>
        <w:trPr>
          <w:cantSplit/>
        </w:trPr>
        <w:tc>
          <w:tcPr>
            <w:tcW w:type="dxa" w:w="1872"/>
            <w:tcMar>
              <w:left w:type="dxa" w:w="80"/>
              <w:right w:type="dxa" w:w="80"/>
            </w:tcMar>
          </w:tcPr>
          <w:p>
            <w:pPr>
              <w:pStyle w:val="Compact"/>
            </w:pPr>
            <w:r>
              <w:rPr>
                <w:sz w:val="19"/>
                <w:szCs w:val="19"/>
                <w:lang w:val="en-GB"/>
              </w:rPr>
              <w:t xml:space="preserve">Temporary files</w:t>
            </w:r>
          </w:p>
        </w:tc>
        <w:tc>
          <w:tcPr>
            <w:tcW w:type="dxa" w:w="1872"/>
            <w:tcMar>
              <w:left w:type="dxa" w:w="80"/>
              <w:right w:type="dxa" w:w="80"/>
            </w:tcMar>
          </w:tcPr>
          <w:p>
            <w:pPr>
              <w:pStyle w:val="Compact"/>
            </w:pPr>
            <w:r>
              <w:rPr>
                <w:sz w:val="19"/>
                <w:szCs w:val="19"/>
                <w:lang w:val="en-GB"/>
              </w:rPr>
              <w:t xml:space="preserve">Temporary controlled spaces</w:t>
            </w:r>
          </w:p>
        </w:tc>
        <w:tc>
          <w:tcPr>
            <w:tcW w:type="dxa" w:w="1872"/>
            <w:tcMar>
              <w:left w:type="dxa" w:w="80"/>
              <w:right w:type="dxa" w:w="80"/>
            </w:tcMar>
          </w:tcPr>
          <w:p>
            <w:pPr>
              <w:pStyle w:val="Compact"/>
            </w:pPr>
            <w:r>
              <w:rPr>
                <w:sz w:val="19"/>
                <w:szCs w:val="19"/>
                <w:lang w:val="en-GB"/>
              </w:rPr>
              <w:t xml:space="preserve">GPU/worker</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Deleted at the end of the job</w:t>
            </w:r>
          </w:p>
        </w:tc>
      </w:tr>
    </w:tbl>
    <w:p>
      <w:pPr>
        <w:pStyle w:val="BlockText"/>
      </w:pPr>
      <w:r>
        <w:rPr>
          <w:lang w:val="en-GB"/>
        </w:rPr>
        <w:t xml:space="preserve">Speech embeddings are </w:t>
      </w:r>
      <w:r>
        <w:rPr>
          <w:lang w:val="en-GB"/>
        </w:rPr>
        <w:t xml:space="preserve"/>
      </w:r>
      <w:r>
        <w:rPr>
          <w:b/>
          <w:bCs/>
          <w:lang w:val="en-GB"/>
        </w:rPr>
        <w:t xml:space="preserve">never </w:t>
      </w:r>
      <w:r>
        <w:rPr>
          <w:lang w:val="en-GB"/>
        </w:rPr>
        <w:t xml:space="preserve"/>
      </w:r>
      <w:r>
        <w:rPr>
          <w:lang w:val="en-GB"/>
        </w:rPr>
        <w:t xml:space="preserve">kept as persistent profiles, are never </w:t>
      </w:r>
      <w:r>
        <w:rPr>
          <w:lang w:val="en-GB"/>
        </w:rPr>
        <w:t xml:space="preserve"/>
      </w:r>
      <w:r>
        <w:rPr>
          <w:b/>
          <w:bCs/>
          <w:lang w:val="en-GB"/>
        </w:rPr>
        <w:t xml:space="preserve">used </w:t>
      </w:r>
      <w:r>
        <w:rPr>
          <w:lang w:val="en-GB"/>
        </w:rPr>
        <w:t xml:space="preserve"/>
      </w:r>
      <w:r>
        <w:rPr>
          <w:lang w:val="en-GB"/>
        </w:rPr>
        <w:t xml:space="preserve">to train models, and do not leave the processing environment. Detail in document OHA-RGPD-07.</w:t>
      </w:r>
    </w:p>
    <w:bookmarkEnd w:id="66"/>
    <w:bookmarkStart w:id="67" w:name="Xaae710b518c07f6e514c289b6fa23ddd1b46e32"/>
    <w:p>
      <w:pPr>
        <w:pStyle w:val="Heading3"/>
        <w:keepNext/>
        <w:keepLines/>
      </w:pPr>
      <w:r>
        <w:rPr>
          <w:color w:val="000000"/>
          <w:lang w:val="en-GB"/>
        </w:rPr>
        <w:t xml:space="preserve">2.6 Logs (application audit logs, technical logs)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Actor/component</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Encryption</w:t>
            </w:r>
          </w:p>
        </w:tc>
        <w:tc>
          <w:tcPr>
            <w:tcW w:type="dxa" w:w="1872"/>
            <w:tcMar>
              <w:left w:type="dxa" w:w="80"/>
              <w:right w:type="dxa" w:w="80"/>
            </w:tcMar>
          </w:tcPr>
          <w:p>
            <w:pPr>
              <w:pStyle w:val="Compact"/>
            </w:pPr>
            <w:r>
              <w:rPr>
                <w:sz w:val="19"/>
                <w:szCs w:val="19"/>
                <w:lang w:val="en-GB"/>
              </w:rPr>
              <w:t xml:space="preserve">Duration at stage</w:t>
            </w:r>
          </w:p>
        </w:tc>
      </w:tr>
      <w:tr>
        <w:trPr>
          <w:cantSplit/>
        </w:trPr>
        <w:tc>
          <w:tcPr>
            <w:tcW w:type="dxa" w:w="1872"/>
            <w:tcMar>
              <w:left w:type="dxa" w:w="80"/>
              <w:right w:type="dxa" w:w="80"/>
            </w:tcMar>
          </w:tcPr>
          <w:p>
            <w:pPr>
              <w:pStyle w:val="Compact"/>
            </w:pPr>
            <w:r>
              <w:rPr>
                <w:sz w:val="19"/>
                <w:szCs w:val="19"/>
                <w:lang w:val="en-GB"/>
              </w:rPr>
              <w:t xml:space="preserve">Generation</w:t>
            </w:r>
          </w:p>
        </w:tc>
        <w:tc>
          <w:tcPr>
            <w:tcW w:type="dxa" w:w="1872"/>
            <w:tcMar>
              <w:left w:type="dxa" w:w="80"/>
              <w:right w:type="dxa" w:w="80"/>
            </w:tcMar>
          </w:tcPr>
          <w:p>
            <w:pPr>
              <w:pStyle w:val="Compact"/>
            </w:pPr>
            <w:r>
              <w:rPr>
                <w:sz w:val="19"/>
                <w:szCs w:val="19"/>
                <w:lang w:val="en-GB"/>
              </w:rPr>
              <w:t xml:space="preserve">Application (</w:t>
            </w:r>
            <w:r>
              <w:rPr>
                <w:rStyle w:val="VerbatimChar"/>
                <w:sz w:val="19"/>
                <w:szCs w:val="19"/>
                <w:lang w:val="en-GB"/>
              </w:rPr>
              <w:t xml:space="preserve">activity_logs</w:t>
            </w:r>
            <w:r>
              <w:rPr>
                <w:sz w:val="19"/>
                <w:szCs w:val="19"/>
                <w:lang w:val="en-GB"/>
              </w:rPr>
              <w:t xml:space="preserve"> </w:t>
            </w:r>
            <w:r>
              <w:rPr>
                <w:sz w:val="19"/>
                <w:szCs w:val="19"/>
                <w:lang w:val="en-GB"/>
              </w:rPr>
              <w:t xml:space="preserve">per tenant; </w:t>
            </w:r>
            <w:r>
              <w:rPr>
                <w:sz w:val="19"/>
                <w:szCs w:val="19"/>
                <w:lang w:val="en-GB"/>
              </w:rPr>
              <w:t xml:space="preserve"/>
            </w:r>
            <w:r>
              <w:rPr>
                <w:rStyle w:val="VerbatimChar"/>
                <w:sz w:val="19"/>
                <w:szCs w:val="19"/>
                <w:lang w:val="en-GB"/>
              </w:rPr>
              <w:t xml:space="preserve">public.audit_logs</w:t>
            </w:r>
            <w:r>
              <w:rPr>
                <w:sz w:val="19"/>
                <w:szCs w:val="19"/>
                <w:lang w:val="en-GB"/>
              </w:rPr>
              <w:t xml:space="preserve"> </w:t>
            </w:r>
            <w:r>
              <w:rPr>
                <w:sz w:val="19"/>
                <w:szCs w:val="19"/>
                <w:lang w:val="en-GB"/>
              </w:rPr>
              <w:t xml:space="preserve">platform)</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At rest (see §1)</w:t>
            </w:r>
          </w:p>
        </w:tc>
        <w:tc>
          <w:tcPr>
            <w:tcW w:type="dxa" w:w="1872"/>
            <w:tcMar>
              <w:left w:type="dxa" w:w="80"/>
              <w:right w:type="dxa" w:w="80"/>
            </w:tcMar>
          </w:tcPr>
          <w:p>
            <w:pPr>
              <w:pStyle w:val="Compact"/>
            </w:pPr>
            <w:r>
              <w:rPr>
                <w:sz w:val="19"/>
                <w:szCs w:val="19"/>
                <w:lang w:val="en-GB"/>
              </w:rPr>
              <w:t xml:space="preserve">—</w:t>
            </w:r>
          </w:p>
        </w:tc>
      </w:tr>
      <w:tr>
        <w:trPr>
          <w:cantSplit/>
        </w:trPr>
        <w:tc>
          <w:tcPr>
            <w:tcW w:type="dxa" w:w="1872"/>
            <w:tcMar>
              <w:left w:type="dxa" w:w="80"/>
              <w:right w:type="dxa" w:w="80"/>
            </w:tcMar>
          </w:tcPr>
          <w:p>
            <w:pPr>
              <w:pStyle w:val="Compact"/>
            </w:pPr>
            <w:r>
              <w:rPr>
                <w:sz w:val="19"/>
                <w:szCs w:val="19"/>
                <w:lang w:val="en-GB"/>
              </w:rPr>
              <w:t xml:space="preserve">Storage</w:t>
            </w:r>
          </w:p>
        </w:tc>
        <w:tc>
          <w:tcPr>
            <w:tcW w:type="dxa" w:w="1872"/>
            <w:tcMar>
              <w:left w:type="dxa" w:w="80"/>
              <w:right w:type="dxa" w:w="80"/>
            </w:tcMar>
          </w:tcPr>
          <w:p>
            <w:pPr>
              <w:pStyle w:val="Compact"/>
            </w:pPr>
            <w:r>
              <w:rPr>
                <w:sz w:val="19"/>
                <w:szCs w:val="19"/>
                <w:lang w:val="en-GB"/>
              </w:rPr>
              <w:t xml:space="preserve">PostgreSQL</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At rest (see §1)</w:t>
            </w:r>
          </w:p>
        </w:tc>
        <w:tc>
          <w:tcPr>
            <w:tcW w:type="dxa" w:w="1872"/>
            <w:tcMar>
              <w:left w:type="dxa" w:w="80"/>
              <w:right w:type="dxa" w:w="80"/>
            </w:tcMar>
          </w:tcPr>
          <w:p>
            <w:pPr>
              <w:pStyle w:val="Compact"/>
            </w:pPr>
            <w:r>
              <w:rPr>
                <w:sz w:val="19"/>
                <w:szCs w:val="19"/>
                <w:lang w:val="en-GB"/>
              </w:rPr>
              <w:t xml:space="preserve">Audit ≤ 12 months; technical ~90 days</w:t>
            </w:r>
          </w:p>
        </w:tc>
      </w:tr>
      <w:tr>
        <w:trPr>
          <w:cantSplit/>
        </w:trPr>
        <w:tc>
          <w:tcPr>
            <w:tcW w:type="dxa" w:w="1872"/>
            <w:tcMar>
              <w:left w:type="dxa" w:w="80"/>
              <w:right w:type="dxa" w:w="80"/>
            </w:tcMar>
          </w:tcPr>
          <w:p>
            <w:pPr>
              <w:pStyle w:val="Compact"/>
            </w:pPr>
            <w:r>
              <w:rPr>
                <w:sz w:val="19"/>
                <w:szCs w:val="19"/>
                <w:lang w:val="en-GB"/>
              </w:rPr>
              <w:t xml:space="preserve">Export</w:t>
            </w:r>
          </w:p>
        </w:tc>
        <w:tc>
          <w:tcPr>
            <w:tcW w:type="dxa" w:w="1872"/>
            <w:tcMar>
              <w:left w:type="dxa" w:w="80"/>
              <w:right w:type="dxa" w:w="80"/>
            </w:tcMar>
          </w:tcPr>
          <w:p>
            <w:pPr>
              <w:pStyle w:val="Compact"/>
            </w:pPr>
            <w:r>
              <w:rPr>
                <w:sz w:val="19"/>
                <w:szCs w:val="19"/>
                <w:lang w:val="en-GB"/>
              </w:rPr>
              <w:t xml:space="preserve">CSV/JSON on request</w:t>
            </w:r>
          </w:p>
        </w:tc>
        <w:tc>
          <w:tcPr>
            <w:tcW w:type="dxa" w:w="1872"/>
            <w:tcMar>
              <w:left w:type="dxa" w:w="80"/>
              <w:right w:type="dxa" w:w="80"/>
            </w:tcMar>
          </w:tcPr>
          <w:p>
            <w:pPr>
              <w:pStyle w:val="Compact"/>
            </w:pPr>
            <w:r>
              <w:rPr>
                <w:sz w:val="19"/>
                <w:szCs w:val="19"/>
                <w:lang w:val="en-GB"/>
              </w:rPr>
              <w:t xml:space="preserve">Prod server / client infrastructure</w:t>
            </w:r>
          </w:p>
        </w:tc>
        <w:tc>
          <w:tcPr>
            <w:tcW w:type="dxa" w:w="1872"/>
            <w:tcMar>
              <w:left w:type="dxa" w:w="80"/>
              <w:right w:type="dxa" w:w="80"/>
            </w:tcMar>
          </w:tcPr>
          <w:p>
            <w:pPr>
              <w:pStyle w:val="Compact"/>
            </w:pPr>
            <w:r>
              <w:rPr>
                <w:sz w:val="19"/>
                <w:szCs w:val="19"/>
                <w:lang w:val="en-GB"/>
              </w:rPr>
              <w:t xml:space="preserve">TLS</w:t>
            </w:r>
          </w:p>
        </w:tc>
        <w:tc>
          <w:tcPr>
            <w:tcW w:type="dxa" w:w="1872"/>
            <w:tcMar>
              <w:left w:type="dxa" w:w="80"/>
              <w:right w:type="dxa" w:w="80"/>
            </w:tcMar>
          </w:tcPr>
          <w:p>
            <w:pPr>
              <w:pStyle w:val="Compact"/>
            </w:pPr>
            <w:r>
              <w:rPr>
                <w:sz w:val="19"/>
                <w:szCs w:val="19"/>
                <w:lang w:val="en-GB"/>
              </w:rPr>
              <w:t xml:space="preserve">On demand</w:t>
            </w:r>
          </w:p>
        </w:tc>
      </w:tr>
    </w:tbl>
    <w:p>
      <w:pPr>
        <w:pStyle w:val="BlockText"/>
      </w:pPr>
      <w:r>
        <w:rPr>
          <w:lang w:val="en-GB"/>
        </w:rPr>
        <w:t xml:space="preserve">Logs do not contain persistent voice embeddings; traces related to voice correlation are reduced to the necessary technical information.</w:t>
      </w:r>
    </w:p>
    <w:bookmarkEnd w:id="67"/>
    <w:bookmarkStart w:id="68" w:name="Xfaf7cc6e7748c9667d39039c6e4f994cae43f5a"/>
    <w:p>
      <w:pPr>
        <w:pStyle w:val="Heading3"/>
        <w:keepNext/>
        <w:keepLines/>
      </w:pPr>
      <w:r>
        <w:rPr>
          <w:color w:val="000000"/>
          <w:lang w:val="en-GB"/>
        </w:rPr>
        <w:t xml:space="preserve">2.7 Backups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Step</w:t>
            </w:r>
          </w:p>
        </w:tc>
        <w:tc>
          <w:tcPr>
            <w:tcW w:type="dxa" w:w="1872"/>
            <w:tcMar>
              <w:left w:type="dxa" w:w="80"/>
              <w:right w:type="dxa" w:w="80"/>
            </w:tcMar>
          </w:tcPr>
          <w:p>
            <w:pPr>
              <w:pStyle w:val="Compact"/>
            </w:pPr>
            <w:r>
              <w:rPr>
                <w:sz w:val="19"/>
                <w:szCs w:val="19"/>
                <w:lang w:val="en-GB"/>
              </w:rPr>
              <w:t xml:space="preserve">Actor/component</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Encryption</w:t>
            </w:r>
          </w:p>
        </w:tc>
        <w:tc>
          <w:tcPr>
            <w:tcW w:type="dxa" w:w="1872"/>
            <w:tcMar>
              <w:left w:type="dxa" w:w="80"/>
              <w:right w:type="dxa" w:w="80"/>
            </w:tcMar>
          </w:tcPr>
          <w:p>
            <w:pPr>
              <w:pStyle w:val="Compact"/>
            </w:pPr>
            <w:r>
              <w:rPr>
                <w:sz w:val="19"/>
                <w:szCs w:val="19"/>
                <w:lang w:val="en-GB"/>
              </w:rPr>
              <w:t xml:space="preserve">Duration at stage</w:t>
            </w:r>
          </w:p>
        </w:tc>
      </w:tr>
      <w:tr>
        <w:trPr>
          <w:cantSplit/>
        </w:trPr>
        <w:tc>
          <w:tcPr>
            <w:tcW w:type="dxa" w:w="1872"/>
            <w:tcMar>
              <w:left w:type="dxa" w:w="80"/>
              <w:right w:type="dxa" w:w="80"/>
            </w:tcMar>
          </w:tcPr>
          <w:p>
            <w:pPr>
              <w:pStyle w:val="Compact"/>
            </w:pPr>
            <w:r>
              <w:rPr>
                <w:sz w:val="19"/>
                <w:szCs w:val="19"/>
                <w:lang w:val="en-GB"/>
              </w:rPr>
              <w:t xml:space="preserve">Creation</w:t>
            </w:r>
          </w:p>
        </w:tc>
        <w:tc>
          <w:tcPr>
            <w:tcW w:type="dxa" w:w="1872"/>
            <w:tcMar>
              <w:left w:type="dxa" w:w="80"/>
              <w:right w:type="dxa" w:w="80"/>
            </w:tcMar>
          </w:tcPr>
          <w:p>
            <w:pPr>
              <w:pStyle w:val="Compact"/>
            </w:pPr>
            <w:r>
              <w:rPr>
                <w:sz w:val="19"/>
                <w:szCs w:val="19"/>
                <w:lang w:val="en-GB"/>
              </w:rPr>
              <w:t xml:space="preserve">Daily backup script</w:t>
            </w:r>
          </w:p>
        </w:tc>
        <w:tc>
          <w:tcPr>
            <w:tcW w:type="dxa" w:w="1872"/>
            <w:tcMar>
              <w:left w:type="dxa" w:w="80"/>
              <w:right w:type="dxa" w:w="80"/>
            </w:tcMar>
          </w:tcPr>
          <w:p>
            <w:pPr>
              <w:pStyle w:val="Compact"/>
            </w:pPr>
            <w:r>
              <w:rPr>
                <w:sz w:val="19"/>
                <w:szCs w:val="19"/>
                <w:lang w:val="en-GB"/>
              </w:rPr>
              <w:t xml:space="preserve">Production server (Opt. A)</w:t>
            </w:r>
          </w:p>
        </w:tc>
        <w:tc>
          <w:tcPr>
            <w:tcW w:type="dxa" w:w="1872"/>
            <w:tcMar>
              <w:left w:type="dxa" w:w="80"/>
              <w:right w:type="dxa" w:w="80"/>
            </w:tcMar>
          </w:tcPr>
          <w:p>
            <w:pPr>
              <w:pStyle w:val="Compact"/>
            </w:pPr>
            <w:r>
              <w:rPr>
                <w:sz w:val="19"/>
                <w:szCs w:val="19"/>
                <w:lang w:val="en-GB"/>
              </w:rPr>
              <w:t xml:space="preserve">Encrypted with age </w:t>
            </w:r>
            <w:r>
              <w:rPr>
                <w:sz w:val="19"/>
                <w:szCs w:val="19"/>
                <w:lang w:val="en-GB"/>
              </w:rPr>
              <w:t xml:space="preserve"/>
            </w:r>
            <w:r>
              <w:rPr>
                <w:b/>
                <w:bCs/>
                <w:sz w:val="19"/>
                <w:szCs w:val="19"/>
                <w:lang w:val="en-GB"/>
              </w:rPr>
              <w:t xml:space="preserve">before </w:t>
            </w:r>
            <w:r>
              <w:rPr>
                <w:sz w:val="19"/>
                <w:szCs w:val="19"/>
                <w:lang w:val="en-GB"/>
              </w:rPr>
              <w:t xml:space="preserve"/>
            </w:r>
            <w:r>
              <w:rPr>
                <w:sz w:val="19"/>
                <w:szCs w:val="19"/>
                <w:lang w:val="en-GB"/>
              </w:rPr>
              <w:t xml:space="preserve">leaving the server</w:t>
            </w:r>
          </w:p>
        </w:tc>
        <w:tc>
          <w:tcPr>
            <w:tcW w:type="dxa" w:w="1872"/>
            <w:tcMar>
              <w:left w:type="dxa" w:w="80"/>
              <w:right w:type="dxa" w:w="80"/>
            </w:tcMar>
          </w:tcPr>
          <w:p>
            <w:pPr>
              <w:pStyle w:val="Compact"/>
            </w:pPr>
            <w:r>
              <w:rPr>
                <w:sz w:val="19"/>
                <w:szCs w:val="19"/>
                <w:lang w:val="en-GB"/>
              </w:rPr>
              <w:t xml:space="preserve">—</w:t>
            </w:r>
          </w:p>
        </w:tc>
      </w:tr>
      <w:tr>
        <w:trPr>
          <w:cantSplit/>
        </w:trPr>
        <w:tc>
          <w:tcPr>
            <w:tcW w:type="dxa" w:w="1872"/>
            <w:tcMar>
              <w:left w:type="dxa" w:w="80"/>
              <w:right w:type="dxa" w:w="80"/>
            </w:tcMar>
          </w:tcPr>
          <w:p>
            <w:pPr>
              <w:pStyle w:val="Compact"/>
            </w:pPr>
            <w:r>
              <w:rPr>
                <w:sz w:val="19"/>
                <w:szCs w:val="19"/>
                <w:lang w:val="en-GB"/>
              </w:rPr>
              <w:t xml:space="preserve">Outsourcing</w:t>
            </w:r>
          </w:p>
        </w:tc>
        <w:tc>
          <w:tcPr>
            <w:tcW w:type="dxa" w:w="1872"/>
            <w:tcMar>
              <w:left w:type="dxa" w:w="80"/>
              <w:right w:type="dxa" w:w="80"/>
            </w:tcMar>
          </w:tcPr>
          <w:p>
            <w:pPr>
              <w:pStyle w:val="Compact"/>
            </w:pPr>
            <w:r>
              <w:rPr>
                <w:sz w:val="19"/>
                <w:szCs w:val="19"/>
                <w:lang w:val="en-GB"/>
              </w:rPr>
              <w:t xml:space="preserve">rclone</w:t>
            </w:r>
          </w:p>
        </w:tc>
        <w:tc>
          <w:tcPr>
            <w:tcW w:type="dxa" w:w="1872"/>
            <w:tcMar>
              <w:left w:type="dxa" w:w="80"/>
              <w:right w:type="dxa" w:w="80"/>
            </w:tcMar>
          </w:tcPr>
          <w:p>
            <w:pPr>
              <w:pStyle w:val="Compact"/>
            </w:pPr>
            <w:r>
              <w:rPr>
                <w:sz w:val="19"/>
                <w:szCs w:val="19"/>
                <w:lang w:val="en-GB"/>
              </w:rPr>
              <w:t xml:space="preserve">Scaleway (France, EU)</w:t>
            </w:r>
          </w:p>
        </w:tc>
        <w:tc>
          <w:tcPr>
            <w:tcW w:type="dxa" w:w="1872"/>
            <w:tcMar>
              <w:left w:type="dxa" w:w="80"/>
              <w:right w:type="dxa" w:w="80"/>
            </w:tcMar>
          </w:tcPr>
          <w:p>
            <w:pPr>
              <w:pStyle w:val="Compact"/>
            </w:pPr>
            <w:r>
              <w:rPr>
                <w:sz w:val="19"/>
                <w:szCs w:val="19"/>
                <w:lang w:val="en-GB"/>
              </w:rPr>
              <w:t xml:space="preserve">age (keys held by OHADJA, in EU)</w:t>
            </w:r>
          </w:p>
        </w:tc>
        <w:tc>
          <w:tcPr>
            <w:tcW w:type="dxa" w:w="1872"/>
            <w:tcMar>
              <w:left w:type="dxa" w:w="80"/>
              <w:right w:type="dxa" w:w="80"/>
            </w:tcMar>
          </w:tcPr>
          <w:p>
            <w:pPr>
              <w:pStyle w:val="Compact"/>
            </w:pPr>
            <w:r>
              <w:rPr>
                <w:sz w:val="19"/>
                <w:szCs w:val="19"/>
                <w:lang w:val="en-GB"/>
              </w:rPr>
              <w:t xml:space="preserve">≤ 90 full days / 30 days per organization</w:t>
            </w:r>
          </w:p>
        </w:tc>
      </w:tr>
      <w:tr>
        <w:trPr>
          <w:cantSplit/>
        </w:trPr>
        <w:tc>
          <w:tcPr>
            <w:tcW w:type="dxa" w:w="1872"/>
            <w:tcMar>
              <w:left w:type="dxa" w:w="80"/>
              <w:right w:type="dxa" w:w="80"/>
            </w:tcMar>
          </w:tcPr>
          <w:p>
            <w:pPr>
              <w:pStyle w:val="Compact"/>
            </w:pPr>
            <w:r>
              <w:rPr>
                <w:sz w:val="19"/>
                <w:szCs w:val="19"/>
                <w:lang w:val="en-GB"/>
              </w:rPr>
              <w:t xml:space="preserve">Restoration</w:t>
            </w:r>
          </w:p>
        </w:tc>
        <w:tc>
          <w:tcPr>
            <w:tcW w:type="dxa" w:w="1872"/>
            <w:tcMar>
              <w:left w:type="dxa" w:w="80"/>
              <w:right w:type="dxa" w:w="80"/>
            </w:tcMar>
          </w:tcPr>
          <w:p>
            <w:pPr>
              <w:pStyle w:val="Compact"/>
            </w:pPr>
            <w:r>
              <w:rPr>
                <w:sz w:val="19"/>
                <w:szCs w:val="19"/>
                <w:lang w:val="en-GB"/>
              </w:rPr>
              <w:t xml:space="preserve">Pre-Security Snapshot, Granular Recovery by Organization</w:t>
            </w:r>
          </w:p>
        </w:tc>
        <w:tc>
          <w:tcPr>
            <w:tcW w:type="dxa" w:w="1872"/>
            <w:tcMar>
              <w:left w:type="dxa" w:w="80"/>
              <w:right w:type="dxa" w:w="80"/>
            </w:tcMar>
          </w:tcPr>
          <w:p>
            <w:pPr>
              <w:pStyle w:val="Compact"/>
            </w:pPr>
            <w:r>
              <w:rPr>
                <w:sz w:val="19"/>
                <w:szCs w:val="19"/>
                <w:lang w:val="en-GB"/>
              </w:rPr>
              <w:t xml:space="preserve">Production server</w:t>
            </w:r>
          </w:p>
        </w:tc>
        <w:tc>
          <w:tcPr>
            <w:tcW w:type="dxa" w:w="1872"/>
            <w:tcMar>
              <w:left w:type="dxa" w:w="80"/>
              <w:right w:type="dxa" w:w="80"/>
            </w:tcMar>
          </w:tcPr>
          <w:p>
            <w:pPr>
              <w:pStyle w:val="Compact"/>
            </w:pPr>
            <w:r>
              <w:rPr>
                <w:sz w:val="19"/>
                <w:szCs w:val="19"/>
                <w:lang w:val="en-GB"/>
              </w:rPr>
              <w:t xml:space="preserve">age</w:t>
            </w:r>
          </w:p>
        </w:tc>
        <w:tc>
          <w:tcPr>
            <w:tcW w:type="dxa" w:w="1872"/>
            <w:tcMar>
              <w:left w:type="dxa" w:w="80"/>
              <w:right w:type="dxa" w:w="80"/>
            </w:tcMar>
          </w:tcPr>
          <w:p>
            <w:pPr>
              <w:pStyle w:val="Compact"/>
            </w:pPr>
            <w:r>
              <w:rPr>
                <w:sz w:val="19"/>
                <w:szCs w:val="19"/>
                <w:lang w:val="en-GB"/>
              </w:rPr>
              <w:t xml:space="preserve">24h RPO / 4h RTO (objectives)</w:t>
            </w:r>
          </w:p>
        </w:tc>
      </w:tr>
    </w:tbl>
    <w:p>
      <w:pPr>
        <w:pStyle w:val="BlockText"/>
      </w:pPr>
      <w:r>
        <w:rPr>
          <w:lang w:val="en-GB"/>
        </w:rPr>
        <w:t xml:space="preserve">In </w:t>
      </w:r>
      <w:r>
        <w:rPr>
          <w:lang w:val="en-GB"/>
        </w:rPr>
        <w:t xml:space="preserve"/>
      </w:r>
      <w:r>
        <w:rPr>
          <w:b/>
          <w:bCs/>
          <w:lang w:val="en-GB"/>
        </w:rPr>
        <w:t xml:space="preserve">Option </w:t>
      </w:r>
      <w:r>
        <w:rPr>
          <w:lang w:val="en-GB"/>
        </w:rPr>
        <w:t xml:space="preserve">B, the backups are part of the Customer's infrastructure (unless mission entrusted to OHADJA).</w:t>
      </w:r>
    </w:p>
    <w:bookmarkEnd w:id="68"/>
    <w:bookmarkEnd w:id="69"/>
    <w:bookmarkStart w:id="72" w:name="X6e2315e5940ab18972c59a7762a6a5d0278e4dc"/>
    <w:p>
      <w:pPr>
        <w:pStyle w:val="Heading2"/>
        <w:keepNext/>
        <w:keepLines/>
      </w:pPr>
      <w:r>
        <w:rPr>
          <w:color w:val="000000"/>
          <w:lang w:val="en-GB"/>
        </w:rPr>
        <w:t xml:space="preserve">3. Human and technical access</w:t>
      </w:r>
    </w:p>
    <w:bookmarkStart w:id="70" w:name="X41980a5c9b489c761337874c0d6746a45d0b2fd"/>
    <w:p>
      <w:pPr>
        <w:pStyle w:val="Heading3"/>
        <w:keepNext/>
        <w:keepLines/>
      </w:pPr>
      <w:r>
        <w:rPr>
          <w:color w:val="000000"/>
          <w:lang w:val="en-GB"/>
        </w:rPr>
        <w:t xml:space="preserve">3.1 Access table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Actor/entity</w:t>
            </w:r>
          </w:p>
        </w:tc>
        <w:tc>
          <w:tcPr>
            <w:tcW w:type="dxa" w:w="1872"/>
            <w:tcMar>
              <w:left w:type="dxa" w:w="80"/>
              <w:right w:type="dxa" w:w="80"/>
            </w:tcMar>
          </w:tcPr>
          <w:p>
            <w:pPr>
              <w:pStyle w:val="Compact"/>
            </w:pPr>
            <w:r>
              <w:rPr>
                <w:sz w:val="19"/>
                <w:szCs w:val="19"/>
                <w:lang w:val="en-GB"/>
              </w:rPr>
              <w:t xml:space="preserve">Nature of access</w:t>
            </w:r>
          </w:p>
        </w:tc>
        <w:tc>
          <w:tcPr>
            <w:tcW w:type="dxa" w:w="1872"/>
            <w:tcMar>
              <w:left w:type="dxa" w:w="80"/>
              <w:right w:type="dxa" w:w="80"/>
            </w:tcMar>
          </w:tcPr>
          <w:p>
            <w:pPr>
              <w:pStyle w:val="Compact"/>
            </w:pPr>
            <w:r>
              <w:rPr>
                <w:sz w:val="19"/>
                <w:szCs w:val="19"/>
                <w:lang w:val="en-GB"/>
              </w:rPr>
              <w:t xml:space="preserve">From where</w:t>
            </w:r>
          </w:p>
        </w:tc>
        <w:tc>
          <w:tcPr>
            <w:tcW w:type="dxa" w:w="1872"/>
            <w:tcMar>
              <w:left w:type="dxa" w:w="80"/>
              <w:right w:type="dxa" w:w="80"/>
            </w:tcMar>
          </w:tcPr>
          <w:p>
            <w:pPr>
              <w:pStyle w:val="Compact"/>
            </w:pPr>
            <w:r>
              <w:rPr>
                <w:sz w:val="19"/>
                <w:szCs w:val="19"/>
                <w:lang w:val="en-GB"/>
              </w:rPr>
              <w:t xml:space="preserve">Framing</w:t>
            </w:r>
          </w:p>
        </w:tc>
        <w:tc>
          <w:tcPr>
            <w:tcW w:type="dxa" w:w="1872"/>
            <w:tcMar>
              <w:left w:type="dxa" w:w="80"/>
              <w:right w:type="dxa" w:w="80"/>
            </w:tcMar>
          </w:tcPr>
          <w:p>
            <w:pPr>
              <w:pStyle w:val="Compact"/>
            </w:pPr>
            <w:r>
              <w:rPr>
                <w:sz w:val="19"/>
                <w:szCs w:val="19"/>
                <w:lang w:val="en-GB"/>
              </w:rPr>
              <w:t xml:space="preserve">Access to content?</w:t>
            </w:r>
          </w:p>
        </w:tc>
      </w:tr>
      <w:tr>
        <w:trPr>
          <w:cantSplit/>
        </w:trPr>
        <w:tc>
          <w:tcPr>
            <w:tcW w:type="dxa" w:w="1872"/>
            <w:tcMar>
              <w:left w:type="dxa" w:w="80"/>
              <w:right w:type="dxa" w:w="80"/>
            </w:tcMar>
          </w:tcPr>
          <w:p>
            <w:pPr>
              <w:pStyle w:val="Compact"/>
            </w:pPr>
            <w:r>
              <w:rPr>
                <w:b/>
                <w:bCs/>
                <w:sz w:val="19"/>
                <w:szCs w:val="19"/>
                <w:lang w:val="en-GB"/>
              </w:rPr>
              <w:t xml:space="preserve">Staff OHADJA</w:t>
            </w:r>
          </w:p>
        </w:tc>
        <w:tc>
          <w:tcPr>
            <w:tcW w:type="dxa" w:w="1872"/>
            <w:tcMar>
              <w:left w:type="dxa" w:w="80"/>
              <w:right w:type="dxa" w:w="80"/>
            </w:tcMar>
          </w:tcPr>
          <w:p>
            <w:pPr>
              <w:pStyle w:val="Compact"/>
            </w:pPr>
            <w:r>
              <w:rPr>
                <w:sz w:val="19"/>
                <w:szCs w:val="19"/>
                <w:lang w:val="en-GB"/>
              </w:rPr>
              <w:t xml:space="preserve">Operation, support, security</w:t>
            </w:r>
          </w:p>
        </w:tc>
        <w:tc>
          <w:tcPr>
            <w:tcW w:type="dxa" w:w="1872"/>
            <w:tcMar>
              <w:left w:type="dxa" w:w="80"/>
              <w:right w:type="dxa" w:w="80"/>
            </w:tcMar>
          </w:tcPr>
          <w:p>
            <w:pPr>
              <w:pStyle w:val="Compact"/>
            </w:pPr>
            <w:r>
              <w:rPr>
                <w:b/>
                <w:bCs/>
                <w:sz w:val="19"/>
                <w:szCs w:val="19"/>
                <w:lang w:val="en-GB"/>
              </w:rPr>
              <w:t xml:space="preserve">France/EU </w:t>
            </w:r>
            <w:r>
              <w:rPr>
                <w:sz w:val="19"/>
                <w:szCs w:val="19"/>
                <w:lang w:val="en-GB"/>
              </w:rPr>
              <w:t xml:space="preserve"/>
            </w:r>
            <w:r>
              <w:rPr>
                <w:sz w:val="19"/>
                <w:szCs w:val="19"/>
                <w:lang w:val="en-GB"/>
              </w:rPr>
              <w:t xml:space="preserve">(access commitment exclusively France/EU)</w:t>
            </w:r>
          </w:p>
        </w:tc>
        <w:tc>
          <w:tcPr>
            <w:tcW w:type="dxa" w:w="1872"/>
            <w:tcMar>
              <w:left w:type="dxa" w:w="80"/>
              <w:right w:type="dxa" w:w="80"/>
            </w:tcMar>
          </w:tcPr>
          <w:p>
            <w:pPr>
              <w:pStyle w:val="Compact"/>
            </w:pPr>
            <w:r>
              <w:rPr>
                <w:sz w:val="19"/>
                <w:szCs w:val="19"/>
                <w:lang w:val="en-GB"/>
              </w:rPr>
              <w:t xml:space="preserve">Personalized, SSH key, 2FA TOTP, TLS, </w:t>
            </w:r>
            <w:r>
              <w:rPr>
                <w:sz w:val="19"/>
                <w:szCs w:val="19"/>
                <w:lang w:val="en-GB"/>
              </w:rPr>
              <w:t xml:space="preserve">journaled, </w:t>
            </w:r>
            <w:r>
              <w:rPr>
                <w:b/>
                <w:bCs/>
                <w:sz w:val="19"/>
                <w:szCs w:val="19"/>
                <w:lang w:val="en-GB"/>
              </w:rPr>
              <w:t xml:space="preserve">no local copy</w:t>
            </w:r>
          </w:p>
        </w:tc>
        <w:tc>
          <w:tcPr>
            <w:tcW w:type="dxa" w:w="1872"/>
            <w:tcMar>
              <w:left w:type="dxa" w:w="80"/>
              <w:right w:type="dxa" w:w="80"/>
            </w:tcMar>
          </w:tcPr>
          <w:p>
            <w:pPr>
              <w:pStyle w:val="Compact"/>
            </w:pPr>
            <w:r>
              <w:rPr>
                <w:sz w:val="19"/>
                <w:szCs w:val="19"/>
                <w:lang w:val="en-GB"/>
              </w:rPr>
              <w:t xml:space="preserve">Yes, on a need to know basis</w:t>
            </w:r>
          </w:p>
        </w:tc>
      </w:tr>
      <w:tr>
        <w:trPr>
          <w:cantSplit/>
        </w:trPr>
        <w:tc>
          <w:tcPr>
            <w:tcW w:type="dxa" w:w="1872"/>
            <w:tcMar>
              <w:left w:type="dxa" w:w="80"/>
              <w:right w:type="dxa" w:w="80"/>
            </w:tcMar>
          </w:tcPr>
          <w:p>
            <w:pPr>
              <w:pStyle w:val="Compact"/>
            </w:pPr>
            <w:r>
              <w:rPr>
                <w:b/>
                <w:bCs/>
                <w:sz w:val="19"/>
                <w:szCs w:val="19"/>
                <w:lang w:val="en-GB"/>
              </w:rPr>
              <w:t xml:space="preserve">AMBASSADIA SARL </w:t>
            </w:r>
            <w:r>
              <w:rPr>
                <w:sz w:val="19"/>
                <w:szCs w:val="19"/>
                <w:lang w:val="en-GB"/>
              </w:rPr>
              <w:t xml:space="preserve"/>
            </w:r>
            <w:r>
              <w:rPr>
                <w:sz w:val="19"/>
                <w:szCs w:val="19"/>
                <w:lang w:val="en-GB"/>
              </w:rPr>
              <w:t xml:space="preserve">(reseller)</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No access to production (commercial role of reseller)</w:t>
            </w:r>
          </w:p>
        </w:tc>
        <w:tc>
          <w:tcPr>
            <w:tcW w:type="dxa" w:w="1872"/>
            <w:tcMar>
              <w:left w:type="dxa" w:w="80"/>
              <w:right w:type="dxa" w:w="80"/>
            </w:tcMar>
          </w:tcPr>
          <w:p>
            <w:pPr>
              <w:pStyle w:val="Compact"/>
            </w:pPr>
            <w:r>
              <w:rPr>
                <w:b/>
                <w:bCs/>
                <w:sz w:val="19"/>
                <w:szCs w:val="19"/>
                <w:lang w:val="en-GB"/>
              </w:rPr>
              <w:t xml:space="preserve">No</w:t>
            </w:r>
          </w:p>
        </w:tc>
      </w:tr>
      <w:tr>
        <w:trPr>
          <w:cantSplit/>
        </w:trPr>
        <w:tc>
          <w:tcPr>
            <w:tcW w:type="dxa" w:w="1872"/>
            <w:tcMar>
              <w:left w:type="dxa" w:w="80"/>
              <w:right w:type="dxa" w:w="80"/>
            </w:tcMar>
          </w:tcPr>
          <w:p>
            <w:pPr>
              <w:pStyle w:val="Compact"/>
            </w:pPr>
            <w:r>
              <w:rPr>
                <w:b/>
                <w:bCs/>
                <w:sz w:val="19"/>
                <w:szCs w:val="19"/>
                <w:lang w:val="en-GB"/>
              </w:rPr>
              <w:t xml:space="preserve">your integrator / reseller</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No access to production; admin role on demo </w:t>
            </w:r>
            <w:r>
              <w:rPr>
                <w:sz w:val="19"/>
                <w:szCs w:val="19"/>
                <w:lang w:val="en-GB"/>
              </w:rPr>
              <w:t xml:space="preserve"/>
            </w:r>
            <w:r>
              <w:rPr>
                <w:b/>
                <w:bCs/>
                <w:sz w:val="19"/>
                <w:szCs w:val="19"/>
                <w:lang w:val="en-GB"/>
              </w:rPr>
              <w:t xml:space="preserve">environment </w:t>
            </w:r>
            <w:r>
              <w:rPr>
                <w:sz w:val="19"/>
                <w:szCs w:val="19"/>
                <w:lang w:val="en-GB"/>
              </w:rPr>
              <w:t xml:space="preserve"/>
            </w:r>
            <w:r>
              <w:rPr>
                <w:sz w:val="19"/>
                <w:szCs w:val="19"/>
                <w:lang w:val="en-GB"/>
              </w:rPr>
              <w:t xml:space="preserve">only</w:t>
            </w:r>
          </w:p>
        </w:tc>
        <w:tc>
          <w:tcPr>
            <w:tcW w:type="dxa" w:w="1872"/>
            <w:tcMar>
              <w:left w:type="dxa" w:w="80"/>
              <w:right w:type="dxa" w:w="80"/>
            </w:tcMar>
          </w:tcPr>
          <w:p>
            <w:pPr>
              <w:pStyle w:val="Compact"/>
            </w:pPr>
            <w:r>
              <w:rPr>
                <w:b/>
                <w:bCs/>
                <w:sz w:val="19"/>
                <w:szCs w:val="19"/>
                <w:lang w:val="en-GB"/>
              </w:rPr>
              <w:t xml:space="preserve">No </w:t>
            </w:r>
            <w:r>
              <w:rPr>
                <w:sz w:val="19"/>
                <w:szCs w:val="19"/>
                <w:lang w:val="en-GB"/>
              </w:rPr>
              <w:t xml:space="preserve"/>
            </w:r>
            <w:r>
              <w:rPr>
                <w:sz w:val="19"/>
                <w:szCs w:val="19"/>
                <w:lang w:val="en-GB"/>
              </w:rPr>
              <w:t xml:space="preserve">(no audio or transcriptions)</w:t>
            </w:r>
          </w:p>
        </w:tc>
      </w:tr>
      <w:tr>
        <w:trPr>
          <w:cantSplit/>
        </w:trPr>
        <w:tc>
          <w:tcPr>
            <w:tcW w:type="dxa" w:w="1872"/>
            <w:tcMar>
              <w:left w:type="dxa" w:w="80"/>
              <w:right w:type="dxa" w:w="80"/>
            </w:tcMar>
          </w:tcPr>
          <w:p>
            <w:pPr>
              <w:pStyle w:val="Compact"/>
            </w:pPr>
            <w:r>
              <w:rPr>
                <w:b/>
                <w:bCs/>
                <w:sz w:val="19"/>
                <w:szCs w:val="19"/>
                <w:lang w:val="en-GB"/>
              </w:rPr>
              <w:t xml:space="preserve">AI — primary channel </w:t>
            </w:r>
            <w:r>
              <w:rPr>
                <w:sz w:val="19"/>
                <w:szCs w:val="19"/>
                <w:lang w:val="en-GB"/>
              </w:rPr>
              <w:t xml:space="preserve"/>
            </w:r>
            <w:r>
              <w:rPr>
                <w:sz w:val="19"/>
                <w:szCs w:val="19"/>
                <w:lang w:val="en-GB"/>
              </w:rPr>
              <w:t xml:space="preserve">(controlled vLLM servers)</w:t>
            </w:r>
          </w:p>
        </w:tc>
        <w:tc>
          <w:tcPr>
            <w:tcW w:type="dxa" w:w="1872"/>
            <w:tcMar>
              <w:left w:type="dxa" w:w="80"/>
              <w:right w:type="dxa" w:w="80"/>
            </w:tcMar>
          </w:tcPr>
          <w:p>
            <w:pPr>
              <w:pStyle w:val="Compact"/>
            </w:pPr>
            <w:r>
              <w:rPr>
                <w:sz w:val="19"/>
                <w:szCs w:val="19"/>
                <w:lang w:val="en-GB"/>
              </w:rPr>
              <w:t xml:space="preserve">Automated </w:t>
            </w:r>
            <w:r>
              <w:rPr>
                <w:sz w:val="19"/>
                <w:szCs w:val="19"/>
                <w:lang w:val="en-GB"/>
              </w:rPr>
              <w:t xml:space="preserve"/>
            </w:r>
            <w:r>
              <w:rPr>
                <w:b/>
                <w:bCs/>
                <w:sz w:val="19"/>
                <w:szCs w:val="19"/>
                <w:lang w:val="en-GB"/>
              </w:rPr>
              <w:t xml:space="preserve">processing </w:t>
            </w:r>
            <w:r>
              <w:rPr>
                <w:sz w:val="19"/>
                <w:szCs w:val="19"/>
                <w:lang w:val="en-GB"/>
              </w:rPr>
              <w:t xml:space="preserve"/>
            </w:r>
            <w:r>
              <w:rPr>
                <w:sz w:val="19"/>
                <w:szCs w:val="19"/>
                <w:lang w:val="en-GB"/>
              </w:rPr>
              <w:t xml:space="preserve">on servers controlled by OHADJA</w:t>
            </w:r>
          </w:p>
        </w:tc>
        <w:tc>
          <w:tcPr>
            <w:tcW w:type="dxa" w:w="1872"/>
            <w:tcMar>
              <w:left w:type="dxa" w:w="80"/>
              <w:right w:type="dxa" w:w="80"/>
            </w:tcMar>
          </w:tcPr>
          <w:p>
            <w:pPr>
              <w:pStyle w:val="Compact"/>
            </w:pPr>
            <w:r>
              <w:rPr>
                <w:b/>
                <w:bCs/>
                <w:sz w:val="19"/>
                <w:szCs w:val="19"/>
                <w:lang w:val="en-GB"/>
              </w:rPr>
              <w:t xml:space="preserve">EU — Strasbourg / Paris</w:t>
            </w:r>
          </w:p>
        </w:tc>
        <w:tc>
          <w:tcPr>
            <w:tcW w:type="dxa" w:w="1872"/>
            <w:tcMar>
              <w:left w:type="dxa" w:w="80"/>
              <w:right w:type="dxa" w:w="80"/>
            </w:tcMar>
          </w:tcPr>
          <w:p>
            <w:pPr>
              <w:pStyle w:val="Compact"/>
            </w:pPr>
            <w:r>
              <w:rPr>
                <w:sz w:val="19"/>
                <w:szCs w:val="19"/>
                <w:lang w:val="en-GB"/>
              </w:rPr>
              <w:t xml:space="preserve">Open-weight models, no third parties, no-train</w:t>
            </w:r>
          </w:p>
        </w:tc>
        <w:tc>
          <w:tcPr>
            <w:tcW w:type="dxa" w:w="1872"/>
            <w:tcMar>
              <w:left w:type="dxa" w:w="80"/>
              <w:right w:type="dxa" w:w="80"/>
            </w:tcMar>
          </w:tcPr>
          <w:p>
            <w:pPr>
              <w:pStyle w:val="Compact"/>
            </w:pPr>
            <w:r>
              <w:rPr>
                <w:sz w:val="19"/>
                <w:szCs w:val="19"/>
                <w:lang w:val="en-GB"/>
              </w:rPr>
              <w:t xml:space="preserve">No third party access; no human access to prompts</w:t>
            </w:r>
          </w:p>
        </w:tc>
      </w:tr>
      <w:tr>
        <w:trPr>
          <w:cantSplit/>
        </w:trPr>
        <w:tc>
          <w:tcPr>
            <w:tcW w:type="dxa" w:w="1872"/>
            <w:tcMar>
              <w:left w:type="dxa" w:w="80"/>
              <w:right w:type="dxa" w:w="80"/>
            </w:tcMar>
          </w:tcPr>
          <w:p>
            <w:pPr>
              <w:pStyle w:val="Compact"/>
            </w:pPr>
            <w:r>
              <w:rPr>
                <w:b/>
                <w:bCs/>
                <w:sz w:val="19"/>
                <w:szCs w:val="19"/>
                <w:lang w:val="en-GB"/>
              </w:rPr>
              <w:t xml:space="preserve">AI — emergency route </w:t>
            </w:r>
            <w:r>
              <w:rPr>
                <w:sz w:val="19"/>
                <w:szCs w:val="19"/>
                <w:lang w:val="en-GB"/>
              </w:rPr>
              <w:t xml:space="preserve"/>
            </w:r>
            <w:r>
              <w:rPr>
                <w:sz w:val="19"/>
                <w:szCs w:val="19"/>
                <w:lang w:val="en-GB"/>
              </w:rPr>
              <w:t xml:space="preserve">(OpenRouter, Anthropic, OpenAI…)</w:t>
            </w:r>
          </w:p>
        </w:tc>
        <w:tc>
          <w:tcPr>
            <w:tcW w:type="dxa" w:w="1872"/>
            <w:tcMar>
              <w:left w:type="dxa" w:w="80"/>
              <w:right w:type="dxa" w:w="80"/>
            </w:tcMar>
          </w:tcPr>
          <w:p>
            <w:pPr>
              <w:pStyle w:val="Compact"/>
            </w:pPr>
            <w:r>
              <w:rPr>
                <w:sz w:val="19"/>
                <w:szCs w:val="19"/>
                <w:lang w:val="en-GB"/>
              </w:rPr>
              <w:t xml:space="preserve">Automated </w:t>
            </w:r>
            <w:r>
              <w:rPr>
                <w:sz w:val="19"/>
                <w:szCs w:val="19"/>
                <w:lang w:val="en-GB"/>
              </w:rPr>
              <w:t xml:space="preserve"/>
            </w:r>
            <w:r>
              <w:rPr>
                <w:b/>
                <w:bCs/>
                <w:sz w:val="19"/>
                <w:szCs w:val="19"/>
                <w:lang w:val="en-GB"/>
              </w:rPr>
              <w:t xml:space="preserve">technical access </w:t>
            </w:r>
            <w:r>
              <w:rPr>
                <w:sz w:val="19"/>
                <w:szCs w:val="19"/>
                <w:lang w:val="en-GB"/>
              </w:rPr>
              <w:t xml:space="preserve"/>
            </w:r>
            <w:r>
              <w:rPr>
                <w:sz w:val="19"/>
                <w:szCs w:val="19"/>
                <w:lang w:val="en-GB"/>
              </w:rPr>
              <w:t xml:space="preserve">(inference), </w:t>
            </w:r>
            <w:r>
              <w:rPr>
                <w:sz w:val="19"/>
                <w:szCs w:val="19"/>
                <w:lang w:val="en-GB"/>
              </w:rPr>
              <w:t xml:space="preserve"/>
            </w:r>
            <w:r>
              <w:rPr>
                <w:b/>
                <w:bCs/>
                <w:sz w:val="19"/>
                <w:szCs w:val="19"/>
                <w:lang w:val="en-GB"/>
              </w:rPr>
              <w:t xml:space="preserve">deactivatable</w:t>
            </w:r>
          </w:p>
        </w:tc>
        <w:tc>
          <w:tcPr>
            <w:tcW w:type="dxa" w:w="1872"/>
            <w:tcMar>
              <w:left w:type="dxa" w:w="80"/>
              <w:right w:type="dxa" w:w="80"/>
            </w:tcMar>
          </w:tcPr>
          <w:p>
            <w:pPr>
              <w:pStyle w:val="Compact"/>
            </w:pPr>
            <w:r>
              <w:rPr>
                <w:sz w:val="19"/>
                <w:szCs w:val="19"/>
                <w:lang w:val="en-GB"/>
              </w:rPr>
              <w:t xml:space="preserve">US/EU depending on model</w:t>
            </w:r>
          </w:p>
        </w:tc>
        <w:tc>
          <w:tcPr>
            <w:tcW w:type="dxa" w:w="1872"/>
            <w:tcMar>
              <w:left w:type="dxa" w:w="80"/>
              <w:right w:type="dxa" w:w="80"/>
            </w:tcMar>
          </w:tcPr>
          <w:p>
            <w:pPr>
              <w:pStyle w:val="Compact"/>
            </w:pPr>
            <w:r>
              <w:rPr>
                <w:sz w:val="19"/>
                <w:szCs w:val="19"/>
                <w:lang w:val="en-GB"/>
              </w:rPr>
              <w:t xml:space="preserve">no-train, no durable storage, supplier DPA, CCT if applicable</w:t>
            </w:r>
          </w:p>
        </w:tc>
        <w:tc>
          <w:tcPr>
            <w:tcW w:type="dxa" w:w="1872"/>
            <w:tcMar>
              <w:left w:type="dxa" w:w="80"/>
              <w:right w:type="dxa" w:w="80"/>
            </w:tcMar>
          </w:tcPr>
          <w:p>
            <w:pPr>
              <w:pStyle w:val="Compact"/>
            </w:pPr>
            <w:r>
              <w:rPr>
                <w:sz w:val="19"/>
                <w:szCs w:val="19"/>
                <w:lang w:val="en-GB"/>
              </w:rPr>
              <w:t xml:space="preserve">Machine access to prompts during inference; </w:t>
            </w:r>
            <w:r>
              <w:rPr>
                <w:sz w:val="19"/>
                <w:szCs w:val="19"/>
                <w:lang w:val="en-GB"/>
              </w:rPr>
              <w:t xml:space="preserve"/>
            </w:r>
            <w:r>
              <w:rPr>
                <w:b/>
                <w:bCs/>
                <w:sz w:val="19"/>
                <w:szCs w:val="19"/>
                <w:lang w:val="en-GB"/>
              </w:rPr>
              <w:t xml:space="preserve">no human access </w:t>
            </w:r>
            <w:r>
              <w:rPr>
                <w:sz w:val="19"/>
                <w:szCs w:val="19"/>
                <w:lang w:val="en-GB"/>
              </w:rPr>
              <w:t xml:space="preserve"/>
            </w:r>
            <w:r>
              <w:rPr>
                <w:sz w:val="19"/>
                <w:szCs w:val="19"/>
                <w:lang w:val="en-GB"/>
              </w:rPr>
              <w:t xml:space="preserve">side OHADJA</w:t>
            </w:r>
          </w:p>
        </w:tc>
      </w:tr>
      <w:tr>
        <w:trPr>
          <w:cantSplit/>
        </w:trPr>
        <w:tc>
          <w:tcPr>
            <w:tcW w:type="dxa" w:w="1872"/>
            <w:tcMar>
              <w:left w:type="dxa" w:w="80"/>
              <w:right w:type="dxa" w:w="80"/>
            </w:tcMar>
          </w:tcPr>
          <w:p>
            <w:pPr>
              <w:pStyle w:val="Compact"/>
            </w:pPr>
            <w:r>
              <w:rPr>
                <w:b/>
                <w:bCs/>
                <w:sz w:val="19"/>
                <w:szCs w:val="19"/>
                <w:lang w:val="en-GB"/>
              </w:rPr>
              <w:t xml:space="preserve">Host </w:t>
            </w:r>
            <w:r>
              <w:rPr>
                <w:sz w:val="19"/>
                <w:szCs w:val="19"/>
                <w:lang w:val="en-GB"/>
              </w:rPr>
              <w:t xml:space="preserve"/>
            </w:r>
            <w:r>
              <w:rPr>
                <w:sz w:val="19"/>
                <w:szCs w:val="19"/>
                <w:lang w:val="en-GB"/>
              </w:rPr>
              <w:t xml:space="preserve">(Hostinger)</w:t>
            </w:r>
          </w:p>
        </w:tc>
        <w:tc>
          <w:tcPr>
            <w:tcW w:type="dxa" w:w="1872"/>
            <w:tcMar>
              <w:left w:type="dxa" w:w="80"/>
              <w:right w:type="dxa" w:w="80"/>
            </w:tcMar>
          </w:tcPr>
          <w:p>
            <w:pPr>
              <w:pStyle w:val="Compact"/>
            </w:pPr>
            <w:r>
              <w:rPr>
                <w:sz w:val="19"/>
                <w:szCs w:val="19"/>
                <w:lang w:val="en-GB"/>
              </w:rPr>
              <w:t xml:space="preserve">Physical hosting</w:t>
            </w:r>
          </w:p>
        </w:tc>
        <w:tc>
          <w:tcPr>
            <w:tcW w:type="dxa" w:w="1872"/>
            <w:tcMar>
              <w:left w:type="dxa" w:w="80"/>
              <w:right w:type="dxa" w:w="80"/>
            </w:tcMar>
          </w:tcPr>
          <w:p>
            <w:pPr>
              <w:pStyle w:val="Compact"/>
            </w:pPr>
            <w:r>
              <w:rPr>
                <w:sz w:val="19"/>
                <w:szCs w:val="19"/>
                <w:lang w:val="en-GB"/>
              </w:rPr>
              <w:t xml:space="preserve">Datacenter France</w:t>
            </w:r>
          </w:p>
        </w:tc>
        <w:tc>
          <w:tcPr>
            <w:tcW w:type="dxa" w:w="1872"/>
            <w:tcMar>
              <w:left w:type="dxa" w:w="80"/>
              <w:right w:type="dxa" w:w="80"/>
            </w:tcMar>
          </w:tcPr>
          <w:p>
            <w:pPr>
              <w:pStyle w:val="Compact"/>
            </w:pPr>
            <w:r>
              <w:rPr>
                <w:sz w:val="19"/>
                <w:szCs w:val="19"/>
                <w:lang w:val="en-GB"/>
              </w:rPr>
              <w:t xml:space="preserve">Physical access to the data center only; disk encryption according to data center offer</w:t>
            </w:r>
          </w:p>
        </w:tc>
        <w:tc>
          <w:tcPr>
            <w:tcW w:type="dxa" w:w="1872"/>
            <w:tcMar>
              <w:left w:type="dxa" w:w="80"/>
              <w:right w:type="dxa" w:w="80"/>
            </w:tcMar>
          </w:tcPr>
          <w:p>
            <w:pPr>
              <w:pStyle w:val="Compact"/>
            </w:pPr>
            <w:r>
              <w:rPr>
                <w:b/>
                <w:bCs/>
                <w:sz w:val="19"/>
                <w:szCs w:val="19"/>
                <w:lang w:val="en-GB"/>
              </w:rPr>
              <w:t xml:space="preserve">No </w:t>
            </w:r>
            <w:r>
              <w:rPr>
                <w:sz w:val="19"/>
                <w:szCs w:val="19"/>
                <w:lang w:val="en-GB"/>
              </w:rPr>
              <w:t xml:space="preserve"/>
            </w:r>
            <w:r>
              <w:rPr>
                <w:sz w:val="19"/>
                <w:szCs w:val="19"/>
                <w:lang w:val="en-GB"/>
              </w:rPr>
              <w:t xml:space="preserve">(no logical access)</w:t>
            </w:r>
          </w:p>
        </w:tc>
      </w:tr>
      <w:tr>
        <w:trPr>
          <w:cantSplit/>
        </w:trPr>
        <w:tc>
          <w:tcPr>
            <w:tcW w:type="dxa" w:w="1872"/>
            <w:tcMar>
              <w:left w:type="dxa" w:w="80"/>
              <w:right w:type="dxa" w:w="80"/>
            </w:tcMar>
          </w:tcPr>
          <w:p>
            <w:pPr>
              <w:pStyle w:val="Compact"/>
            </w:pPr>
            <w:r>
              <w:rPr>
                <w:b/>
                <w:bCs/>
                <w:sz w:val="19"/>
                <w:szCs w:val="19"/>
                <w:lang w:val="en-GB"/>
              </w:rPr>
              <w:t xml:space="preserve">Backup </w:t>
            </w:r>
            <w:r>
              <w:rPr>
                <w:sz w:val="19"/>
                <w:szCs w:val="19"/>
                <w:lang w:val="en-GB"/>
              </w:rPr>
              <w:t xml:space="preserve"/>
            </w:r>
            <w:r>
              <w:rPr>
                <w:sz w:val="19"/>
                <w:szCs w:val="19"/>
                <w:lang w:val="en-GB"/>
              </w:rPr>
              <w:t xml:space="preserve">(Scaleway)</w:t>
            </w:r>
          </w:p>
        </w:tc>
        <w:tc>
          <w:tcPr>
            <w:tcW w:type="dxa" w:w="1872"/>
            <w:tcMar>
              <w:left w:type="dxa" w:w="80"/>
              <w:right w:type="dxa" w:w="80"/>
            </w:tcMar>
          </w:tcPr>
          <w:p>
            <w:pPr>
              <w:pStyle w:val="Compact"/>
            </w:pPr>
            <w:r>
              <w:rPr>
                <w:sz w:val="19"/>
                <w:szCs w:val="19"/>
                <w:lang w:val="en-GB"/>
              </w:rPr>
              <w:t xml:space="preserve">Encrypted object storage</w:t>
            </w:r>
          </w:p>
        </w:tc>
        <w:tc>
          <w:tcPr>
            <w:tcW w:type="dxa" w:w="1872"/>
            <w:tcMar>
              <w:left w:type="dxa" w:w="80"/>
              <w:right w:type="dxa" w:w="80"/>
            </w:tcMar>
          </w:tcPr>
          <w:p>
            <w:pPr>
              <w:pStyle w:val="Compact"/>
            </w:pPr>
            <w:r>
              <w:rPr>
                <w:sz w:val="19"/>
                <w:szCs w:val="19"/>
                <w:lang w:val="en-GB"/>
              </w:rPr>
              <w:t xml:space="preserve">France (EU)</w:t>
            </w:r>
          </w:p>
        </w:tc>
        <w:tc>
          <w:tcPr>
            <w:tcW w:type="dxa" w:w="1872"/>
            <w:tcMar>
              <w:left w:type="dxa" w:w="80"/>
              <w:right w:type="dxa" w:w="80"/>
            </w:tcMar>
          </w:tcPr>
          <w:p>
            <w:pPr>
              <w:pStyle w:val="Compact"/>
            </w:pPr>
            <w:r>
              <w:rPr>
                <w:sz w:val="19"/>
                <w:szCs w:val="19"/>
                <w:lang w:val="en-GB"/>
              </w:rPr>
              <w:t xml:space="preserve">Data encrypted with age </w:t>
            </w:r>
            <w:r>
              <w:rPr>
                <w:sz w:val="19"/>
                <w:szCs w:val="19"/>
                <w:lang w:val="en-GB"/>
              </w:rPr>
              <w:t xml:space="preserve"/>
            </w:r>
            <w:r>
              <w:rPr>
                <w:b/>
                <w:bCs/>
                <w:sz w:val="19"/>
                <w:szCs w:val="19"/>
                <w:lang w:val="en-GB"/>
              </w:rPr>
              <w:t xml:space="preserve">before </w:t>
            </w:r>
            <w:r>
              <w:rPr>
                <w:sz w:val="19"/>
                <w:szCs w:val="19"/>
                <w:lang w:val="en-GB"/>
              </w:rPr>
              <w:t xml:space="preserve"/>
            </w:r>
            <w:r>
              <w:rPr>
                <w:sz w:val="19"/>
                <w:szCs w:val="19"/>
                <w:lang w:val="en-GB"/>
              </w:rPr>
              <w:t xml:space="preserve">sending; keys inaccessible to them</w:t>
            </w:r>
          </w:p>
        </w:tc>
        <w:tc>
          <w:tcPr>
            <w:tcW w:type="dxa" w:w="1872"/>
            <w:tcMar>
              <w:left w:type="dxa" w:w="80"/>
              <w:right w:type="dxa" w:w="80"/>
            </w:tcMar>
          </w:tcPr>
          <w:p>
            <w:pPr>
              <w:pStyle w:val="Compact"/>
            </w:pPr>
            <w:r>
              <w:rPr>
                <w:b/>
                <w:bCs/>
                <w:sz w:val="19"/>
                <w:szCs w:val="19"/>
                <w:lang w:val="en-GB"/>
              </w:rPr>
              <w:t xml:space="preserve">No </w:t>
            </w:r>
            <w:r>
              <w:rPr>
                <w:sz w:val="19"/>
                <w:szCs w:val="19"/>
                <w:lang w:val="en-GB"/>
              </w:rPr>
              <w:t xml:space="preserve"/>
            </w:r>
            <w:r>
              <w:rPr>
                <w:sz w:val="19"/>
                <w:szCs w:val="19"/>
                <w:lang w:val="en-GB"/>
              </w:rPr>
              <w:t xml:space="preserve">(data unreadable for the service provider)</w:t>
            </w:r>
          </w:p>
        </w:tc>
      </w:tr>
      <w:tr>
        <w:trPr>
          <w:cantSplit/>
        </w:trPr>
        <w:tc>
          <w:tcPr>
            <w:tcW w:type="dxa" w:w="1872"/>
            <w:tcMar>
              <w:left w:type="dxa" w:w="80"/>
              <w:right w:type="dxa" w:w="80"/>
            </w:tcMar>
          </w:tcPr>
          <w:p>
            <w:pPr>
              <w:pStyle w:val="Compact"/>
            </w:pPr>
            <w:r>
              <w:rPr>
                <w:b/>
                <w:bCs/>
                <w:sz w:val="19"/>
                <w:szCs w:val="19"/>
                <w:lang w:val="en-GB"/>
              </w:rPr>
              <w:t xml:space="preserve">GPU transcription </w:t>
            </w:r>
            <w:r>
              <w:rPr>
                <w:sz w:val="19"/>
                <w:szCs w:val="19"/>
                <w:lang w:val="en-GB"/>
              </w:rPr>
              <w:t xml:space="preserve"/>
            </w:r>
            <w:r>
              <w:rPr>
                <w:sz w:val="19"/>
                <w:szCs w:val="19"/>
                <w:lang w:val="en-GB"/>
              </w:rPr>
              <w:t xml:space="preserve">(dedicated GPU / Vast.ai if enabled)</w:t>
            </w:r>
          </w:p>
        </w:tc>
        <w:tc>
          <w:tcPr>
            <w:tcW w:type="dxa" w:w="1872"/>
            <w:tcMar>
              <w:left w:type="dxa" w:w="80"/>
              <w:right w:type="dxa" w:w="80"/>
            </w:tcMar>
          </w:tcPr>
          <w:p>
            <w:pPr>
              <w:pStyle w:val="Compact"/>
            </w:pPr>
            <w:r>
              <w:rPr>
                <w:sz w:val="19"/>
                <w:szCs w:val="19"/>
                <w:lang w:val="en-GB"/>
              </w:rPr>
              <w:t xml:space="preserve">Automated processing</w:t>
            </w:r>
          </w:p>
        </w:tc>
        <w:tc>
          <w:tcPr>
            <w:tcW w:type="dxa" w:w="1872"/>
            <w:tcMar>
              <w:left w:type="dxa" w:w="80"/>
              <w:right w:type="dxa" w:w="80"/>
            </w:tcMar>
          </w:tcPr>
          <w:p>
            <w:pPr>
              <w:pStyle w:val="Compact"/>
            </w:pPr>
            <w:r>
              <w:rPr>
                <w:sz w:val="19"/>
                <w:szCs w:val="19"/>
                <w:lang w:val="en-GB"/>
              </w:rPr>
              <w:t xml:space="preserve">EU when required; outside EEA possible via marketplace</w:t>
            </w:r>
          </w:p>
        </w:tc>
        <w:tc>
          <w:tcPr>
            <w:tcW w:type="dxa" w:w="1872"/>
            <w:tcMar>
              <w:left w:type="dxa" w:w="80"/>
              <w:right w:type="dxa" w:w="80"/>
            </w:tcMar>
          </w:tcPr>
          <w:p>
            <w:pPr>
              <w:pStyle w:val="Compact"/>
            </w:pPr>
            <w:r>
              <w:rPr>
                <w:sz w:val="19"/>
                <w:szCs w:val="19"/>
                <w:lang w:val="en-GB"/>
              </w:rPr>
              <w:t xml:space="preserve">Deletion after job</w:t>
            </w:r>
          </w:p>
        </w:tc>
        <w:tc>
          <w:tcPr>
            <w:tcW w:type="dxa" w:w="1872"/>
            <w:tcMar>
              <w:left w:type="dxa" w:w="80"/>
              <w:right w:type="dxa" w:w="80"/>
            </w:tcMar>
          </w:tcPr>
          <w:p>
            <w:pPr>
              <w:pStyle w:val="Compact"/>
            </w:pPr>
            <w:r>
              <w:rPr>
                <w:b/>
                <w:bCs/>
                <w:sz w:val="19"/>
                <w:szCs w:val="19"/>
                <w:lang w:val="en-GB"/>
              </w:rPr>
              <w:t xml:space="preserve">No </w:t>
            </w:r>
            <w:r>
              <w:rPr>
                <w:sz w:val="19"/>
                <w:szCs w:val="19"/>
                <w:lang w:val="en-GB"/>
              </w:rPr>
              <w:t xml:space="preserve"/>
            </w:r>
            <w:r>
              <w:rPr>
                <w:sz w:val="19"/>
                <w:szCs w:val="19"/>
                <w:lang w:val="en-GB"/>
              </w:rPr>
              <w:t xml:space="preserve">(automated processing, no human access)</w:t>
            </w:r>
          </w:p>
        </w:tc>
      </w:tr>
    </w:tbl>
    <w:bookmarkEnd w:id="70"/>
    <w:bookmarkStart w:id="71" w:name="Xa3064877aefcfc8385bf14f5b705943c6869bcf"/>
    <w:p>
      <w:pPr>
        <w:pStyle w:val="Heading3"/>
        <w:keepNext/>
        <w:keepLines/>
      </w:pPr>
      <w:r>
        <w:rPr>
          <w:color w:val="000000"/>
          <w:lang w:val="en-GB"/>
        </w:rPr>
        <w:t xml:space="preserve">3.2 Access outside the EEA — transparent explanation</w:t>
      </w:r>
    </w:p>
    <w:p>
      <w:pPr>
        <w:pStyle w:val="FirstParagraph"/>
      </w:pPr>
      <w:r>
        <w:rPr>
          <w:lang w:val="en-GB"/>
        </w:rPr>
        <w:t xml:space="preserve">In Option A, only one category of flows can leave the EEA, and it is </w:t>
      </w:r>
      <w:r>
        <w:rPr>
          <w:lang w:val="en-GB"/>
        </w:rPr>
        <w:t xml:space="preserve"/>
      </w:r>
      <w:r>
        <w:rPr>
          <w:b/>
          <w:bCs/>
          <w:lang w:val="en-GB"/>
        </w:rPr>
        <w:t xml:space="preserve">technical (machine access), not </w:t>
      </w:r>
      <w:r>
        <w:rPr>
          <w:lang w:val="en-GB"/>
        </w:rPr>
        <w:t xml:space="preserve"/>
      </w:r>
      <w:r>
        <w:rPr>
          <w:lang w:val="en-GB"/>
        </w:rPr>
        <w:t xml:space="preserve">human:</w:t>
      </w:r>
    </w:p>
    <w:p>
      <w:pPr>
        <w:pStyle w:val="Compact"/>
        <w:numPr>
          <w:ilvl w:val="0"/>
          <w:numId w:val="1018"/>
        </w:numPr>
      </w:pPr>
      <w:r>
        <w:rPr>
          <w:b/>
          <w:bCs/>
          <w:lang w:val="en-GB"/>
        </w:rPr>
        <w:t xml:space="preserve">AI technical flows in emergency mode. </w:t>
      </w:r>
      <w:r>
        <w:rPr>
          <w:lang w:val="en-GB"/>
        </w:rPr>
        <w:t xml:space="preserve"/>
      </w:r>
      <w:r>
        <w:rPr>
          <w:lang w:val="en-GB"/>
        </w:rPr>
        <w:t xml:space="preserve"/>
      </w:r>
      <w:r>
        <w:rPr>
          <w:lang w:val="en-GB"/>
        </w:rPr>
        <w:t xml:space="preserve">The </w:t>
      </w:r>
      <w:r>
        <w:rPr>
          <w:b/>
          <w:bCs/>
          <w:lang w:val="en-GB"/>
        </w:rPr>
        <w:t xml:space="preserve">primary IA </w:t>
      </w:r>
      <w:r>
        <w:rPr>
          <w:lang w:val="en-GB"/>
        </w:rPr>
        <w:t xml:space="preserve"/>
      </w:r>
      <w:r>
        <w:rPr>
          <w:lang w:val="en-GB"/>
        </w:rPr>
        <w:t xml:space="preserve">channel (vLLM servers controlled in Strasbourg / </w:t>
      </w:r>
      <w:r>
        <w:rPr>
          <w:lang w:val="en-GB"/>
        </w:rPr>
        <w:t xml:space="preserve"/>
      </w:r>
      <w:r>
        <w:rPr>
          <w:b/>
          <w:bCs/>
          <w:lang w:val="en-GB"/>
        </w:rPr>
        <w:t xml:space="preserve">Paris) does not generate any </w:t>
      </w:r>
      <w:r>
        <w:rPr>
          <w:lang w:val="en-GB"/>
        </w:rPr>
        <w:t xml:space="preserve">flows outside the </w:t>
      </w:r>
      <w:r>
        <w:rPr>
          <w:lang w:val="en-GB"/>
        </w:rPr>
        <w:t xml:space="preserve"/>
      </w:r>
      <w:r>
        <w:rPr>
          <w:b/>
          <w:bCs/>
          <w:lang w:val="en-GB"/>
        </w:rPr>
        <w:t xml:space="preserve">EEA. A flow </w:t>
      </w:r>
      <w:r>
        <w:rPr>
          <w:lang w:val="en-GB"/>
        </w:rPr>
        <w:t xml:space="preserve"/>
      </w:r>
      <w:r>
        <w:rPr>
          <w:lang w:val="en-GB"/>
        </w:rPr>
        <w:t xml:space="preserve">to the United States </w:t>
      </w:r>
      <w:r>
        <w:rPr>
          <w:lang w:val="en-GB"/>
        </w:rPr>
        <w:t xml:space="preserve"/>
      </w:r>
      <w:r>
        <w:rPr>
          <w:b/>
          <w:bCs/>
          <w:lang w:val="en-GB"/>
        </w:rPr>
        <w:t xml:space="preserve">only occurs via </w:t>
      </w:r>
      <w:r>
        <w:rPr>
          <w:lang w:val="en-GB"/>
        </w:rPr>
        <w:t xml:space="preserve"/>
      </w:r>
      <w:r>
        <w:rPr>
          <w:lang w:val="en-GB"/>
        </w:rPr>
        <w:t xml:space="preserve">the OpenRouter emergency route (and model providers such as Anthropic or OpenAI), in the event of unavailability of the primary route — this </w:t>
      </w:r>
      <w:r>
        <w:rPr>
          <w:lang w:val="en-GB"/>
        </w:rPr>
        <w:t xml:space="preserve"/>
      </w:r>
      <w:r>
        <w:rPr>
          <w:b/>
          <w:bCs/>
          <w:lang w:val="en-GB"/>
        </w:rPr>
        <w:t xml:space="preserve">emergency route can be </w:t>
      </w:r>
      <w:r>
        <w:rPr>
          <w:lang w:val="en-GB"/>
        </w:rPr>
        <w:t xml:space="preserve">deactivated by organization. GPU computing via Vast.ai, when enabled, relies on a US </w:t>
      </w:r>
      <w:r>
        <w:rPr>
          <w:lang w:val="en-GB"/>
        </w:rPr>
        <w:t xml:space="preserve"/>
      </w:r>
      <w:r>
        <w:rPr>
          <w:b/>
          <w:bCs/>
          <w:lang w:val="en-GB"/>
        </w:rPr>
        <w:t xml:space="preserve">marketplace </w:t>
      </w:r>
      <w:r>
        <w:rPr>
          <w:lang w:val="en-GB"/>
        </w:rPr>
        <w:t xml:space="preserve"/>
      </w:r>
      <w:r>
        <w:rPr>
          <w:lang w:val="en-GB"/>
        </w:rPr>
        <w:t xml:space="preserve">(machines are selected in EU when required). These flows are regulated (CCT, no-train, minimization, no sustainable storage) and detailed in document </w:t>
      </w:r>
      <w:r>
        <w:rPr>
          <w:lang w:val="en-GB"/>
        </w:rPr>
        <w:t xml:space="preserve"/>
      </w:r>
      <w:r>
        <w:rPr>
          <w:b/>
          <w:bCs/>
          <w:lang w:val="en-GB"/>
        </w:rPr>
        <w:t xml:space="preserve">OHA-RGPD-04. </w:t>
      </w:r>
      <w:r>
        <w:rPr>
          <w:lang w:val="en-GB"/>
        </w:rPr>
        <w:t xml:space="preserve">The “strict UE” profile (primary route only / UE LLM or self-hosted + UE GPU) allows them to be deleted.</w:t>
      </w:r>
    </w:p>
    <w:p>
      <w:pPr>
        <w:pStyle w:val="FirstParagraph"/>
      </w:pPr>
      <w:r>
        <w:rPr>
          <w:b/>
          <w:bCs/>
          <w:lang w:val="en-GB"/>
        </w:rPr>
        <w:t xml:space="preserve">Human administration access: France / EU only. The </w:t>
      </w:r>
      <w:r>
        <w:rPr>
          <w:lang w:val="en-GB"/>
        </w:rPr>
        <w:t xml:space="preserve"/>
      </w:r>
      <w:r>
        <w:rPr>
          <w:lang w:val="en-GB"/>
        </w:rPr>
        <w:t xml:space="preserve">administration and support of the platform are carried out by OHADJA (established in Paris) </w:t>
      </w:r>
      <w:r>
        <w:rPr>
          <w:lang w:val="en-GB"/>
        </w:rPr>
        <w:t xml:space="preserve"/>
      </w:r>
      <w:r>
        <w:rPr>
          <w:b/>
          <w:bCs/>
          <w:lang w:val="en-GB"/>
        </w:rPr>
        <w:t xml:space="preserve">exclusively from France / the European Union </w:t>
      </w:r>
      <w:r>
        <w:rPr>
          <w:lang w:val="en-GB"/>
        </w:rPr>
        <w:t xml:space="preserve"/>
      </w:r>
      <w:r>
        <w:rPr>
          <w:lang w:val="en-GB"/>
        </w:rPr>
        <w:t xml:space="preserve">(contractual commitment, see OHA-RGPD-04). No human access to production data takes place from a third country. The founding group also carries out a commercial activity as a reseller including Monaco (AMBASSADIA SARL), but this does </w:t>
      </w:r>
      <w:r>
        <w:rPr>
          <w:lang w:val="en-GB"/>
        </w:rPr>
        <w:t xml:space="preserve"/>
      </w:r>
      <w:r>
        <w:rPr>
          <w:b/>
          <w:bCs/>
          <w:lang w:val="en-GB"/>
        </w:rPr>
        <w:t xml:space="preserve">not provide any access to the data: the </w:t>
      </w:r>
      <w:r>
        <w:rPr>
          <w:lang w:val="en-GB"/>
        </w:rPr>
        <w:t xml:space="preserve"/>
      </w:r>
      <w:r>
        <w:rPr>
          <w:lang w:val="en-GB"/>
        </w:rPr>
        <w:t xml:space="preserve">subject is treated and closed by the France/EU access commitment.</w:t>
      </w:r>
    </w:p>
    <w:p>
      <w:pPr>
        <w:pStyle w:val="BodyText"/>
      </w:pPr>
      <w:r>
        <w:rPr>
          <w:lang w:val="en-GB"/>
        </w:rPr>
        <w:t xml:space="preserve">In </w:t>
      </w:r>
      <w:r>
        <w:rPr>
          <w:lang w:val="en-GB"/>
        </w:rPr>
        <w:t xml:space="preserve"/>
      </w:r>
      <w:r>
        <w:rPr>
          <w:b/>
          <w:bCs/>
          <w:lang w:val="en-GB"/>
        </w:rPr>
        <w:t xml:space="preserve">isolated Option </w:t>
      </w:r>
      <w:r>
        <w:rPr>
          <w:lang w:val="en-GB"/>
        </w:rPr>
        <w:t xml:space="preserve">B, none of these accesses exist: neither outgoing AI flow nor imposed external administration access.</w:t>
      </w:r>
    </w:p>
    <w:bookmarkEnd w:id="71"/>
    <w:bookmarkEnd w:id="72"/>
    <w:bookmarkStart w:id="76" w:name="X8b1f3ba40315acea0d3beb20e77272cc7a657cf"/>
    <w:p>
      <w:pPr>
        <w:pStyle w:val="Heading2"/>
        <w:keepNext/>
        <w:keepLines/>
      </w:pPr>
      <w:r>
        <w:rPr>
          <w:color w:val="000000"/>
          <w:lang w:val="en-GB"/>
        </w:rPr>
        <w:t xml:space="preserve">4. End-to-end traversal of an audio file (Option A)</w:t>
      </w:r>
    </w:p>
    <w:p>
      <w:pPr>
        <w:pStyle w:val="FirstParagraph"/>
        <w:keepNext/>
      </w:pPr>
      <w:r>
        <w:drawing>
          <wp:inline>
            <wp:extent cx="5334000" cy="1105323"/>
            <wp:effectExtent b="0" l="0" r="0" t="0"/>
            <wp:docPr descr="Parcours d'un fichier audio" title="" id="74" name="Picture"/>
            <a:graphic>
              <a:graphicData uri="http://schemas.openxmlformats.org/drawingml/2006/picture">
                <pic:pic>
                  <pic:nvPicPr>
                    <pic:cNvPr descr="img/parcours-audio.png" id="75" name="Picture"/>
                    <pic:cNvPicPr>
                      <a:picLocks noChangeArrowheads="1" noChangeAspect="1"/>
                    </pic:cNvPicPr>
                  </pic:nvPicPr>
                  <pic:blipFill>
                    <a:blip r:embed="rId73"/>
                    <a:stretch>
                      <a:fillRect/>
                    </a:stretch>
                  </pic:blipFill>
                  <pic:spPr bwMode="auto">
                    <a:xfrm>
                      <a:off x="0" y="0"/>
                      <a:ext cx="5334000" cy="1105323"/>
                    </a:xfrm>
                    <a:prstGeom prst="rect">
                      <a:avLst/>
                    </a:prstGeom>
                    <a:noFill/>
                    <a:ln w="9525">
                      <a:noFill/>
                      <a:headEnd/>
                      <a:tailEnd/>
                    </a:ln>
                  </pic:spPr>
                </pic:pic>
              </a:graphicData>
            </a:graphic>
          </wp:inline>
        </w:drawing>
      </w:r>
    </w:p>
    <w:p>
      <w:pPr>
        <w:pStyle w:val="BodyText"/>
        <w:keepLines/>
      </w:pPr>
      <w:r>
        <w:rPr>
          <w:i/>
          <w:iCs/>
          <w:lang w:val="en-GB"/>
        </w:rPr>
        <w:t xml:space="preserve">Figure 1 — Processing an audio file, from upload to Scaleway encrypted backup, in seven steps (Visio .vsdx version re-implemented).</w:t>
      </w:r>
    </w:p>
    <w:p>
      <w:pPr>
        <w:pStyle w:val="BodyText"/>
      </w:pPr>
      <w:r>
        <w:rPr>
          <w:b/>
          <w:bCs/>
          <w:lang w:val="en-GB"/>
        </w:rPr>
        <w:t xml:space="preserve">Text version:</w:t>
      </w:r>
    </w:p>
    <w:p>
      <w:pPr>
        <w:pStyle w:val="SourceCode"/>
      </w:pPr>
      <w:r>
        <w:rPr>
          <w:rStyle w:val="VerbatimChar"/>
          <w:rFonts w:ascii="Courier New" w:hAnsi="Courier New" w:eastAsia="Courier New" w:cs="Courier New"/>
          <w:sz w:val="18"/>
          <w:szCs w:val="18"/>
        </w:rPr>
        <w:t xml:space="preserve">[1] USER (Customer)</w:t>
        <w:br/>
        <w:t xml:space="preserve">  | HTTPS upload (TLS 1.2+)</w:t>
        <w:br/>
        <w:t xml:space="preserve">  v</w:t>
        <w:br/>
        <w:t xml:space="preserve">[2] NGINX (reverse proxy, 443) — production server, FRANCE</w:t>
        <w:br/>
        <w:t xml:space="preserve">  v</w:t>
        <w:br/>
        <w:t xml:space="preserve">[3] LARAVEL APPLICATION</w:t>
        <w:br/>
        <w:t xml:space="preserve">  |-- ClamAV: antivirus scan BEFORE writing</w:t>
        <w:br/>
        <w:t xml:space="preserve">  |-- write to production server (at-rest storage, see §1)</w:t>
        <w:br/>
        <w:t xml:space="preserve">  |-- file status: "pending"</w:t>
        <w:br/>
        <w:t xml:space="preserve">  v</w:t>
        <w:br/>
        <w:t xml:space="preserve">[4] TRANSCRIPTION WORKER (dedicated EU GPU)</w:t>
        <w:br/>
        <w:t xml:space="preserve">  | retrieves job (temporary signed URL, 30 min)</w:t>
        <w:br/>
        <w:t xml:space="preserve">  |-- whisperX: transcription</w:t>
        <w:br/>
        <w:t xml:space="preserve">  |-- pyannote: positional diarization (Speaker N)</w:t>
        <w:br/>
        <w:t xml:space="preserve">  |-- voice embeddings in RAM -&gt; DESTROYED at job end</w:t>
        <w:br/>
        <w:t xml:space="preserve">  | POST /complete (JSON segments, TLS)</w:t>
        <w:br/>
        <w:t xml:space="preserve">  v</w:t>
        <w:br/>
        <w:t xml:space="preserve">[5] STORAGE (PostgreSQL, organisation schema, production server FRANCE)</w:t>
        <w:br/>
        <w:t xml:space="preserve">  |-- (optional) AI PROCESSING:</w:t>
        <w:br/>
        <w:t xml:space="preserve">  |   selected sources -&gt; PRIMARY ROUTE: EU vLLM servers</w:t>
        <w:br/>
        <w:t xml:space="preserve">  |     (Strasbourg / Paris; open-weights; no third party)</w:t>
        <w:br/>
        <w:t xml:space="preserve">  |   [fallback can be disabled: OpenRouter -&gt; LLM provider, US possible]</w:t>
        <w:br/>
        <w:t xml:space="preserve">  |   no-train; minimisation; TLS</w:t>
        <w:br/>
        <w:t xml:space="preserve">  |   &lt;- response -&gt; ai_generations table (within tenant)</w:t>
        <w:br/>
        <w:t xml:space="preserve">  v</w:t>
        <w:br/>
        <w:t xml:space="preserve">[6] DAILY BACKUP</w:t>
        <w:br/>
        <w:t xml:space="preserve">  |-- age encryption (X25519 + ChaCha20-Poly1305) BEFORE egress</w:t>
        <w:br/>
        <w:t xml:space="preserve">  | rclone -&gt; Scaleway (France, EU)</w:t>
        <w:br/>
        <w:t xml:space="preserve">  v</w:t>
        <w:br/>
        <w:t xml:space="preserve">[7] LIFECYCLE</w:t>
        <w:br/>
        <w:t xml:space="preserve">  |-- retention according to policy configured by Customer</w:t>
        <w:br/>
        <w:t xml:space="preserve">  |-- erasure (Art. 17) or expiry -&gt; purge + certificate</w:t>
        <w:br/>
        <w:t xml:space="preserve">  \-- backups purged within 90 days</w:t>
      </w:r>
    </w:p>
    <w:p>
      <w:pPr>
        <w:pStyle w:val="FirstParagraph"/>
      </w:pPr>
      <w:r>
        <w:rPr>
          <w:lang w:val="en-GB"/>
        </w:rPr>
        <w:t xml:space="preserve">In </w:t>
      </w:r>
      <w:r>
        <w:rPr>
          <w:lang w:val="en-GB"/>
        </w:rPr>
        <w:t xml:space="preserve"/>
      </w:r>
      <w:r>
        <w:rPr>
          <w:b/>
          <w:bCs/>
          <w:lang w:val="en-GB"/>
        </w:rPr>
        <w:t xml:space="preserve">isolated Option </w:t>
      </w:r>
      <w:r>
        <w:rPr>
          <w:lang w:val="en-GB"/>
        </w:rPr>
        <w:t xml:space="preserve">B, steps [4], the AI exploitation part of [5] and step [6] execute </w:t>
      </w:r>
      <w:r>
        <w:rPr>
          <w:lang w:val="en-GB"/>
        </w:rPr>
        <w:t xml:space="preserve"/>
      </w:r>
      <w:r>
        <w:rPr>
          <w:b/>
          <w:bCs/>
          <w:lang w:val="en-GB"/>
        </w:rPr>
        <w:t xml:space="preserve">in the Client's infrastructure </w:t>
      </w:r>
      <w:r>
        <w:rPr>
          <w:lang w:val="en-GB"/>
        </w:rPr>
        <w:t xml:space="preserve"/>
      </w:r>
      <w:r>
        <w:rPr>
          <w:lang w:val="en-GB"/>
        </w:rPr>
        <w:t xml:space="preserve">(local GPU worker, self-hosted LLM, internal </w:t>
      </w:r>
      <w:r>
        <w:rPr>
          <w:lang w:val="en-GB"/>
        </w:rPr>
        <w:t xml:space="preserve"/>
      </w:r>
      <w:r>
        <w:rPr>
          <w:b/>
          <w:bCs/>
          <w:lang w:val="en-GB"/>
        </w:rPr>
        <w:t xml:space="preserve">backups): no data leaves the Client's </w:t>
      </w:r>
      <w:r>
        <w:rPr>
          <w:lang w:val="en-GB"/>
        </w:rPr>
        <w:t xml:space="preserve">environment.</w:t>
      </w:r>
    </w:p>
    <w:p>
      <w:pPr>
        <w:pStyle w:val="BlockText"/>
      </w:pPr>
      <w:r>
        <w:rPr>
          <w:lang w:val="en-GB"/>
        </w:rPr>
        <w:t xml:space="preserve">The final synoptic will be submitted in Visio format (.vsdx) during the implementation phase, based on this diagram.</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76"/>
    <w:bookmarkEnd w:id="77"/>
    <w:bookmarkStart w:id="91" w:name="X1fcf1353751910428496754448e8c603dd55582"/>
    <w:p>
      <w:pPr>
        <w:pStyle w:val="Heading1"/>
        <w:keepNext/>
        <w:keepLines/>
      </w:pPr>
      <w:r>
        <w:rPr>
          <w:color w:val="000000"/>
          <w:lang w:val="en-GB"/>
        </w:rPr>
        <w:t xml:space="preserve">List of subprocessors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OHA-RGPD-03</w:t>
            </w:r>
          </w:p>
        </w:tc>
      </w:tr>
      <w:tr>
        <w:trPr>
          <w:cantSplit/>
        </w:trPr>
        <w:tc>
          <w:tcPr/>
          <w:p>
            <w:pPr>
              <w:pStyle w:val="Compact"/>
            </w:pPr>
            <w:r>
              <w:rPr>
                <w:lang w:val="en-GB"/>
              </w:rPr>
              <w:t xml:space="preserve">Purpose</w:t>
            </w:r>
          </w:p>
        </w:tc>
        <w:tc>
          <w:tcPr/>
          <w:p>
            <w:pPr>
              <w:pStyle w:val="Compact"/>
            </w:pPr>
            <w:r>
              <w:rPr>
                <w:lang w:val="en-GB"/>
              </w:rPr>
              <w:t xml:space="preserve">List and characterization of subprocessors (art. 28.2 and 28.4 GDPR)</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78" w:name="X1ed5dcafce5c18c99fc0c2e8a88a30fabdbe403"/>
    <w:p>
      <w:pPr>
        <w:pStyle w:val="Heading2"/>
        <w:keepNext/>
        <w:keepLines/>
      </w:pPr>
      <w:r>
        <w:rPr>
          <w:color w:val="000000"/>
          <w:lang w:val="en-GB"/>
        </w:rPr>
        <w:t xml:space="preserve">1. Purpose</w:t>
      </w:r>
    </w:p>
    <w:p>
      <w:pPr>
        <w:pStyle w:val="FirstParagraph"/>
      </w:pPr>
      <w:r>
        <w:rPr>
          <w:lang w:val="en-GB"/>
        </w:rPr>
        <w:t xml:space="preserve">This document lists, completely and up to date as of 2026-07-24, the subprocessors which OHADJA uses for the execution of the TranscribIA service. For each, the following are specified: the country of establishment, the role, the operations carried out, the places of </w:t>
      </w:r>
      <w:r>
        <w:rPr>
          <w:lang w:val="en-GB"/>
        </w:rPr>
        <w:t xml:space="preserve">processing </w:t>
      </w:r>
      <w:r>
        <w:rPr>
          <w:b/>
          <w:bCs/>
          <w:lang w:val="en-GB"/>
        </w:rPr>
        <w:t xml:space="preserve"/>
      </w:r>
      <w:r>
        <w:rPr>
          <w:lang w:val="en-GB"/>
        </w:rPr>
        <w:t xml:space="preserve"/>
      </w:r>
      <w:r>
        <w:rPr>
          <w:lang w:val="en-GB"/>
        </w:rPr>
        <w:t xml:space="preserve">and storage, human access to the data, and the contractual guarantees.</w:t>
      </w:r>
    </w:p>
    <w:p>
      <w:pPr>
        <w:pStyle w:val="BodyText"/>
      </w:pPr>
      <w:r>
        <w:rPr>
          <w:lang w:val="en-GB"/>
        </w:rPr>
        <w:t xml:space="preserve">The list below is for </w:t>
      </w:r>
      <w:r>
        <w:rPr>
          <w:b/>
          <w:bCs/>
          <w:lang w:val="en-GB"/>
        </w:rPr>
        <w:t xml:space="preserve">Option A (SaaS). </w:t>
      </w:r>
      <w:r>
        <w:rPr>
          <w:lang w:val="en-GB"/>
        </w:rPr>
        <w:t xml:space="preserve">In </w:t>
      </w:r>
      <w:r>
        <w:rPr>
          <w:lang w:val="en-GB"/>
        </w:rPr>
        <w:t xml:space="preserve"/>
      </w:r>
      <w:r>
        <w:rPr>
          <w:b/>
          <w:bCs/>
          <w:lang w:val="en-GB"/>
        </w:rPr>
        <w:t xml:space="preserve">isolated </w:t>
      </w:r>
      <w:r>
        <w:rPr>
          <w:lang w:val="en-GB"/>
        </w:rPr>
        <w:t xml:space="preserve">Option B, </w:t>
      </w:r>
      <w:r>
        <w:rPr>
          <w:lang w:val="en-GB"/>
        </w:rPr>
        <w:t xml:space="preserve">there </w:t>
      </w:r>
      <w:r>
        <w:rPr>
          <w:b/>
          <w:bCs/>
          <w:lang w:val="en-GB"/>
        </w:rPr>
        <w:t xml:space="preserve">is </w:t>
      </w:r>
      <w:r>
        <w:rPr>
          <w:lang w:val="en-GB"/>
        </w:rPr>
        <w:t xml:space="preserve"/>
      </w:r>
      <w:r>
        <w:rPr>
          <w:lang w:val="en-GB"/>
        </w:rPr>
        <w:t xml:space="preserve">no subprocessor (section 4).</w:t>
      </w:r>
    </w:p>
    <w:p>
      <w:pPr>
        <w:pStyle w:val="BlockText"/>
      </w:pPr>
      <w:r>
        <w:rPr>
          <w:b/>
          <w:bCs/>
          <w:lang w:val="en-GB"/>
        </w:rPr>
        <w:t xml:space="preserve">Confirmation requested by the </w:t>
      </w:r>
      <w:r>
        <w:rPr>
          <w:lang w:val="en-GB"/>
        </w:rPr>
        <w:t xml:space="preserve"/>
      </w:r>
      <w:r>
        <w:rPr>
          <w:b/>
          <w:bCs/>
          <w:lang w:val="en-GB"/>
        </w:rPr>
        <w:t xml:space="preserve">customer. </w:t>
      </w:r>
      <w:r>
        <w:rPr>
          <w:lang w:val="en-GB"/>
        </w:rPr>
        <w:t xml:space="preserve"/>
      </w:r>
      <w:r>
        <w:rPr>
          <w:lang w:val="en-GB"/>
        </w:rPr>
        <w:t xml:space="preserve"/>
      </w:r>
      <w:r>
        <w:rPr>
          <w:b/>
          <w:bCs/>
          <w:lang w:val="en-GB"/>
        </w:rPr>
        <w:t xml:space="preserve">HOSTINGER, </w:t>
      </w:r>
      <w:r>
        <w:rPr>
          <w:lang w:val="en-GB"/>
        </w:rPr>
        <w:t xml:space="preserve">SCALEWAY, </w:t>
      </w:r>
      <w:r>
        <w:rPr>
          <w:lang w:val="en-GB"/>
        </w:rPr>
        <w:t xml:space="preserve"/>
      </w:r>
      <w:r>
        <w:rPr>
          <w:b/>
          <w:bCs/>
          <w:lang w:val="en-GB"/>
        </w:rPr>
        <w:t xml:space="preserve">LLM vLLM servers in EU (Strasbourg / </w:t>
      </w:r>
      <w:r>
        <w:rPr>
          <w:lang w:val="en-GB"/>
        </w:rPr>
        <w:t xml:space="preserve"/>
      </w:r>
      <w:r>
        <w:rPr>
          <w:lang w:val="en-GB"/>
        </w:rPr>
        <w:t xml:space="preserve"/>
      </w:r>
      <w:r>
        <w:rPr>
          <w:b/>
          <w:bCs/>
          <w:lang w:val="en-GB"/>
        </w:rPr>
        <w:t xml:space="preserve">Paris), OPENROUTER (backup route only) </w:t>
      </w:r>
      <w:r>
        <w:rPr>
          <w:lang w:val="en-GB"/>
        </w:rPr>
        <w:t xml:space="preserve">and </w:t>
      </w:r>
      <w:r>
        <w:rPr>
          <w:lang w:val="en-GB"/>
        </w:rPr>
        <w:t xml:space="preserve">GPU </w:t>
      </w:r>
      <w:r>
        <w:rPr>
          <w:lang w:val="en-GB"/>
        </w:rPr>
        <w:t xml:space="preserve"/>
      </w:r>
      <w:r>
        <w:rPr>
          <w:b/>
          <w:bCs/>
          <w:lang w:val="en-GB"/>
        </w:rPr>
        <w:t xml:space="preserve">transcription server are </w:t>
      </w:r>
      <w:r>
        <w:rPr>
          <w:lang w:val="en-GB"/>
        </w:rPr>
        <w:t xml:space="preserve"/>
      </w:r>
      <w:r>
        <w:rPr>
          <w:lang w:val="en-GB"/>
        </w:rPr>
        <w:t xml:space="preserve">confirmed for the SaaS offering as of 2026-07-24. BACKBLAZE: </w:t>
      </w:r>
      <w:r>
        <w:rPr>
          <w:lang w:val="en-GB"/>
        </w:rPr>
        <w:t xml:space="preserve"/>
      </w:r>
      <w:r>
        <w:rPr>
          <w:b/>
          <w:bCs/>
          <w:lang w:val="en-GB"/>
        </w:rPr>
        <w:t xml:space="preserve">not used (the backup </w:t>
      </w:r>
      <w:r>
        <w:rPr>
          <w:lang w:val="en-GB"/>
        </w:rPr>
        <w:t xml:space="preserve"/>
      </w:r>
      <w:r>
        <w:rPr>
          <w:lang w:val="en-GB"/>
        </w:rPr>
        <w:t xml:space="preserve">destination actually configured in production is Scaleway). Architecture precision (decision of 2026-07-24): AI inference relies in the primary channel </w:t>
      </w:r>
      <w:r>
        <w:rPr>
          <w:lang w:val="en-GB"/>
        </w:rPr>
        <w:t xml:space="preserve"/>
      </w:r>
      <w:r>
        <w:rPr>
          <w:b/>
          <w:bCs/>
          <w:lang w:val="en-GB"/>
        </w:rPr>
        <w:t xml:space="preserve">on vLLM </w:t>
      </w:r>
      <w:r>
        <w:rPr>
          <w:lang w:val="en-GB"/>
        </w:rPr>
        <w:t xml:space="preserve">servers </w:t>
      </w:r>
      <w:r>
        <w:rPr>
          <w:lang w:val="en-GB"/>
        </w:rPr>
        <w:t xml:space="preserve"/>
      </w:r>
      <w:r>
        <w:rPr>
          <w:lang w:val="en-GB"/>
        </w:rPr>
        <w:t xml:space="preserve"/>
      </w:r>
      <w:r>
        <w:rPr>
          <w:b/>
          <w:bCs/>
          <w:lang w:val="en-GB"/>
        </w:rPr>
        <w:t xml:space="preserve">controlled in the EU (open-weights </w:t>
      </w:r>
      <w:r>
        <w:rPr>
          <w:lang w:val="en-GB"/>
        </w:rPr>
        <w:t xml:space="preserve"/>
      </w:r>
      <w:r>
        <w:rPr>
          <w:lang w:val="en-GB"/>
        </w:rPr>
        <w:t xml:space="preserve">models, §2.4), OpenRouter </w:t>
      </w:r>
      <w:r>
        <w:rPr>
          <w:lang w:val="en-GB"/>
        </w:rPr>
        <w:t xml:space="preserve"/>
      </w:r>
      <w:r>
        <w:rPr>
          <w:b/>
          <w:bCs/>
          <w:lang w:val="en-GB"/>
        </w:rPr>
        <w:t xml:space="preserve">and model providers only intervening in the backup channel (failover), which can be deactivated </w:t>
      </w:r>
      <w:r>
        <w:rPr>
          <w:lang w:val="en-GB"/>
        </w:rPr>
        <w:t xml:space="preserve"/>
      </w:r>
      <w:r>
        <w:rPr>
          <w:lang w:val="en-GB"/>
        </w:rPr>
        <w:t xml:space="preserve">(§2.5 and §2.6).</w:t>
      </w:r>
    </w:p>
    <w:bookmarkEnd w:id="78"/>
    <w:bookmarkStart w:id="87" w:name="X7d7f3d4ba56fafba29532d1f9b5368d2f9d3cb0"/>
    <w:p>
      <w:pPr>
        <w:pStyle w:val="Heading2"/>
        <w:keepNext/>
        <w:keepLines/>
      </w:pPr>
      <w:r>
        <w:rPr>
          <w:color w:val="000000"/>
          <w:lang w:val="en-GB"/>
        </w:rPr>
        <w:t xml:space="preserve">2. Subprocessors — Option A (SaaS)</w:t>
      </w:r>
    </w:p>
    <w:bookmarkStart w:id="79" w:name="X081dbe31af525cb2a235c0a1bf0fc12e9f8c06e"/>
    <w:p>
      <w:pPr>
        <w:pStyle w:val="Heading3"/>
        <w:keepNext/>
        <w:keepLines/>
      </w:pPr>
      <w:r>
        <w:rPr>
          <w:color w:val="000000"/>
          <w:lang w:val="en-GB"/>
        </w:rPr>
        <w:t xml:space="preserve">2.1 Hosting — Hostinger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Entity</w:t>
            </w:r>
          </w:p>
        </w:tc>
        <w:tc>
          <w:tcPr/>
          <w:p>
            <w:pPr>
              <w:pStyle w:val="Compact"/>
            </w:pPr>
            <w:r>
              <w:rPr>
                <w:lang w:val="en-GB"/>
              </w:rPr>
              <w:t xml:space="preserve">Hostinger (EU operations)</w:t>
            </w:r>
          </w:p>
        </w:tc>
      </w:tr>
      <w:tr>
        <w:trPr>
          <w:cantSplit/>
        </w:trPr>
        <w:tc>
          <w:tcPr/>
          <w:p>
            <w:pPr>
              <w:pStyle w:val="Compact"/>
            </w:pPr>
            <w:r>
              <w:rPr>
                <w:lang w:val="en-GB"/>
              </w:rPr>
              <w:t xml:space="preserve">Country of establishment</w:t>
            </w:r>
          </w:p>
        </w:tc>
        <w:tc>
          <w:tcPr/>
          <w:p>
            <w:pPr>
              <w:pStyle w:val="Compact"/>
            </w:pPr>
            <w:r>
              <w:rPr>
                <w:lang w:val="en-GB"/>
              </w:rPr>
              <w:t xml:space="preserve">Lithuania (EU)</w:t>
            </w:r>
          </w:p>
        </w:tc>
      </w:tr>
      <w:tr>
        <w:trPr>
          <w:cantSplit/>
        </w:trPr>
        <w:tc>
          <w:tcPr/>
          <w:p>
            <w:pPr>
              <w:pStyle w:val="Compact"/>
            </w:pPr>
            <w:r>
              <w:rPr>
                <w:lang w:val="en-GB"/>
              </w:rPr>
              <w:t xml:space="preserve">Role</w:t>
            </w:r>
          </w:p>
        </w:tc>
        <w:tc>
          <w:tcPr/>
          <w:p>
            <w:pPr>
              <w:pStyle w:val="Compact"/>
            </w:pPr>
            <w:r>
              <w:rPr>
                <w:lang w:val="en-GB"/>
              </w:rPr>
              <w:t xml:space="preserve">Production server hosting</w:t>
            </w:r>
          </w:p>
        </w:tc>
      </w:tr>
      <w:tr>
        <w:trPr>
          <w:cantSplit/>
        </w:trPr>
        <w:tc>
          <w:tcPr/>
          <w:p>
            <w:pPr>
              <w:pStyle w:val="Compact"/>
            </w:pPr>
            <w:r>
              <w:rPr>
                <w:lang w:val="en-GB"/>
              </w:rPr>
              <w:t xml:space="preserve">Operations performed</w:t>
            </w:r>
          </w:p>
        </w:tc>
        <w:tc>
          <w:tcPr/>
          <w:p>
            <w:pPr>
              <w:pStyle w:val="Compact"/>
            </w:pPr>
            <w:r>
              <w:rPr>
                <w:lang w:val="en-GB"/>
              </w:rPr>
              <w:t xml:space="preserve">Provision of server infrastructure (KVM), network, availability</w:t>
            </w:r>
          </w:p>
        </w:tc>
      </w:tr>
      <w:tr>
        <w:trPr>
          <w:cantSplit/>
        </w:trPr>
        <w:tc>
          <w:tcPr/>
          <w:p>
            <w:pPr>
              <w:pStyle w:val="Compact"/>
            </w:pPr>
            <w:r>
              <w:rPr>
                <w:lang w:val="en-GB"/>
              </w:rPr>
              <w:t xml:space="preserve">Processing location</w:t>
            </w:r>
          </w:p>
        </w:tc>
        <w:tc>
          <w:tcPr/>
          <w:p>
            <w:pPr>
              <w:pStyle w:val="Compact"/>
            </w:pPr>
            <w:r>
              <w:rPr>
                <w:lang w:val="en-GB"/>
              </w:rPr>
              <w:t xml:space="preserve">Datacenter</w:t>
            </w:r>
            <w:r>
              <w:rPr>
                <w:lang w:val="en-GB"/>
              </w:rPr>
              <w:t xml:space="preserve"> </w:t>
            </w:r>
            <w:r>
              <w:rPr>
                <w:b/>
                <w:bCs/>
                <w:lang w:val="en-GB"/>
              </w:rPr>
              <w:t xml:space="preserve">France</w:t>
            </w:r>
          </w:p>
        </w:tc>
      </w:tr>
      <w:tr>
        <w:trPr>
          <w:cantSplit/>
        </w:trPr>
        <w:tc>
          <w:tcPr/>
          <w:p>
            <w:pPr>
              <w:pStyle w:val="Compact"/>
            </w:pPr>
            <w:r>
              <w:rPr>
                <w:lang w:val="en-GB"/>
              </w:rPr>
              <w:t xml:space="preserve">Storage location</w:t>
            </w:r>
          </w:p>
        </w:tc>
        <w:tc>
          <w:tcPr/>
          <w:p>
            <w:pPr>
              <w:pStyle w:val="Compact"/>
            </w:pPr>
            <w:r>
              <w:rPr>
                <w:lang w:val="en-GB"/>
              </w:rPr>
              <w:t xml:space="preserve">Datacenter</w:t>
            </w:r>
            <w:r>
              <w:rPr>
                <w:lang w:val="en-GB"/>
              </w:rPr>
              <w:t xml:space="preserve"> </w:t>
            </w:r>
            <w:r>
              <w:rPr>
                <w:b/>
                <w:bCs/>
                <w:lang w:val="en-GB"/>
              </w:rPr>
              <w:t xml:space="preserve">France</w:t>
            </w:r>
          </w:p>
        </w:tc>
      </w:tr>
      <w:tr>
        <w:trPr>
          <w:cantSplit/>
        </w:trPr>
        <w:tc>
          <w:tcPr/>
          <w:p>
            <w:pPr>
              <w:pStyle w:val="Compact"/>
            </w:pPr>
            <w:r>
              <w:rPr>
                <w:lang w:val="en-GB"/>
              </w:rPr>
              <w:t xml:space="preserve">Human access to data</w:t>
            </w:r>
          </w:p>
        </w:tc>
        <w:tc>
          <w:tcPr/>
          <w:p>
            <w:pPr>
              <w:pStyle w:val="Compact"/>
            </w:pPr>
            <w:r>
              <w:rPr>
                <w:b/>
                <w:bCs/>
                <w:lang w:val="en-GB"/>
              </w:rPr>
              <w:t xml:space="preserve">No </w:t>
            </w:r>
            <w:r>
              <w:rPr>
                <w:lang w:val="en-GB"/>
              </w:rPr>
              <w:t xml:space="preserve"/>
            </w:r>
            <w:r>
              <w:rPr>
                <w:lang w:val="en-GB"/>
              </w:rPr>
              <w:t xml:space="preserve">— physical access to the data center only, no logical access; disk encryption as per datacenter offering (LUKS/gocryptfs upgrade planned)</w:t>
            </w:r>
          </w:p>
        </w:tc>
      </w:tr>
      <w:tr>
        <w:trPr>
          <w:cantSplit/>
        </w:trPr>
        <w:tc>
          <w:tcPr/>
          <w:p>
            <w:pPr>
              <w:pStyle w:val="Compact"/>
            </w:pPr>
            <w:r>
              <w:rPr>
                <w:lang w:val="en-GB"/>
              </w:rPr>
              <w:t xml:space="preserve">Contractual guarantees</w:t>
            </w:r>
          </w:p>
        </w:tc>
        <w:tc>
          <w:tcPr/>
          <w:p>
            <w:pPr>
              <w:pStyle w:val="Compact"/>
            </w:pPr>
            <w:r>
              <w:rPr>
                <w:lang w:val="en-GB"/>
              </w:rPr>
              <w:t xml:space="preserve">Service contract, subcontracting clauses, commitments GDPR</w:t>
            </w:r>
          </w:p>
        </w:tc>
      </w:tr>
    </w:tbl>
    <w:bookmarkEnd w:id="79"/>
    <w:bookmarkStart w:id="80" w:name="X2447a6290f02c28099d63de2637d6318aba6aab"/>
    <w:p>
      <w:pPr>
        <w:pStyle w:val="Heading3"/>
        <w:keepNext/>
        <w:keepLines/>
      </w:pPr>
      <w:r>
        <w:rPr>
          <w:color w:val="000000"/>
          <w:lang w:val="en-GB"/>
        </w:rPr>
        <w:t xml:space="preserve">2.2 Offsite backup — Scaleway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Entity</w:t>
            </w:r>
          </w:p>
        </w:tc>
        <w:tc>
          <w:tcPr/>
          <w:p>
            <w:pPr>
              <w:pStyle w:val="Compact"/>
            </w:pPr>
            <w:r>
              <w:rPr>
                <w:lang w:val="en-GB"/>
              </w:rPr>
              <w:t xml:space="preserve">Scaleway</w:t>
            </w:r>
          </w:p>
        </w:tc>
      </w:tr>
      <w:tr>
        <w:trPr>
          <w:cantSplit/>
        </w:trPr>
        <w:tc>
          <w:tcPr/>
          <w:p>
            <w:pPr>
              <w:pStyle w:val="Compact"/>
            </w:pPr>
            <w:r>
              <w:rPr>
                <w:lang w:val="en-GB"/>
              </w:rPr>
              <w:t xml:space="preserve">Country of establishment</w:t>
            </w:r>
          </w:p>
        </w:tc>
        <w:tc>
          <w:tcPr/>
          <w:p>
            <w:pPr>
              <w:pStyle w:val="Compact"/>
            </w:pPr>
            <w:r>
              <w:rPr>
                <w:lang w:val="en-GB"/>
              </w:rPr>
              <w:t xml:space="preserve">France (EU)</w:t>
            </w:r>
          </w:p>
        </w:tc>
      </w:tr>
      <w:tr>
        <w:trPr>
          <w:cantSplit/>
        </w:trPr>
        <w:tc>
          <w:tcPr/>
          <w:p>
            <w:pPr>
              <w:pStyle w:val="Compact"/>
            </w:pPr>
            <w:r>
              <w:rPr>
                <w:lang w:val="en-GB"/>
              </w:rPr>
              <w:t xml:space="preserve">Role</w:t>
            </w:r>
          </w:p>
        </w:tc>
        <w:tc>
          <w:tcPr/>
          <w:p>
            <w:pPr>
              <w:pStyle w:val="Compact"/>
            </w:pPr>
            <w:r>
              <w:rPr>
                <w:lang w:val="en-GB"/>
              </w:rPr>
              <w:t xml:space="preserve">Storing encrypted backups</w:t>
            </w:r>
          </w:p>
        </w:tc>
      </w:tr>
      <w:tr>
        <w:trPr>
          <w:cantSplit/>
        </w:trPr>
        <w:tc>
          <w:tcPr/>
          <w:p>
            <w:pPr>
              <w:pStyle w:val="Compact"/>
            </w:pPr>
            <w:r>
              <w:rPr>
                <w:lang w:val="en-GB"/>
              </w:rPr>
              <w:t xml:space="preserve">Operations performed</w:t>
            </w:r>
          </w:p>
        </w:tc>
        <w:tc>
          <w:tcPr/>
          <w:p>
            <w:pPr>
              <w:pStyle w:val="Compact"/>
            </w:pPr>
            <w:r>
              <w:rPr>
                <w:lang w:val="en-GB"/>
              </w:rPr>
              <w:t xml:space="preserve">Object storage of outsourced backups</w:t>
            </w:r>
          </w:p>
        </w:tc>
      </w:tr>
      <w:tr>
        <w:trPr>
          <w:cantSplit/>
        </w:trPr>
        <w:tc>
          <w:tcPr/>
          <w:p>
            <w:pPr>
              <w:pStyle w:val="Compact"/>
            </w:pPr>
            <w:r>
              <w:rPr>
                <w:lang w:val="en-GB"/>
              </w:rPr>
              <w:t xml:space="preserve">Processing/storage location</w:t>
            </w:r>
          </w:p>
        </w:tc>
        <w:tc>
          <w:tcPr/>
          <w:p>
            <w:pPr>
              <w:pStyle w:val="Compact"/>
            </w:pPr>
            <w:r>
              <w:rPr>
                <w:b/>
                <w:bCs/>
                <w:lang w:val="en-GB"/>
              </w:rPr>
              <w:t xml:space="preserve">France (EU region)</w:t>
            </w:r>
          </w:p>
        </w:tc>
      </w:tr>
      <w:tr>
        <w:trPr>
          <w:cantSplit/>
        </w:trPr>
        <w:tc>
          <w:tcPr/>
          <w:p>
            <w:pPr>
              <w:pStyle w:val="Compact"/>
            </w:pPr>
            <w:r>
              <w:rPr>
                <w:lang w:val="en-GB"/>
              </w:rPr>
              <w:t xml:space="preserve">Human access to data</w:t>
            </w:r>
          </w:p>
        </w:tc>
        <w:tc>
          <w:tcPr/>
          <w:p>
            <w:pPr>
              <w:pStyle w:val="Compact"/>
            </w:pPr>
            <w:r>
              <w:rPr>
                <w:b/>
                <w:bCs/>
                <w:lang w:val="en-GB"/>
              </w:rPr>
              <w:t xml:space="preserve">No </w:t>
            </w:r>
            <w:r>
              <w:rPr>
                <w:lang w:val="en-GB"/>
              </w:rPr>
              <w:t xml:space="preserve"/>
            </w:r>
            <w:r>
              <w:rPr>
                <w:lang w:val="en-GB"/>
              </w:rPr>
              <w:t xml:space="preserve">— encrypted data with age </w:t>
            </w:r>
            <w:r>
              <w:rPr>
                <w:lang w:val="en-GB"/>
              </w:rPr>
              <w:t xml:space="preserve"/>
            </w:r>
            <w:r>
              <w:rPr>
                <w:b/>
                <w:bCs/>
                <w:lang w:val="en-GB"/>
              </w:rPr>
              <w:t xml:space="preserve">before </w:t>
            </w:r>
            <w:r>
              <w:rPr>
                <w:lang w:val="en-GB"/>
              </w:rPr>
              <w:t xml:space="preserve"/>
            </w:r>
            <w:r>
              <w:rPr>
                <w:lang w:val="en-GB"/>
              </w:rPr>
              <w:t xml:space="preserve">outsourcing; keys held by OHADJA (in EU). The service provider only holds unreadable encrypted blocks</w:t>
            </w:r>
          </w:p>
        </w:tc>
      </w:tr>
      <w:tr>
        <w:trPr>
          <w:cantSplit/>
        </w:trPr>
        <w:tc>
          <w:tcPr/>
          <w:p>
            <w:pPr>
              <w:pStyle w:val="Compact"/>
            </w:pPr>
            <w:r>
              <w:rPr>
                <w:lang w:val="en-GB"/>
              </w:rPr>
              <w:t xml:space="preserve">Contractual guarantees</w:t>
            </w:r>
          </w:p>
        </w:tc>
        <w:tc>
          <w:tcPr/>
          <w:p>
            <w:pPr>
              <w:pStyle w:val="Compact"/>
            </w:pPr>
            <w:r>
              <w:rPr>
                <w:lang w:val="en-GB"/>
              </w:rPr>
              <w:t xml:space="preserve">Service contract, commitments GDPR (service provider established and hosted in France)</w:t>
            </w:r>
          </w:p>
        </w:tc>
      </w:tr>
    </w:tbl>
    <w:p>
      <w:pPr>
        <w:pStyle w:val="BlockText"/>
      </w:pPr>
      <w:r>
        <w:rPr>
          <w:b/>
          <w:bCs/>
          <w:lang w:val="en-GB"/>
        </w:rPr>
        <w:t xml:space="preserve">Note. </w:t>
      </w:r>
      <w:r>
        <w:rPr>
          <w:lang w:val="en-GB"/>
        </w:rPr>
        <w:t xml:space="preserve"/>
      </w:r>
      <w:r>
        <w:rPr>
          <w:lang w:val="en-GB"/>
        </w:rPr>
        <w:t xml:space="preserve">The backup destination actually configured in production is </w:t>
      </w:r>
      <w:r>
        <w:rPr>
          <w:lang w:val="en-GB"/>
        </w:rPr>
        <w:t xml:space="preserve">Scaleway </w:t>
      </w:r>
      <w:r>
        <w:rPr>
          <w:b/>
          <w:bCs/>
          <w:lang w:val="en-GB"/>
        </w:rPr>
        <w:t xml:space="preserve">(France), </w:t>
      </w:r>
      <w:r>
        <w:rPr>
          <w:lang w:val="en-GB"/>
        </w:rPr>
        <w:t xml:space="preserve">verified on the production environment on 2026-07-24. Backblaze, once considered as an alternative, </w:t>
      </w:r>
      <w:r>
        <w:rPr>
          <w:lang w:val="en-GB"/>
        </w:rPr>
        <w:t xml:space="preserve"/>
      </w:r>
      <w:r>
        <w:rPr>
          <w:b/>
          <w:bCs/>
          <w:lang w:val="en-GB"/>
        </w:rPr>
        <w:t xml:space="preserve">is not used. </w:t>
      </w:r>
      <w:r>
        <w:rPr>
          <w:lang w:val="en-GB"/>
        </w:rPr>
        <w:t xml:space="preserve">The backup chain is thus entirely in the EU, the data also being encrypted before output and unreadable for the service provider.</w:t>
      </w:r>
    </w:p>
    <w:bookmarkEnd w:id="80"/>
    <w:bookmarkStart w:id="81" w:name="X5eda3f95e6ae0a3f98e9e21cefd17b111bd1d7f"/>
    <w:p>
      <w:pPr>
        <w:pStyle w:val="Heading3"/>
        <w:keepNext/>
        <w:keepLines/>
      </w:pPr>
      <w:r>
        <w:rPr>
          <w:color w:val="000000"/>
          <w:lang w:val="en-GB"/>
        </w:rPr>
        <w:t xml:space="preserve">2.3 GPU transcription — Dedicated GPU / Vast.ai (if enabled)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Entity</w:t>
            </w:r>
          </w:p>
        </w:tc>
        <w:tc>
          <w:tcPr/>
          <w:p>
            <w:pPr>
              <w:pStyle w:val="Compact"/>
            </w:pPr>
            <w:r>
              <w:rPr>
                <w:lang w:val="en-GB"/>
              </w:rPr>
              <w:t xml:space="preserve">Dedicated GPU server; Vast.ai when enabled</w:t>
            </w:r>
          </w:p>
        </w:tc>
      </w:tr>
      <w:tr>
        <w:trPr>
          <w:cantSplit/>
        </w:trPr>
        <w:tc>
          <w:tcPr/>
          <w:p>
            <w:pPr>
              <w:pStyle w:val="Compact"/>
            </w:pPr>
            <w:r>
              <w:rPr>
                <w:lang w:val="en-GB"/>
              </w:rPr>
              <w:t xml:space="preserve">Country of establishment</w:t>
            </w:r>
          </w:p>
        </w:tc>
        <w:tc>
          <w:tcPr/>
          <w:p>
            <w:pPr>
              <w:pStyle w:val="Compact"/>
            </w:pPr>
            <w:r>
              <w:rPr>
                <w:lang w:val="en-GB"/>
              </w:rPr>
              <w:t xml:space="preserve">Dedicated GPU: EU; Vast.ai: USA (marketplace)</w:t>
            </w:r>
          </w:p>
        </w:tc>
      </w:tr>
      <w:tr>
        <w:trPr>
          <w:cantSplit/>
        </w:trPr>
        <w:tc>
          <w:tcPr/>
          <w:p>
            <w:pPr>
              <w:pStyle w:val="Compact"/>
            </w:pPr>
            <w:r>
              <w:rPr>
                <w:lang w:val="en-GB"/>
              </w:rPr>
              <w:t xml:space="preserve">Role</w:t>
            </w:r>
          </w:p>
        </w:tc>
        <w:tc>
          <w:tcPr/>
          <w:p>
            <w:pPr>
              <w:pStyle w:val="Compact"/>
            </w:pPr>
            <w:r>
              <w:rPr>
                <w:lang w:val="en-GB"/>
              </w:rPr>
              <w:t xml:space="preserve">Transcription (whisperX) and diarization (pyannote)</w:t>
            </w:r>
          </w:p>
        </w:tc>
      </w:tr>
      <w:tr>
        <w:trPr>
          <w:cantSplit/>
        </w:trPr>
        <w:tc>
          <w:tcPr/>
          <w:p>
            <w:pPr>
              <w:pStyle w:val="Compact"/>
            </w:pPr>
            <w:r>
              <w:rPr>
                <w:lang w:val="en-GB"/>
              </w:rPr>
              <w:t xml:space="preserve">Operations performed</w:t>
            </w:r>
          </w:p>
        </w:tc>
        <w:tc>
          <w:tcPr/>
          <w:p>
            <w:pPr>
              <w:pStyle w:val="Compact"/>
            </w:pPr>
            <w:r>
              <w:rPr>
                <w:lang w:val="en-GB"/>
              </w:rPr>
              <w:t xml:space="preserve">Automatic transcription, positional diarization, where applicable ephemeral voice correlation</w:t>
            </w:r>
          </w:p>
        </w:tc>
      </w:tr>
      <w:tr>
        <w:trPr>
          <w:cantSplit/>
        </w:trPr>
        <w:tc>
          <w:tcPr/>
          <w:p>
            <w:pPr>
              <w:pStyle w:val="Compact"/>
            </w:pPr>
            <w:r>
              <w:rPr>
                <w:lang w:val="en-GB"/>
              </w:rPr>
              <w:t xml:space="preserve">Processing location</w:t>
            </w:r>
          </w:p>
        </w:tc>
        <w:tc>
          <w:tcPr/>
          <w:p>
            <w:pPr>
              <w:pStyle w:val="Compact"/>
            </w:pPr>
            <w:r>
              <w:rPr>
                <w:lang w:val="en-GB"/>
              </w:rPr>
              <w:t xml:space="preserve">EU when required by customer (machines selected in EU)</w:t>
            </w:r>
          </w:p>
        </w:tc>
      </w:tr>
      <w:tr>
        <w:trPr>
          <w:cantSplit/>
        </w:trPr>
        <w:tc>
          <w:tcPr/>
          <w:p>
            <w:pPr>
              <w:pStyle w:val="Compact"/>
            </w:pPr>
            <w:r>
              <w:rPr>
                <w:lang w:val="en-GB"/>
              </w:rPr>
              <w:t xml:space="preserve">Storage location</w:t>
            </w:r>
          </w:p>
        </w:tc>
        <w:tc>
          <w:tcPr/>
          <w:p>
            <w:pPr>
              <w:pStyle w:val="Compact"/>
            </w:pPr>
            <w:r>
              <w:rPr>
                <w:lang w:val="en-GB"/>
              </w:rPr>
              <w:t xml:space="preserve">No durable storage — data deleted after job</w:t>
            </w:r>
          </w:p>
        </w:tc>
      </w:tr>
      <w:tr>
        <w:trPr>
          <w:cantSplit/>
        </w:trPr>
        <w:tc>
          <w:tcPr/>
          <w:p>
            <w:pPr>
              <w:pStyle w:val="Compact"/>
            </w:pPr>
            <w:r>
              <w:rPr>
                <w:lang w:val="en-GB"/>
              </w:rPr>
              <w:t xml:space="preserve">Human access to data</w:t>
            </w:r>
          </w:p>
        </w:tc>
        <w:tc>
          <w:tcPr/>
          <w:p>
            <w:pPr>
              <w:pStyle w:val="Compact"/>
            </w:pPr>
            <w:r>
              <w:rPr>
                <w:b/>
                <w:bCs/>
                <w:lang w:val="en-GB"/>
              </w:rPr>
              <w:t xml:space="preserve">No </w:t>
            </w:r>
            <w:r>
              <w:rPr>
                <w:lang w:val="en-GB"/>
              </w:rPr>
              <w:t xml:space="preserve"/>
            </w:r>
            <w:r>
              <w:rPr>
                <w:lang w:val="en-GB"/>
              </w:rPr>
              <w:t xml:space="preserve">— automated processing; deletion at end of job</w:t>
            </w:r>
          </w:p>
        </w:tc>
      </w:tr>
      <w:tr>
        <w:trPr>
          <w:cantSplit/>
        </w:trPr>
        <w:tc>
          <w:tcPr/>
          <w:p>
            <w:pPr>
              <w:pStyle w:val="Compact"/>
            </w:pPr>
            <w:r>
              <w:rPr>
                <w:lang w:val="en-GB"/>
              </w:rPr>
              <w:t xml:space="preserve">Contractual guarantees</w:t>
            </w:r>
          </w:p>
        </w:tc>
        <w:tc>
          <w:tcPr/>
          <w:p>
            <w:pPr>
              <w:pStyle w:val="Compact"/>
            </w:pPr>
            <w:r>
              <w:rPr>
                <w:lang w:val="en-GB"/>
              </w:rPr>
              <w:t xml:space="preserve">Supplier contract/conditions; selection of UE resources when required; CCT or equivalent guarantees if outside the EU</w:t>
            </w:r>
          </w:p>
        </w:tc>
      </w:tr>
    </w:tbl>
    <w:bookmarkEnd w:id="81"/>
    <w:bookmarkStart w:id="82" w:name="X0b150814d8678abee802aa800d15a6e2f5b57ee"/>
    <w:p>
      <w:pPr>
        <w:pStyle w:val="Heading3"/>
        <w:keepNext/>
        <w:keepLines/>
      </w:pPr>
      <w:r>
        <w:rPr>
          <w:color w:val="000000"/>
          <w:lang w:val="en-GB"/>
        </w:rPr>
        <w:t xml:space="preserve">2.4 AI inference — controlled vLLM servers (primary channel)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Entity</w:t>
            </w:r>
          </w:p>
        </w:tc>
        <w:tc>
          <w:tcPr/>
          <w:p>
            <w:pPr>
              <w:pStyle w:val="Compact"/>
            </w:pPr>
            <w:r>
              <w:rPr>
                <w:lang w:val="en-GB"/>
              </w:rPr>
              <w:t xml:space="preserve">OHADJA (GPU servers mastered)</w:t>
            </w:r>
          </w:p>
        </w:tc>
      </w:tr>
      <w:tr>
        <w:trPr>
          <w:cantSplit/>
        </w:trPr>
        <w:tc>
          <w:tcPr/>
          <w:p>
            <w:pPr>
              <w:pStyle w:val="Compact"/>
            </w:pPr>
            <w:r>
              <w:rPr>
                <w:lang w:val="en-GB"/>
              </w:rPr>
              <w:t xml:space="preserve">Country of establishment</w:t>
            </w:r>
          </w:p>
        </w:tc>
        <w:tc>
          <w:tcPr/>
          <w:p>
            <w:pPr>
              <w:pStyle w:val="Compact"/>
            </w:pPr>
            <w:r>
              <w:rPr>
                <w:lang w:val="en-GB"/>
              </w:rPr>
              <w:t xml:space="preserve">France / EU</w:t>
            </w:r>
          </w:p>
        </w:tc>
      </w:tr>
      <w:tr>
        <w:trPr>
          <w:cantSplit/>
        </w:trPr>
        <w:tc>
          <w:tcPr/>
          <w:p>
            <w:pPr>
              <w:pStyle w:val="Compact"/>
            </w:pPr>
            <w:r>
              <w:rPr>
                <w:lang w:val="en-GB"/>
              </w:rPr>
              <w:t xml:space="preserve">Role</w:t>
            </w:r>
          </w:p>
        </w:tc>
        <w:tc>
          <w:tcPr/>
          <w:p>
            <w:pPr>
              <w:pStyle w:val="Compact"/>
            </w:pPr>
            <w:r>
              <w:rPr>
                <w:b/>
                <w:bCs/>
                <w:lang w:val="en-GB"/>
              </w:rPr>
              <w:t xml:space="preserve">Primary route </w:t>
            </w:r>
            <w:r>
              <w:rPr>
                <w:lang w:val="en-GB"/>
              </w:rPr>
              <w:t xml:space="preserve"/>
            </w:r>
            <w:r>
              <w:rPr>
                <w:lang w:val="en-GB"/>
              </w:rPr>
              <w:t xml:space="preserve">of language model inference (AI functions)</w:t>
            </w:r>
          </w:p>
        </w:tc>
      </w:tr>
      <w:tr>
        <w:trPr>
          <w:cantSplit/>
        </w:trPr>
        <w:tc>
          <w:tcPr/>
          <w:p>
            <w:pPr>
              <w:pStyle w:val="Compact"/>
            </w:pPr>
            <w:r>
              <w:rPr>
                <w:lang w:val="en-GB"/>
              </w:rPr>
              <w:t xml:space="preserve">Operations performed</w:t>
            </w:r>
          </w:p>
        </w:tc>
        <w:tc>
          <w:tcPr/>
          <w:p>
            <w:pPr>
              <w:pStyle w:val="Compact"/>
            </w:pPr>
            <w:r>
              <w:rPr>
                <w:lang w:val="en-GB"/>
              </w:rPr>
              <w:t xml:space="preserve">Inference of open-weights </w:t>
            </w:r>
            <w:r>
              <w:rPr>
                <w:lang w:val="en-GB"/>
              </w:rPr>
              <w:t xml:space="preserve"/>
            </w:r>
            <w:r>
              <w:rPr>
                <w:b/>
                <w:bCs/>
                <w:lang w:val="en-GB"/>
              </w:rPr>
              <w:t xml:space="preserve">models </w:t>
            </w:r>
            <w:r>
              <w:rPr>
                <w:lang w:val="en-GB"/>
              </w:rPr>
              <w:t xml:space="preserve"/>
            </w:r>
            <w:r>
              <w:rPr>
                <w:lang w:val="en-GB"/>
              </w:rPr>
              <w:t xml:space="preserve">(Qwen 3.6 or Mistral [versions to be confirmed]) via vLLM</w:t>
            </w:r>
          </w:p>
        </w:tc>
      </w:tr>
      <w:tr>
        <w:trPr>
          <w:cantSplit/>
        </w:trPr>
        <w:tc>
          <w:tcPr/>
          <w:p>
            <w:pPr>
              <w:pStyle w:val="Compact"/>
            </w:pPr>
            <w:r>
              <w:rPr>
                <w:lang w:val="en-GB"/>
              </w:rPr>
              <w:t xml:space="preserve">Processing location</w:t>
            </w:r>
          </w:p>
        </w:tc>
        <w:tc>
          <w:tcPr/>
          <w:p>
            <w:pPr>
              <w:pStyle w:val="Compact"/>
            </w:pPr>
            <w:r>
              <w:rPr>
                <w:b/>
                <w:bCs/>
                <w:lang w:val="en-GB"/>
              </w:rPr>
              <w:t xml:space="preserve">EU — mainly Strasbourg and Paris </w:t>
            </w:r>
            <w:r>
              <w:rPr>
                <w:lang w:val="en-GB"/>
              </w:rPr>
              <w:t xml:space="preserve"/>
            </w:r>
            <w:r>
              <w:rPr>
                <w:lang w:val="en-GB"/>
              </w:rPr>
              <w:t xml:space="preserve">(or Client infrastructure in Option B)</w:t>
            </w:r>
          </w:p>
        </w:tc>
      </w:tr>
      <w:tr>
        <w:trPr>
          <w:cantSplit/>
        </w:trPr>
        <w:tc>
          <w:tcPr/>
          <w:p>
            <w:pPr>
              <w:pStyle w:val="Compact"/>
            </w:pPr>
            <w:r>
              <w:rPr>
                <w:lang w:val="en-GB"/>
              </w:rPr>
              <w:t xml:space="preserve">Storage location</w:t>
            </w:r>
          </w:p>
        </w:tc>
        <w:tc>
          <w:tcPr/>
          <w:p>
            <w:pPr>
              <w:pStyle w:val="Compact"/>
            </w:pPr>
            <w:r>
              <w:rPr>
                <w:lang w:val="en-GB"/>
              </w:rPr>
              <w:t xml:space="preserve">No lasting storage; no </w:t>
            </w:r>
            <w:r>
              <w:rPr>
                <w:lang w:val="en-GB"/>
              </w:rPr>
              <w:t xml:space="preserve"/>
            </w:r>
            <w:r>
              <w:rPr>
                <w:b/>
                <w:bCs/>
                <w:lang w:val="en-GB"/>
              </w:rPr>
              <w:t xml:space="preserve">transmission to a third party provider</w:t>
            </w:r>
          </w:p>
        </w:tc>
      </w:tr>
      <w:tr>
        <w:trPr>
          <w:cantSplit/>
        </w:trPr>
        <w:tc>
          <w:tcPr/>
          <w:p>
            <w:pPr>
              <w:pStyle w:val="Compact"/>
            </w:pPr>
            <w:r>
              <w:rPr>
                <w:lang w:val="en-GB"/>
              </w:rPr>
              <w:t xml:space="preserve">Human access to data</w:t>
            </w:r>
          </w:p>
        </w:tc>
        <w:tc>
          <w:tcPr/>
          <w:p>
            <w:pPr>
              <w:pStyle w:val="Compact"/>
            </w:pPr>
            <w:r>
              <w:rPr>
                <w:b/>
                <w:bCs/>
                <w:lang w:val="en-GB"/>
              </w:rPr>
              <w:t xml:space="preserve">No </w:t>
            </w:r>
            <w:r>
              <w:rPr>
                <w:lang w:val="en-GB"/>
              </w:rPr>
              <w:t xml:space="preserve"/>
            </w:r>
            <w:r>
              <w:rPr>
                <w:lang w:val="en-GB"/>
              </w:rPr>
              <w:t xml:space="preserve">— automated processing on controlled servers</w:t>
            </w:r>
          </w:p>
        </w:tc>
      </w:tr>
      <w:tr>
        <w:trPr>
          <w:cantSplit/>
        </w:trPr>
        <w:tc>
          <w:tcPr/>
          <w:p>
            <w:pPr>
              <w:pStyle w:val="Compact"/>
            </w:pPr>
            <w:r>
              <w:rPr>
                <w:lang w:val="en-GB"/>
              </w:rPr>
              <w:t xml:space="preserve">Contractual guarantees</w:t>
            </w:r>
          </w:p>
        </w:tc>
        <w:tc>
          <w:tcPr/>
          <w:p>
            <w:pPr>
              <w:pStyle w:val="Compact"/>
            </w:pPr>
            <w:r>
              <w:rPr>
                <w:lang w:val="en-GB"/>
              </w:rPr>
              <w:t xml:space="preserve">Servers under control of OHADJA; no-train; DPA</w:t>
            </w:r>
          </w:p>
        </w:tc>
      </w:tr>
    </w:tbl>
    <w:p>
      <w:pPr>
        <w:pStyle w:val="BlockText"/>
      </w:pPr>
      <w:r>
        <w:rPr>
          <w:lang w:val="en-GB"/>
        </w:rPr>
        <w:t xml:space="preserve">The primary route does not </w:t>
      </w:r>
      <w:r>
        <w:rPr>
          <w:lang w:val="en-GB"/>
        </w:rPr>
        <w:t xml:space="preserve"/>
      </w:r>
      <w:r>
        <w:rPr>
          <w:b/>
          <w:bCs/>
          <w:lang w:val="en-GB"/>
        </w:rPr>
        <w:t xml:space="preserve">involve any third-party inference </w:t>
      </w:r>
      <w:r>
        <w:rPr>
          <w:lang w:val="en-GB"/>
        </w:rPr>
        <w:t xml:space="preserve">or </w:t>
      </w:r>
      <w:r>
        <w:rPr>
          <w:lang w:val="en-GB"/>
        </w:rPr>
        <w:t xml:space="preserve">transfer outside the EEA. Depending on their hosting method, these GPU servers can rely on the resources of a duly supervised EU host </w:t>
      </w:r>
      <w:r>
        <w:rPr>
          <w:lang w:val="en-GB"/>
        </w:rPr>
        <w:t xml:space="preserve"/>
      </w:r>
      <w:r>
        <w:rPr>
          <w:b/>
          <w:bCs/>
          <w:lang w:val="en-GB"/>
        </w:rPr>
        <w:t xml:space="preserve">— [TO BE CONFIRMED: host of vLLM GPU </w:t>
      </w:r>
      <w:r>
        <w:rPr>
          <w:lang w:val="en-GB"/>
        </w:rPr>
        <w:t xml:space="preserve">servers].</w:t>
      </w:r>
    </w:p>
    <w:bookmarkEnd w:id="82"/>
    <w:bookmarkStart w:id="83" w:name="Xe24c5cb2d6d45e1fe077f14e9da0e604d7d99b4"/>
    <w:p>
      <w:pPr>
        <w:pStyle w:val="Heading3"/>
        <w:keepNext/>
        <w:keepLines/>
      </w:pPr>
      <w:r>
        <w:rPr>
          <w:color w:val="000000"/>
          <w:lang w:val="en-GB"/>
        </w:rPr>
        <w:t xml:space="preserve">2.5 Backup AI Gateway — OpenRouter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Entity</w:t>
            </w:r>
          </w:p>
        </w:tc>
        <w:tc>
          <w:tcPr/>
          <w:p>
            <w:pPr>
              <w:pStyle w:val="Compact"/>
            </w:pPr>
            <w:r>
              <w:rPr>
                <w:lang w:val="en-GB"/>
              </w:rPr>
              <w:t xml:space="preserve">OpenRouter Inc.</w:t>
            </w:r>
          </w:p>
        </w:tc>
      </w:tr>
      <w:tr>
        <w:trPr>
          <w:cantSplit/>
        </w:trPr>
        <w:tc>
          <w:tcPr/>
          <w:p>
            <w:pPr>
              <w:pStyle w:val="Compact"/>
            </w:pPr>
            <w:r>
              <w:rPr>
                <w:lang w:val="en-GB"/>
              </w:rPr>
              <w:t xml:space="preserve">Country of establishment</w:t>
            </w:r>
          </w:p>
        </w:tc>
        <w:tc>
          <w:tcPr/>
          <w:p>
            <w:pPr>
              <w:pStyle w:val="Compact"/>
            </w:pPr>
            <w:r>
              <w:rPr>
                <w:lang w:val="en-GB"/>
              </w:rPr>
              <w:t xml:space="preserve">USA</w:t>
            </w:r>
          </w:p>
        </w:tc>
      </w:tr>
      <w:tr>
        <w:trPr>
          <w:cantSplit/>
        </w:trPr>
        <w:tc>
          <w:tcPr/>
          <w:p>
            <w:pPr>
              <w:pStyle w:val="Compact"/>
            </w:pPr>
            <w:r>
              <w:rPr>
                <w:lang w:val="en-GB"/>
              </w:rPr>
              <w:t xml:space="preserve">Role</w:t>
            </w:r>
          </w:p>
        </w:tc>
        <w:tc>
          <w:tcPr/>
          <w:p>
            <w:pPr>
              <w:pStyle w:val="Compact"/>
            </w:pPr>
            <w:r>
              <w:rPr>
                <w:lang w:val="en-GB"/>
              </w:rPr>
              <w:t xml:space="preserve">Failover language model access </w:t>
            </w:r>
            <w:r>
              <w:rPr>
                <w:lang w:val="en-GB"/>
              </w:rPr>
              <w:t xml:space="preserve"/>
            </w:r>
            <w:r>
              <w:rPr>
                <w:b/>
                <w:bCs/>
                <w:lang w:val="en-GB"/>
              </w:rPr>
              <w:t xml:space="preserve">gateway only, </w:t>
            </w:r>
            <w:r>
              <w:rPr>
                <w:lang w:val="en-GB"/>
              </w:rPr>
              <w:t xml:space="preserve">deactivable by organization</w:t>
            </w:r>
          </w:p>
        </w:tc>
      </w:tr>
      <w:tr>
        <w:trPr>
          <w:cantSplit/>
        </w:trPr>
        <w:tc>
          <w:tcPr/>
          <w:p>
            <w:pPr>
              <w:pStyle w:val="Compact"/>
            </w:pPr>
            <w:r>
              <w:rPr>
                <w:lang w:val="en-GB"/>
              </w:rPr>
              <w:t xml:space="preserve">Operations performed</w:t>
            </w:r>
          </w:p>
        </w:tc>
        <w:tc>
          <w:tcPr/>
          <w:p>
            <w:pPr>
              <w:pStyle w:val="Compact"/>
            </w:pPr>
            <w:r>
              <w:rPr>
                <w:lang w:val="en-GB"/>
              </w:rPr>
              <w:t xml:space="preserve">Routing of inference requests in case of unavailability of the primary channel</w:t>
            </w:r>
          </w:p>
        </w:tc>
      </w:tr>
      <w:tr>
        <w:trPr>
          <w:cantSplit/>
        </w:trPr>
        <w:tc>
          <w:tcPr/>
          <w:p>
            <w:pPr>
              <w:pStyle w:val="Compact"/>
            </w:pPr>
            <w:r>
              <w:rPr>
                <w:lang w:val="en-GB"/>
              </w:rPr>
              <w:t xml:space="preserve">Processing location</w:t>
            </w:r>
          </w:p>
        </w:tc>
        <w:tc>
          <w:tcPr/>
          <w:p>
            <w:pPr>
              <w:pStyle w:val="Compact"/>
            </w:pPr>
            <w:r>
              <w:rPr>
                <w:lang w:val="en-GB"/>
              </w:rPr>
              <w:t xml:space="preserve">US routing possible depending on the model</w:t>
            </w:r>
          </w:p>
        </w:tc>
      </w:tr>
      <w:tr>
        <w:trPr>
          <w:cantSplit/>
        </w:trPr>
        <w:tc>
          <w:tcPr/>
          <w:p>
            <w:pPr>
              <w:pStyle w:val="Compact"/>
            </w:pPr>
            <w:r>
              <w:rPr>
                <w:lang w:val="en-GB"/>
              </w:rPr>
              <w:t xml:space="preserve">Storage location</w:t>
            </w:r>
          </w:p>
        </w:tc>
        <w:tc>
          <w:tcPr/>
          <w:p>
            <w:pPr>
              <w:pStyle w:val="Compact"/>
            </w:pPr>
            <w:r>
              <w:rPr>
                <w:lang w:val="en-GB"/>
              </w:rPr>
              <w:t xml:space="preserve">No lasting storage; no-train enabled</w:t>
            </w:r>
          </w:p>
        </w:tc>
      </w:tr>
      <w:tr>
        <w:trPr>
          <w:cantSplit/>
        </w:trPr>
        <w:tc>
          <w:tcPr/>
          <w:p>
            <w:pPr>
              <w:pStyle w:val="Compact"/>
            </w:pPr>
            <w:r>
              <w:rPr>
                <w:lang w:val="en-GB"/>
              </w:rPr>
              <w:t xml:space="preserve">Human access to data</w:t>
            </w:r>
          </w:p>
        </w:tc>
        <w:tc>
          <w:tcPr/>
          <w:p>
            <w:pPr>
              <w:pStyle w:val="Compact"/>
            </w:pPr>
            <w:r>
              <w:rPr>
                <w:b/>
                <w:bCs/>
                <w:lang w:val="en-GB"/>
              </w:rPr>
              <w:t xml:space="preserve">No </w:t>
            </w:r>
            <w:r>
              <w:rPr>
                <w:lang w:val="en-GB"/>
              </w:rPr>
              <w:t xml:space="preserve"/>
            </w:r>
            <w:r>
              <w:rPr>
                <w:lang w:val="en-GB"/>
              </w:rPr>
              <w:t xml:space="preserve">— automated technical access; prompts = customer selected data, minimized</w:t>
            </w:r>
          </w:p>
        </w:tc>
      </w:tr>
      <w:tr>
        <w:trPr>
          <w:cantSplit/>
        </w:trPr>
        <w:tc>
          <w:tcPr/>
          <w:p>
            <w:pPr>
              <w:pStyle w:val="Compact"/>
            </w:pPr>
            <w:r>
              <w:rPr>
                <w:lang w:val="en-GB"/>
              </w:rPr>
              <w:t xml:space="preserve">Contractual guarantees</w:t>
            </w:r>
          </w:p>
        </w:tc>
        <w:tc>
          <w:tcPr/>
          <w:p>
            <w:pPr>
              <w:pStyle w:val="Compact"/>
            </w:pPr>
            <w:r>
              <w:rPr>
                <w:lang w:val="en-GB"/>
              </w:rPr>
              <w:t xml:space="preserve">Supplier conditions, no-train flag, CCT if applicable, additional measures (see OHA-RGPD-04)</w:t>
            </w:r>
          </w:p>
        </w:tc>
      </w:tr>
    </w:tbl>
    <w:bookmarkEnd w:id="83"/>
    <w:bookmarkStart w:id="84" w:name="X7a9d209f5e73c542f519287662e80a7a58cad7d"/>
    <w:p>
      <w:pPr>
        <w:pStyle w:val="Heading3"/>
        <w:keepNext/>
        <w:keepLines/>
      </w:pPr>
      <w:r>
        <w:rPr>
          <w:color w:val="000000"/>
          <w:lang w:val="en-GB"/>
        </w:rPr>
        <w:t xml:space="preserve">2.6 Model providers via OpenRouter (fallback route) — Anthropic, OpenAI…</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Entity</w:t>
            </w:r>
          </w:p>
        </w:tc>
        <w:tc>
          <w:tcPr/>
          <w:p>
            <w:pPr>
              <w:pStyle w:val="Compact"/>
            </w:pPr>
            <w:r>
              <w:rPr>
                <w:lang w:val="en-GB"/>
              </w:rPr>
              <w:t xml:space="preserve">Configured model providers (Anthropic, OpenAI…)</w:t>
            </w:r>
          </w:p>
        </w:tc>
      </w:tr>
      <w:tr>
        <w:trPr>
          <w:cantSplit/>
        </w:trPr>
        <w:tc>
          <w:tcPr/>
          <w:p>
            <w:pPr>
              <w:pStyle w:val="Compact"/>
            </w:pPr>
            <w:r>
              <w:rPr>
                <w:lang w:val="en-GB"/>
              </w:rPr>
              <w:t xml:space="preserve">Country of establishment</w:t>
            </w:r>
          </w:p>
        </w:tc>
        <w:tc>
          <w:tcPr/>
          <w:p>
            <w:pPr>
              <w:pStyle w:val="Compact"/>
            </w:pPr>
            <w:r>
              <w:rPr>
                <w:lang w:val="en-GB"/>
              </w:rPr>
              <w:t xml:space="preserve">USA</w:t>
            </w:r>
          </w:p>
        </w:tc>
      </w:tr>
      <w:tr>
        <w:trPr>
          <w:cantSplit/>
        </w:trPr>
        <w:tc>
          <w:tcPr/>
          <w:p>
            <w:pPr>
              <w:pStyle w:val="Compact"/>
            </w:pPr>
            <w:r>
              <w:rPr>
                <w:lang w:val="en-GB"/>
              </w:rPr>
              <w:t xml:space="preserve">Role</w:t>
            </w:r>
          </w:p>
        </w:tc>
        <w:tc>
          <w:tcPr/>
          <w:p>
            <w:pPr>
              <w:pStyle w:val="Compact"/>
            </w:pPr>
            <w:r>
              <w:rPr>
                <w:lang w:val="en-GB"/>
              </w:rPr>
              <w:t xml:space="preserve">Inference of language models </w:t>
            </w:r>
            <w:r>
              <w:rPr>
                <w:lang w:val="en-GB"/>
              </w:rPr>
              <w:t xml:space="preserve"/>
            </w:r>
            <w:r>
              <w:rPr>
                <w:b/>
                <w:bCs/>
                <w:lang w:val="en-GB"/>
              </w:rPr>
              <w:t xml:space="preserve">as fallback only</w:t>
            </w:r>
          </w:p>
        </w:tc>
      </w:tr>
      <w:tr>
        <w:trPr>
          <w:cantSplit/>
        </w:trPr>
        <w:tc>
          <w:tcPr/>
          <w:p>
            <w:pPr>
              <w:pStyle w:val="Compact"/>
            </w:pPr>
            <w:r>
              <w:rPr>
                <w:lang w:val="en-GB"/>
              </w:rPr>
              <w:t xml:space="preserve">Operations performed</w:t>
            </w:r>
          </w:p>
        </w:tc>
        <w:tc>
          <w:tcPr/>
          <w:p>
            <w:pPr>
              <w:pStyle w:val="Compact"/>
            </w:pPr>
            <w:r>
              <w:rPr>
                <w:lang w:val="en-GB"/>
              </w:rPr>
              <w:t xml:space="preserve">Generation of text (correction, summary, report, analysis) based solely on customer requests, in the event of a switch to backup</w:t>
            </w:r>
          </w:p>
        </w:tc>
      </w:tr>
      <w:tr>
        <w:trPr>
          <w:cantSplit/>
        </w:trPr>
        <w:tc>
          <w:tcPr/>
          <w:p>
            <w:pPr>
              <w:pStyle w:val="Compact"/>
            </w:pPr>
            <w:r>
              <w:rPr>
                <w:lang w:val="en-GB"/>
              </w:rPr>
              <w:t xml:space="preserve">Processing location</w:t>
            </w:r>
          </w:p>
        </w:tc>
        <w:tc>
          <w:tcPr/>
          <w:p>
            <w:pPr>
              <w:pStyle w:val="Compact"/>
            </w:pPr>
            <w:r>
              <w:rPr>
                <w:lang w:val="en-GB"/>
              </w:rPr>
              <w:t xml:space="preserve">USA/EU depending on model</w:t>
            </w:r>
          </w:p>
        </w:tc>
      </w:tr>
      <w:tr>
        <w:trPr>
          <w:cantSplit/>
        </w:trPr>
        <w:tc>
          <w:tcPr/>
          <w:p>
            <w:pPr>
              <w:pStyle w:val="Compact"/>
            </w:pPr>
            <w:r>
              <w:rPr>
                <w:lang w:val="en-GB"/>
              </w:rPr>
              <w:t xml:space="preserve">Storage location</w:t>
            </w:r>
          </w:p>
        </w:tc>
        <w:tc>
          <w:tcPr/>
          <w:p>
            <w:pPr>
              <w:pStyle w:val="Compact"/>
            </w:pPr>
            <w:r>
              <w:rPr>
                <w:lang w:val="en-GB"/>
              </w:rPr>
              <w:t xml:space="preserve">Retention limited according to the supplier's DPA; no data training</w:t>
            </w:r>
          </w:p>
        </w:tc>
      </w:tr>
      <w:tr>
        <w:trPr>
          <w:cantSplit/>
        </w:trPr>
        <w:tc>
          <w:tcPr/>
          <w:p>
            <w:pPr>
              <w:pStyle w:val="Compact"/>
            </w:pPr>
            <w:r>
              <w:rPr>
                <w:lang w:val="en-GB"/>
              </w:rPr>
              <w:t xml:space="preserve">Human access to data</w:t>
            </w:r>
          </w:p>
        </w:tc>
        <w:tc>
          <w:tcPr/>
          <w:p>
            <w:pPr>
              <w:pStyle w:val="Compact"/>
            </w:pPr>
            <w:r>
              <w:rPr>
                <w:lang w:val="en-GB"/>
              </w:rPr>
              <w:t xml:space="preserve">Supervised by the supplier's DPA; no human access on the OHADJA side</w:t>
            </w:r>
          </w:p>
        </w:tc>
      </w:tr>
      <w:tr>
        <w:trPr>
          <w:cantSplit/>
        </w:trPr>
        <w:tc>
          <w:tcPr/>
          <w:p>
            <w:pPr>
              <w:pStyle w:val="Compact"/>
            </w:pPr>
            <w:r>
              <w:rPr>
                <w:lang w:val="en-GB"/>
              </w:rPr>
              <w:t xml:space="preserve">Contractual guarantees</w:t>
            </w:r>
          </w:p>
        </w:tc>
        <w:tc>
          <w:tcPr/>
          <w:p>
            <w:pPr>
              <w:pStyle w:val="Compact"/>
            </w:pPr>
            <w:r>
              <w:rPr>
                <w:lang w:val="en-GB"/>
              </w:rPr>
              <w:t xml:space="preserve">Supplier DPA, no-train, CCT if applicable; exact retention [TO BE COMPLETED by supplier]</w:t>
            </w:r>
          </w:p>
        </w:tc>
      </w:tr>
    </w:tbl>
    <w:bookmarkEnd w:id="84"/>
    <w:bookmarkStart w:id="85" w:name="X739d67500347b1e3573abccc1a95744451fddf3"/>
    <w:p>
      <w:pPr>
        <w:pStyle w:val="Heading3"/>
        <w:keepNext/>
        <w:keepLines/>
      </w:pPr>
      <w:r>
        <w:rPr>
          <w:color w:val="000000"/>
          <w:lang w:val="en-GB"/>
        </w:rPr>
        <w:t xml:space="preserve">2.7 Transactional email (if activated)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Entity</w:t>
            </w:r>
          </w:p>
        </w:tc>
        <w:tc>
          <w:tcPr/>
          <w:p>
            <w:pPr>
              <w:pStyle w:val="Compact"/>
            </w:pPr>
            <w:r>
              <w:rPr>
                <w:lang w:val="en-GB"/>
              </w:rPr>
              <w:t xml:space="preserve">Transactional email service provider</w:t>
            </w:r>
          </w:p>
        </w:tc>
      </w:tr>
      <w:tr>
        <w:trPr>
          <w:cantSplit/>
        </w:trPr>
        <w:tc>
          <w:tcPr/>
          <w:p>
            <w:pPr>
              <w:pStyle w:val="Compact"/>
            </w:pPr>
            <w:r>
              <w:rPr>
                <w:lang w:val="en-GB"/>
              </w:rPr>
              <w:t xml:space="preserve">Country of establishment</w:t>
            </w:r>
          </w:p>
        </w:tc>
        <w:tc>
          <w:tcPr/>
          <w:p>
            <w:pPr>
              <w:pStyle w:val="Compact"/>
            </w:pPr>
            <w:r>
              <w:rPr>
                <w:lang w:val="en-GB"/>
              </w:rPr>
              <w:t xml:space="preserve">[TO BE CONFIRMED]</w:t>
            </w:r>
          </w:p>
        </w:tc>
      </w:tr>
      <w:tr>
        <w:trPr>
          <w:cantSplit/>
        </w:trPr>
        <w:tc>
          <w:tcPr/>
          <w:p>
            <w:pPr>
              <w:pStyle w:val="Compact"/>
            </w:pPr>
            <w:r>
              <w:rPr>
                <w:lang w:val="en-GB"/>
              </w:rPr>
              <w:t xml:space="preserve">Role</w:t>
            </w:r>
          </w:p>
        </w:tc>
        <w:tc>
          <w:tcPr/>
          <w:p>
            <w:pPr>
              <w:pStyle w:val="Compact"/>
            </w:pPr>
            <w:r>
              <w:rPr>
                <w:lang w:val="en-GB"/>
              </w:rPr>
              <w:t xml:space="preserve">Sending service emails (invitations, resets, technical notifications)</w:t>
            </w:r>
          </w:p>
        </w:tc>
      </w:tr>
      <w:tr>
        <w:trPr>
          <w:cantSplit/>
        </w:trPr>
        <w:tc>
          <w:tcPr/>
          <w:p>
            <w:pPr>
              <w:pStyle w:val="Compact"/>
            </w:pPr>
            <w:r>
              <w:rPr>
                <w:lang w:val="en-GB"/>
              </w:rPr>
              <w:t xml:space="preserve">Operations performed</w:t>
            </w:r>
          </w:p>
        </w:tc>
        <w:tc>
          <w:tcPr/>
          <w:p>
            <w:pPr>
              <w:pStyle w:val="Compact"/>
            </w:pPr>
            <w:r>
              <w:rPr>
                <w:lang w:val="en-GB"/>
              </w:rPr>
              <w:t xml:space="preserve">Routing of service emails</w:t>
            </w:r>
          </w:p>
        </w:tc>
      </w:tr>
      <w:tr>
        <w:trPr>
          <w:cantSplit/>
        </w:trPr>
        <w:tc>
          <w:tcPr/>
          <w:p>
            <w:pPr>
              <w:pStyle w:val="Compact"/>
            </w:pPr>
            <w:r>
              <w:rPr>
                <w:lang w:val="en-GB"/>
              </w:rPr>
              <w:t xml:space="preserve">Processing/storage location</w:t>
            </w:r>
          </w:p>
        </w:tc>
        <w:tc>
          <w:tcPr/>
          <w:p>
            <w:pPr>
              <w:pStyle w:val="Compact"/>
            </w:pPr>
            <w:r>
              <w:rPr>
                <w:lang w:val="en-GB"/>
              </w:rPr>
              <w:t xml:space="preserve">[TO BE CONFIRMED – EU preferred]</w:t>
            </w:r>
          </w:p>
        </w:tc>
      </w:tr>
      <w:tr>
        <w:trPr>
          <w:cantSplit/>
        </w:trPr>
        <w:tc>
          <w:tcPr/>
          <w:p>
            <w:pPr>
              <w:pStyle w:val="Compact"/>
            </w:pPr>
            <w:r>
              <w:rPr>
                <w:lang w:val="en-GB"/>
              </w:rPr>
              <w:t xml:space="preserve">Human access to data</w:t>
            </w:r>
          </w:p>
        </w:tc>
        <w:tc>
          <w:tcPr/>
          <w:p>
            <w:pPr>
              <w:pStyle w:val="Compact"/>
            </w:pPr>
            <w:r>
              <w:rPr>
                <w:b/>
                <w:bCs/>
                <w:lang w:val="en-GB"/>
              </w:rPr>
              <w:t xml:space="preserve">No</w:t>
            </w:r>
          </w:p>
        </w:tc>
      </w:tr>
      <w:tr>
        <w:trPr>
          <w:cantSplit/>
        </w:trPr>
        <w:tc>
          <w:tcPr/>
          <w:p>
            <w:pPr>
              <w:pStyle w:val="Compact"/>
            </w:pPr>
            <w:r>
              <w:rPr>
                <w:lang w:val="en-GB"/>
              </w:rPr>
              <w:t xml:space="preserve">Contractual guarantees</w:t>
            </w:r>
          </w:p>
        </w:tc>
        <w:tc>
          <w:tcPr/>
          <w:p>
            <w:pPr>
              <w:pStyle w:val="Compact"/>
            </w:pPr>
            <w:r>
              <w:rPr>
                <w:lang w:val="en-GB"/>
              </w:rPr>
              <w:t xml:space="preserve">Service contract, supplier DPA, CCT if outside the EU — [TO BE CONFIRMED]</w:t>
            </w:r>
          </w:p>
        </w:tc>
      </w:tr>
    </w:tbl>
    <w:bookmarkEnd w:id="85"/>
    <w:bookmarkStart w:id="86" w:name="X2a3999304a2b98c303cb3c8bf84bf7852a985ad"/>
    <w:p>
      <w:pPr>
        <w:pStyle w:val="Heading3"/>
        <w:keepNext/>
        <w:keepLines/>
      </w:pPr>
      <w:r>
        <w:rPr>
          <w:color w:val="000000"/>
          <w:lang w:val="en-GB"/>
        </w:rPr>
        <w:t xml:space="preserve">2.8 Supervision and safety supervision</w:t>
      </w:r>
    </w:p>
    <w:p>
      <w:pPr>
        <w:pStyle w:val="FirstParagraph"/>
      </w:pPr>
      <w:r>
        <w:rPr>
          <w:lang w:val="en-GB"/>
        </w:rPr>
        <w:t xml:space="preserve">Technical supervision (queue, disk, certificates, dependencies) and security supervision are provided </w:t>
      </w:r>
      <w:r>
        <w:rPr>
          <w:lang w:val="en-GB"/>
        </w:rPr>
        <w:t xml:space="preserve"/>
      </w:r>
      <w:r>
        <w:rPr>
          <w:b/>
          <w:bCs/>
          <w:lang w:val="en-GB"/>
        </w:rPr>
        <w:t xml:space="preserve">directly by OHADJA, </w:t>
      </w:r>
      <w:r>
        <w:rPr>
          <w:lang w:val="en-GB"/>
        </w:rPr>
        <w:t xml:space="preserve">without a third-party provider. No subprocessor intervenes in this capacity.</w:t>
      </w:r>
    </w:p>
    <w:bookmarkEnd w:id="86"/>
    <w:bookmarkEnd w:id="87"/>
    <w:bookmarkStart w:id="88" w:name="X0a7a632d6fa131b667612b4790ffc99111a837a"/>
    <w:p>
      <w:pPr>
        <w:pStyle w:val="Heading2"/>
        <w:keepNext/>
        <w:keepLines/>
      </w:pPr>
      <w:r>
        <w:rPr>
          <w:color w:val="000000"/>
          <w:lang w:val="en-GB"/>
        </w:rPr>
        <w:t xml:space="preserve">3. Summary table — Option A</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Processor</w:t>
            </w:r>
          </w:p>
        </w:tc>
        <w:tc>
          <w:tcPr>
            <w:tcW w:type="dxa" w:w="1872"/>
            <w:tcMar>
              <w:left w:type="dxa" w:w="80"/>
              <w:right w:type="dxa" w:w="80"/>
            </w:tcMar>
          </w:tcPr>
          <w:p>
            <w:pPr>
              <w:pStyle w:val="Compact"/>
            </w:pPr>
            <w:r>
              <w:rPr>
                <w:sz w:val="19"/>
                <w:szCs w:val="19"/>
                <w:lang w:val="en-GB"/>
              </w:rPr>
              <w:t xml:space="preserve">Country of establishment</w:t>
            </w:r>
          </w:p>
        </w:tc>
        <w:tc>
          <w:tcPr>
            <w:tcW w:type="dxa" w:w="1872"/>
            <w:tcMar>
              <w:left w:type="dxa" w:w="80"/>
              <w:right w:type="dxa" w:w="80"/>
            </w:tcMar>
          </w:tcPr>
          <w:p>
            <w:pPr>
              <w:pStyle w:val="Compact"/>
            </w:pPr>
            <w:r>
              <w:rPr>
                <w:sz w:val="19"/>
                <w:szCs w:val="19"/>
                <w:lang w:val="en-GB"/>
              </w:rPr>
              <w:t xml:space="preserve">Role</w:t>
            </w:r>
          </w:p>
        </w:tc>
        <w:tc>
          <w:tcPr>
            <w:tcW w:type="dxa" w:w="1872"/>
            <w:tcMar>
              <w:left w:type="dxa" w:w="80"/>
              <w:right w:type="dxa" w:w="80"/>
            </w:tcMar>
          </w:tcPr>
          <w:p>
            <w:pPr>
              <w:pStyle w:val="Compact"/>
            </w:pPr>
            <w:r>
              <w:rPr>
                <w:sz w:val="19"/>
                <w:szCs w:val="19"/>
                <w:lang w:val="en-GB"/>
              </w:rPr>
              <w:t xml:space="preserve">Processing/storage</w:t>
            </w:r>
          </w:p>
        </w:tc>
        <w:tc>
          <w:tcPr>
            <w:tcW w:type="dxa" w:w="1872"/>
            <w:tcMar>
              <w:left w:type="dxa" w:w="80"/>
              <w:right w:type="dxa" w:w="80"/>
            </w:tcMar>
          </w:tcPr>
          <w:p>
            <w:pPr>
              <w:pStyle w:val="Compact"/>
            </w:pPr>
            <w:r>
              <w:rPr>
                <w:sz w:val="19"/>
                <w:szCs w:val="19"/>
                <w:lang w:val="en-GB"/>
              </w:rPr>
              <w:t xml:space="preserve">Human access</w:t>
            </w:r>
          </w:p>
        </w:tc>
      </w:tr>
      <w:tr>
        <w:trPr>
          <w:cantSplit/>
        </w:trPr>
        <w:tc>
          <w:tcPr>
            <w:tcW w:type="dxa" w:w="1872"/>
            <w:tcMar>
              <w:left w:type="dxa" w:w="80"/>
              <w:right w:type="dxa" w:w="80"/>
            </w:tcMar>
          </w:tcPr>
          <w:p>
            <w:pPr>
              <w:pStyle w:val="Compact"/>
            </w:pPr>
            <w:r>
              <w:rPr>
                <w:sz w:val="19"/>
                <w:szCs w:val="19"/>
                <w:lang w:val="en-GB"/>
              </w:rPr>
              <w:t xml:space="preserve">Hostinger</w:t>
            </w:r>
          </w:p>
        </w:tc>
        <w:tc>
          <w:tcPr>
            <w:tcW w:type="dxa" w:w="1872"/>
            <w:tcMar>
              <w:left w:type="dxa" w:w="80"/>
              <w:right w:type="dxa" w:w="80"/>
            </w:tcMar>
          </w:tcPr>
          <w:p>
            <w:pPr>
              <w:pStyle w:val="Compact"/>
            </w:pPr>
            <w:r>
              <w:rPr>
                <w:sz w:val="19"/>
                <w:szCs w:val="19"/>
                <w:lang w:val="en-GB"/>
              </w:rPr>
              <w:t xml:space="preserve">Lithuania (EU)</w:t>
            </w:r>
          </w:p>
        </w:tc>
        <w:tc>
          <w:tcPr>
            <w:tcW w:type="dxa" w:w="1872"/>
            <w:tcMar>
              <w:left w:type="dxa" w:w="80"/>
              <w:right w:type="dxa" w:w="80"/>
            </w:tcMar>
          </w:tcPr>
          <w:p>
            <w:pPr>
              <w:pStyle w:val="Compact"/>
            </w:pPr>
            <w:r>
              <w:rPr>
                <w:sz w:val="19"/>
                <w:szCs w:val="19"/>
                <w:lang w:val="en-GB"/>
              </w:rPr>
              <w:t xml:space="preserve">Accommodation</w:t>
            </w:r>
          </w:p>
        </w:tc>
        <w:tc>
          <w:tcPr>
            <w:tcW w:type="dxa" w:w="1872"/>
            <w:tcMar>
              <w:left w:type="dxa" w:w="80"/>
              <w:right w:type="dxa" w:w="80"/>
            </w:tcMar>
          </w:tcPr>
          <w:p>
            <w:pPr>
              <w:pStyle w:val="Compact"/>
            </w:pPr>
            <w:r>
              <w:rPr>
                <w:sz w:val="19"/>
                <w:szCs w:val="19"/>
                <w:lang w:val="en-GB"/>
              </w:rPr>
              <w:t xml:space="preserve">France / France</w:t>
            </w:r>
          </w:p>
        </w:tc>
        <w:tc>
          <w:tcPr>
            <w:tcW w:type="dxa" w:w="1872"/>
            <w:tcMar>
              <w:left w:type="dxa" w:w="80"/>
              <w:right w:type="dxa" w:w="80"/>
            </w:tcMar>
          </w:tcPr>
          <w:p>
            <w:pPr>
              <w:pStyle w:val="Compact"/>
            </w:pPr>
            <w:r>
              <w:rPr>
                <w:sz w:val="19"/>
                <w:szCs w:val="19"/>
                <w:lang w:val="en-GB"/>
              </w:rPr>
              <w:t xml:space="preserve">No</w:t>
            </w:r>
          </w:p>
        </w:tc>
      </w:tr>
      <w:tr>
        <w:trPr>
          <w:cantSplit/>
        </w:trPr>
        <w:tc>
          <w:tcPr>
            <w:tcW w:type="dxa" w:w="1872"/>
            <w:tcMar>
              <w:left w:type="dxa" w:w="80"/>
              <w:right w:type="dxa" w:w="80"/>
            </w:tcMar>
          </w:tcPr>
          <w:p>
            <w:pPr>
              <w:pStyle w:val="Compact"/>
            </w:pPr>
            <w:r>
              <w:rPr>
                <w:sz w:val="19"/>
                <w:szCs w:val="19"/>
                <w:lang w:val="en-GB"/>
              </w:rPr>
              <w:t xml:space="preserve">Scaleway</w:t>
            </w:r>
          </w:p>
        </w:tc>
        <w:tc>
          <w:tcPr>
            <w:tcW w:type="dxa" w:w="1872"/>
            <w:tcMar>
              <w:left w:type="dxa" w:w="80"/>
              <w:right w:type="dxa" w:w="80"/>
            </w:tcMar>
          </w:tcPr>
          <w:p>
            <w:pPr>
              <w:pStyle w:val="Compact"/>
            </w:pPr>
            <w:r>
              <w:rPr>
                <w:sz w:val="19"/>
                <w:szCs w:val="19"/>
                <w:lang w:val="en-GB"/>
              </w:rPr>
              <w:t xml:space="preserve">France (EU)</w:t>
            </w:r>
          </w:p>
        </w:tc>
        <w:tc>
          <w:tcPr>
            <w:tcW w:type="dxa" w:w="1872"/>
            <w:tcMar>
              <w:left w:type="dxa" w:w="80"/>
              <w:right w:type="dxa" w:w="80"/>
            </w:tcMar>
          </w:tcPr>
          <w:p>
            <w:pPr>
              <w:pStyle w:val="Compact"/>
            </w:pPr>
            <w:r>
              <w:rPr>
                <w:sz w:val="19"/>
                <w:szCs w:val="19"/>
                <w:lang w:val="en-GB"/>
              </w:rPr>
              <w:t xml:space="preserve">Encrypted backup</w:t>
            </w:r>
          </w:p>
        </w:tc>
        <w:tc>
          <w:tcPr>
            <w:tcW w:type="dxa" w:w="1872"/>
            <w:tcMar>
              <w:left w:type="dxa" w:w="80"/>
              <w:right w:type="dxa" w:w="80"/>
            </w:tcMar>
          </w:tcPr>
          <w:p>
            <w:pPr>
              <w:pStyle w:val="Compact"/>
            </w:pPr>
            <w:r>
              <w:rPr>
                <w:sz w:val="19"/>
                <w:szCs w:val="19"/>
                <w:lang w:val="en-GB"/>
              </w:rPr>
              <w:t xml:space="preserve">France (EU)</w:t>
            </w:r>
          </w:p>
        </w:tc>
        <w:tc>
          <w:tcPr>
            <w:tcW w:type="dxa" w:w="1872"/>
            <w:tcMar>
              <w:left w:type="dxa" w:w="80"/>
              <w:right w:type="dxa" w:w="80"/>
            </w:tcMar>
          </w:tcPr>
          <w:p>
            <w:pPr>
              <w:pStyle w:val="Compact"/>
            </w:pPr>
            <w:r>
              <w:rPr>
                <w:sz w:val="19"/>
                <w:szCs w:val="19"/>
                <w:lang w:val="en-GB"/>
              </w:rPr>
              <w:t xml:space="preserve">No (encrypted before sending)</w:t>
            </w:r>
          </w:p>
        </w:tc>
      </w:tr>
      <w:tr>
        <w:trPr>
          <w:cantSplit/>
        </w:trPr>
        <w:tc>
          <w:tcPr>
            <w:tcW w:type="dxa" w:w="1872"/>
            <w:tcMar>
              <w:left w:type="dxa" w:w="80"/>
              <w:right w:type="dxa" w:w="80"/>
            </w:tcMar>
          </w:tcPr>
          <w:p>
            <w:pPr>
              <w:pStyle w:val="Compact"/>
            </w:pPr>
            <w:r>
              <w:rPr>
                <w:sz w:val="19"/>
                <w:szCs w:val="19"/>
                <w:lang w:val="en-GB"/>
              </w:rPr>
              <w:t xml:space="preserve">Dedicated GPU / Vast.ai</w:t>
            </w:r>
          </w:p>
        </w:tc>
        <w:tc>
          <w:tcPr>
            <w:tcW w:type="dxa" w:w="1872"/>
            <w:tcMar>
              <w:left w:type="dxa" w:w="80"/>
              <w:right w:type="dxa" w:w="80"/>
            </w:tcMar>
          </w:tcPr>
          <w:p>
            <w:pPr>
              <w:pStyle w:val="Compact"/>
            </w:pPr>
            <w:r>
              <w:rPr>
                <w:sz w:val="19"/>
                <w:szCs w:val="19"/>
                <w:lang w:val="en-GB"/>
              </w:rPr>
              <w:t xml:space="preserve">EU / USA (marketplace)</w:t>
            </w:r>
          </w:p>
        </w:tc>
        <w:tc>
          <w:tcPr>
            <w:tcW w:type="dxa" w:w="1872"/>
            <w:tcMar>
              <w:left w:type="dxa" w:w="80"/>
              <w:right w:type="dxa" w:w="80"/>
            </w:tcMar>
          </w:tcPr>
          <w:p>
            <w:pPr>
              <w:pStyle w:val="Compact"/>
            </w:pPr>
            <w:r>
              <w:rPr>
                <w:sz w:val="19"/>
                <w:szCs w:val="19"/>
                <w:lang w:val="en-GB"/>
              </w:rPr>
              <w:t xml:space="preserve">Transcription, diarization</w:t>
            </w:r>
          </w:p>
        </w:tc>
        <w:tc>
          <w:tcPr>
            <w:tcW w:type="dxa" w:w="1872"/>
            <w:tcMar>
              <w:left w:type="dxa" w:w="80"/>
              <w:right w:type="dxa" w:w="80"/>
            </w:tcMar>
          </w:tcPr>
          <w:p>
            <w:pPr>
              <w:pStyle w:val="Compact"/>
            </w:pPr>
            <w:r>
              <w:rPr>
                <w:sz w:val="19"/>
                <w:szCs w:val="19"/>
                <w:lang w:val="en-GB"/>
              </w:rPr>
              <w:t xml:space="preserve">EU when required / no durable storage</w:t>
            </w:r>
          </w:p>
        </w:tc>
        <w:tc>
          <w:tcPr>
            <w:tcW w:type="dxa" w:w="1872"/>
            <w:tcMar>
              <w:left w:type="dxa" w:w="80"/>
              <w:right w:type="dxa" w:w="80"/>
            </w:tcMar>
          </w:tcPr>
          <w:p>
            <w:pPr>
              <w:pStyle w:val="Compact"/>
            </w:pPr>
            <w:r>
              <w:rPr>
                <w:sz w:val="19"/>
                <w:szCs w:val="19"/>
                <w:lang w:val="en-GB"/>
              </w:rPr>
              <w:t xml:space="preserve">No</w:t>
            </w:r>
          </w:p>
        </w:tc>
      </w:tr>
      <w:tr>
        <w:trPr>
          <w:cantSplit/>
        </w:trPr>
        <w:tc>
          <w:tcPr>
            <w:tcW w:type="dxa" w:w="1872"/>
            <w:tcMar>
              <w:left w:type="dxa" w:w="80"/>
              <w:right w:type="dxa" w:w="80"/>
            </w:tcMar>
          </w:tcPr>
          <w:p>
            <w:pPr>
              <w:pStyle w:val="Compact"/>
            </w:pPr>
            <w:r>
              <w:rPr>
                <w:b/>
                <w:bCs/>
                <w:sz w:val="19"/>
                <w:szCs w:val="19"/>
                <w:lang w:val="en-GB"/>
              </w:rPr>
              <w:t xml:space="preserve">Mastered vLLM servers</w:t>
            </w:r>
          </w:p>
        </w:tc>
        <w:tc>
          <w:tcPr>
            <w:tcW w:type="dxa" w:w="1872"/>
            <w:tcMar>
              <w:left w:type="dxa" w:w="80"/>
              <w:right w:type="dxa" w:w="80"/>
            </w:tcMar>
          </w:tcPr>
          <w:p>
            <w:pPr>
              <w:pStyle w:val="Compact"/>
            </w:pPr>
            <w:r>
              <w:rPr>
                <w:sz w:val="19"/>
                <w:szCs w:val="19"/>
                <w:lang w:val="en-GB"/>
              </w:rPr>
              <w:t xml:space="preserve">France / EU</w:t>
            </w:r>
          </w:p>
        </w:tc>
        <w:tc>
          <w:tcPr>
            <w:tcW w:type="dxa" w:w="1872"/>
            <w:tcMar>
              <w:left w:type="dxa" w:w="80"/>
              <w:right w:type="dxa" w:w="80"/>
            </w:tcMar>
          </w:tcPr>
          <w:p>
            <w:pPr>
              <w:pStyle w:val="Compact"/>
            </w:pPr>
            <w:r>
              <w:rPr>
                <w:b/>
                <w:bCs/>
                <w:sz w:val="19"/>
                <w:szCs w:val="19"/>
                <w:lang w:val="en-GB"/>
              </w:rPr>
              <w:t xml:space="preserve">AI inference — primary pathway</w:t>
            </w:r>
          </w:p>
        </w:tc>
        <w:tc>
          <w:tcPr>
            <w:tcW w:type="dxa" w:w="1872"/>
            <w:tcMar>
              <w:left w:type="dxa" w:w="80"/>
              <w:right w:type="dxa" w:w="80"/>
            </w:tcMar>
          </w:tcPr>
          <w:p>
            <w:pPr>
              <w:pStyle w:val="Compact"/>
            </w:pPr>
            <w:r>
              <w:rPr>
                <w:sz w:val="19"/>
                <w:szCs w:val="19"/>
                <w:lang w:val="en-GB"/>
              </w:rPr>
              <w:t xml:space="preserve">EU (Strasbourg / Paris) / no sustainable storage</w:t>
            </w:r>
          </w:p>
        </w:tc>
        <w:tc>
          <w:tcPr>
            <w:tcW w:type="dxa" w:w="1872"/>
            <w:tcMar>
              <w:left w:type="dxa" w:w="80"/>
              <w:right w:type="dxa" w:w="80"/>
            </w:tcMar>
          </w:tcPr>
          <w:p>
            <w:pPr>
              <w:pStyle w:val="Compact"/>
            </w:pPr>
            <w:r>
              <w:rPr>
                <w:sz w:val="19"/>
                <w:szCs w:val="19"/>
                <w:lang w:val="en-GB"/>
              </w:rPr>
              <w:t xml:space="preserve">No</w:t>
            </w:r>
          </w:p>
        </w:tc>
      </w:tr>
      <w:tr>
        <w:trPr>
          <w:cantSplit/>
        </w:trPr>
        <w:tc>
          <w:tcPr>
            <w:tcW w:type="dxa" w:w="1872"/>
            <w:tcMar>
              <w:left w:type="dxa" w:w="80"/>
              <w:right w:type="dxa" w:w="80"/>
            </w:tcMar>
          </w:tcPr>
          <w:p>
            <w:pPr>
              <w:pStyle w:val="Compact"/>
            </w:pPr>
            <w:r>
              <w:rPr>
                <w:sz w:val="19"/>
                <w:szCs w:val="19"/>
                <w:lang w:val="en-GB"/>
              </w:rPr>
              <w:t xml:space="preserve">OpenRouter</w:t>
            </w:r>
          </w:p>
        </w:tc>
        <w:tc>
          <w:tcPr>
            <w:tcW w:type="dxa" w:w="1872"/>
            <w:tcMar>
              <w:left w:type="dxa" w:w="80"/>
              <w:right w:type="dxa" w:w="80"/>
            </w:tcMar>
          </w:tcPr>
          <w:p>
            <w:pPr>
              <w:pStyle w:val="Compact"/>
            </w:pPr>
            <w:r>
              <w:rPr>
                <w:sz w:val="19"/>
                <w:szCs w:val="19"/>
                <w:lang w:val="en-GB"/>
              </w:rPr>
              <w:t xml:space="preserve">USA</w:t>
            </w:r>
          </w:p>
        </w:tc>
        <w:tc>
          <w:tcPr>
            <w:tcW w:type="dxa" w:w="1872"/>
            <w:tcMar>
              <w:left w:type="dxa" w:w="80"/>
              <w:right w:type="dxa" w:w="80"/>
            </w:tcMar>
          </w:tcPr>
          <w:p>
            <w:pPr>
              <w:pStyle w:val="Compact"/>
            </w:pPr>
            <w:r>
              <w:rPr>
                <w:sz w:val="19"/>
                <w:szCs w:val="19"/>
                <w:lang w:val="en-GB"/>
              </w:rPr>
              <w:t xml:space="preserve">AI gateway </w:t>
            </w:r>
            <w:r>
              <w:rPr>
                <w:sz w:val="19"/>
                <w:szCs w:val="19"/>
                <w:lang w:val="en-GB"/>
              </w:rPr>
              <w:t xml:space="preserve"/>
            </w:r>
            <w:r>
              <w:rPr>
                <w:b/>
                <w:bCs/>
                <w:sz w:val="19"/>
                <w:szCs w:val="19"/>
                <w:lang w:val="en-GB"/>
              </w:rPr>
              <w:t xml:space="preserve">— failover, deactivable</w:t>
            </w:r>
          </w:p>
        </w:tc>
        <w:tc>
          <w:tcPr>
            <w:tcW w:type="dxa" w:w="1872"/>
            <w:tcMar>
              <w:left w:type="dxa" w:w="80"/>
              <w:right w:type="dxa" w:w="80"/>
            </w:tcMar>
          </w:tcPr>
          <w:p>
            <w:pPr>
              <w:pStyle w:val="Compact"/>
            </w:pPr>
            <w:r>
              <w:rPr>
                <w:sz w:val="19"/>
                <w:szCs w:val="19"/>
                <w:lang w:val="en-GB"/>
              </w:rPr>
              <w:t xml:space="preserve">US routing possible / no durable storage</w:t>
            </w:r>
          </w:p>
        </w:tc>
        <w:tc>
          <w:tcPr>
            <w:tcW w:type="dxa" w:w="1872"/>
            <w:tcMar>
              <w:left w:type="dxa" w:w="80"/>
              <w:right w:type="dxa" w:w="80"/>
            </w:tcMar>
          </w:tcPr>
          <w:p>
            <w:pPr>
              <w:pStyle w:val="Compact"/>
            </w:pPr>
            <w:r>
              <w:rPr>
                <w:sz w:val="19"/>
                <w:szCs w:val="19"/>
                <w:lang w:val="en-GB"/>
              </w:rPr>
              <w:t xml:space="preserve">No</w:t>
            </w:r>
          </w:p>
        </w:tc>
      </w:tr>
      <w:tr>
        <w:trPr>
          <w:cantSplit/>
        </w:trPr>
        <w:tc>
          <w:tcPr>
            <w:tcW w:type="dxa" w:w="1872"/>
            <w:tcMar>
              <w:left w:type="dxa" w:w="80"/>
              <w:right w:type="dxa" w:w="80"/>
            </w:tcMar>
          </w:tcPr>
          <w:p>
            <w:pPr>
              <w:pStyle w:val="Compact"/>
            </w:pPr>
            <w:r>
              <w:rPr>
                <w:sz w:val="19"/>
                <w:szCs w:val="19"/>
                <w:lang w:val="en-GB"/>
              </w:rPr>
              <w:t xml:space="preserve">Model providers</w:t>
            </w:r>
          </w:p>
        </w:tc>
        <w:tc>
          <w:tcPr>
            <w:tcW w:type="dxa" w:w="1872"/>
            <w:tcMar>
              <w:left w:type="dxa" w:w="80"/>
              <w:right w:type="dxa" w:w="80"/>
            </w:tcMar>
          </w:tcPr>
          <w:p>
            <w:pPr>
              <w:pStyle w:val="Compact"/>
            </w:pPr>
            <w:r>
              <w:rPr>
                <w:sz w:val="19"/>
                <w:szCs w:val="19"/>
                <w:lang w:val="en-GB"/>
              </w:rPr>
              <w:t xml:space="preserve">USA</w:t>
            </w:r>
          </w:p>
        </w:tc>
        <w:tc>
          <w:tcPr>
            <w:tcW w:type="dxa" w:w="1872"/>
            <w:tcMar>
              <w:left w:type="dxa" w:w="80"/>
              <w:right w:type="dxa" w:w="80"/>
            </w:tcMar>
          </w:tcPr>
          <w:p>
            <w:pPr>
              <w:pStyle w:val="Compact"/>
            </w:pPr>
            <w:r>
              <w:rPr>
                <w:sz w:val="19"/>
                <w:szCs w:val="19"/>
                <w:lang w:val="en-GB"/>
              </w:rPr>
              <w:t xml:space="preserve">LLM Inference </w:t>
            </w:r>
            <w:r>
              <w:rPr>
                <w:sz w:val="19"/>
                <w:szCs w:val="19"/>
                <w:lang w:val="en-GB"/>
              </w:rPr>
              <w:t xml:space="preserve"/>
            </w:r>
            <w:r>
              <w:rPr>
                <w:b/>
                <w:bCs/>
                <w:sz w:val="19"/>
                <w:szCs w:val="19"/>
                <w:lang w:val="en-GB"/>
              </w:rPr>
              <w:t xml:space="preserve">— backup only</w:t>
            </w:r>
          </w:p>
        </w:tc>
        <w:tc>
          <w:tcPr>
            <w:tcW w:type="dxa" w:w="1872"/>
            <w:tcMar>
              <w:left w:type="dxa" w:w="80"/>
              <w:right w:type="dxa" w:w="80"/>
            </w:tcMar>
          </w:tcPr>
          <w:p>
            <w:pPr>
              <w:pStyle w:val="Compact"/>
            </w:pPr>
            <w:r>
              <w:rPr>
                <w:sz w:val="19"/>
                <w:szCs w:val="19"/>
                <w:lang w:val="en-GB"/>
              </w:rPr>
              <w:t xml:space="preserve">USA/EU depending on model / limited retention</w:t>
            </w:r>
          </w:p>
        </w:tc>
        <w:tc>
          <w:tcPr>
            <w:tcW w:type="dxa" w:w="1872"/>
            <w:tcMar>
              <w:left w:type="dxa" w:w="80"/>
              <w:right w:type="dxa" w:w="80"/>
            </w:tcMar>
          </w:tcPr>
          <w:p>
            <w:pPr>
              <w:pStyle w:val="Compact"/>
            </w:pPr>
            <w:r>
              <w:rPr>
                <w:sz w:val="19"/>
                <w:szCs w:val="19"/>
                <w:lang w:val="en-GB"/>
              </w:rPr>
              <w:t xml:space="preserve">No (OHADJA side)</w:t>
            </w:r>
          </w:p>
        </w:tc>
      </w:tr>
      <w:tr>
        <w:trPr>
          <w:cantSplit/>
        </w:trPr>
        <w:tc>
          <w:tcPr>
            <w:tcW w:type="dxa" w:w="1872"/>
            <w:tcMar>
              <w:left w:type="dxa" w:w="80"/>
              <w:right w:type="dxa" w:w="80"/>
            </w:tcMar>
          </w:tcPr>
          <w:p>
            <w:pPr>
              <w:pStyle w:val="Compact"/>
            </w:pPr>
            <w:r>
              <w:rPr>
                <w:sz w:val="19"/>
                <w:szCs w:val="19"/>
                <w:lang w:val="en-GB"/>
              </w:rPr>
              <w:t xml:space="preserve">Transactional email (if enabled)</w:t>
            </w:r>
          </w:p>
        </w:tc>
        <w:tc>
          <w:tcPr>
            <w:tcW w:type="dxa" w:w="1872"/>
            <w:tcMar>
              <w:left w:type="dxa" w:w="80"/>
              <w:right w:type="dxa" w:w="80"/>
            </w:tcMar>
          </w:tcPr>
          <w:p>
            <w:pPr>
              <w:pStyle w:val="Compact"/>
            </w:pPr>
            <w:r>
              <w:rPr>
                <w:sz w:val="19"/>
                <w:szCs w:val="19"/>
                <w:lang w:val="en-GB"/>
              </w:rPr>
              <w:t xml:space="preserve">[TO BE CONFIRMED]</w:t>
            </w:r>
          </w:p>
        </w:tc>
        <w:tc>
          <w:tcPr>
            <w:tcW w:type="dxa" w:w="1872"/>
            <w:tcMar>
              <w:left w:type="dxa" w:w="80"/>
              <w:right w:type="dxa" w:w="80"/>
            </w:tcMar>
          </w:tcPr>
          <w:p>
            <w:pPr>
              <w:pStyle w:val="Compact"/>
            </w:pPr>
            <w:r>
              <w:rPr>
                <w:sz w:val="19"/>
                <w:szCs w:val="19"/>
                <w:lang w:val="en-GB"/>
              </w:rPr>
              <w:t xml:space="preserve">Service emails</w:t>
            </w:r>
          </w:p>
        </w:tc>
        <w:tc>
          <w:tcPr>
            <w:tcW w:type="dxa" w:w="1872"/>
            <w:tcMar>
              <w:left w:type="dxa" w:w="80"/>
              <w:right w:type="dxa" w:w="80"/>
            </w:tcMar>
          </w:tcPr>
          <w:p>
            <w:pPr>
              <w:pStyle w:val="Compact"/>
            </w:pPr>
            <w:r>
              <w:rPr>
                <w:sz w:val="19"/>
                <w:szCs w:val="19"/>
                <w:lang w:val="en-GB"/>
              </w:rPr>
              <w:t xml:space="preserve">[TO BE CONFIRMED]</w:t>
            </w:r>
          </w:p>
        </w:tc>
        <w:tc>
          <w:tcPr>
            <w:tcW w:type="dxa" w:w="1872"/>
            <w:tcMar>
              <w:left w:type="dxa" w:w="80"/>
              <w:right w:type="dxa" w:w="80"/>
            </w:tcMar>
          </w:tcPr>
          <w:p>
            <w:pPr>
              <w:pStyle w:val="Compact"/>
            </w:pPr>
            <w:r>
              <w:rPr>
                <w:sz w:val="19"/>
                <w:szCs w:val="19"/>
                <w:lang w:val="en-GB"/>
              </w:rPr>
              <w:t xml:space="preserve">No</w:t>
            </w:r>
          </w:p>
        </w:tc>
      </w:tr>
    </w:tbl>
    <w:bookmarkEnd w:id="88"/>
    <w:bookmarkStart w:id="89" w:name="X08845a517ee1e7974c0c5d43964a3ce7be5e432"/>
    <w:p>
      <w:pPr>
        <w:pStyle w:val="Heading2"/>
        <w:keepNext/>
        <w:keepLines/>
      </w:pPr>
      <w:r>
        <w:rPr>
          <w:color w:val="000000"/>
          <w:lang w:val="en-GB"/>
        </w:rPr>
        <w:t xml:space="preserve">4. Option B — variations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Variant Option B</w:t>
            </w:r>
          </w:p>
        </w:tc>
        <w:tc>
          <w:tcPr/>
          <w:p>
            <w:pPr>
              <w:pStyle w:val="Compact"/>
            </w:pPr>
            <w:r>
              <w:rPr>
                <w:lang w:val="en-GB"/>
              </w:rPr>
              <w:t xml:space="preserve">Subprocessors</w:t>
            </w:r>
          </w:p>
        </w:tc>
      </w:tr>
      <w:tr>
        <w:trPr>
          <w:cantSplit/>
        </w:trPr>
        <w:tc>
          <w:tcPr/>
          <w:p>
            <w:pPr>
              <w:pStyle w:val="Compact"/>
            </w:pPr>
            <w:r>
              <w:rPr>
                <w:b/>
                <w:bCs/>
                <w:lang w:val="en-GB"/>
              </w:rPr>
              <w:t xml:space="preserve">Isolated on-premise </w:t>
            </w:r>
            <w:r>
              <w:rPr>
                <w:lang w:val="en-GB"/>
              </w:rPr>
              <w:t xml:space="preserve"/>
            </w:r>
            <w:r>
              <w:rPr>
                <w:lang w:val="en-GB"/>
              </w:rPr>
              <w:t xml:space="preserve">(zero cloud)</w:t>
            </w:r>
          </w:p>
        </w:tc>
        <w:tc>
          <w:tcPr/>
          <w:p>
            <w:pPr>
              <w:pStyle w:val="Compact"/>
            </w:pPr>
            <w:r>
              <w:rPr>
                <w:b/>
                <w:bCs/>
                <w:lang w:val="en-GB"/>
              </w:rPr>
              <w:t xml:space="preserve">None. </w:t>
            </w:r>
            <w:r>
              <w:rPr>
                <w:lang w:val="en-GB"/>
              </w:rPr>
              <w:t xml:space="preserve"/>
            </w:r>
            <w:r>
              <w:rPr>
                <w:lang w:val="en-GB"/>
              </w:rPr>
              <w:t xml:space="preserve">Application, base, transcription GPU worker and self-hosted LLM run on the Client. No outgoing flow required for nominal operation</w:t>
            </w:r>
          </w:p>
        </w:tc>
      </w:tr>
      <w:tr>
        <w:trPr>
          <w:cantSplit/>
        </w:trPr>
        <w:tc>
          <w:tcPr/>
          <w:p>
            <w:pPr>
              <w:pStyle w:val="Compact"/>
            </w:pPr>
            <w:r>
              <w:rPr>
                <w:b/>
                <w:bCs/>
                <w:lang w:val="en-GB"/>
              </w:rPr>
              <w:t xml:space="preserve">On-premise with optional cloud AI</w:t>
            </w:r>
          </w:p>
        </w:tc>
        <w:tc>
          <w:tcPr/>
          <w:p>
            <w:pPr>
              <w:pStyle w:val="Compact"/>
            </w:pPr>
            <w:r>
              <w:rPr>
                <w:lang w:val="en-GB"/>
              </w:rPr>
              <w:t xml:space="preserve">Reduced list: only the AI provider(s) enabled by the Customer (OpenRouter and model provider), if the Customer chooses a cloud LLM rather than a self-hosted one. Hosting, backups and transcription remain internal.</w:t>
            </w:r>
          </w:p>
        </w:tc>
      </w:tr>
    </w:tbl>
    <w:bookmarkEnd w:id="89"/>
    <w:bookmarkStart w:id="90" w:name="X30e8a8b53a585b3c4babd4e4f4bf9ffca2de72e"/>
    <w:p>
      <w:pPr>
        <w:pStyle w:val="Heading2"/>
        <w:keepNext/>
        <w:keepLines/>
      </w:pPr>
      <w:r>
        <w:rPr>
          <w:color w:val="000000"/>
          <w:lang w:val="en-GB"/>
        </w:rPr>
        <w:t xml:space="preserve">5. List evolution procedure</w:t>
      </w:r>
    </w:p>
    <w:p>
      <w:pPr>
        <w:pStyle w:val="FirstParagraph"/>
      </w:pPr>
      <w:r>
        <w:rPr>
          <w:lang w:val="en-GB"/>
        </w:rPr>
        <w:t xml:space="preserve">In accordance with §6 of the DPA (art. 28.2 GDPR):</w:t>
      </w:r>
    </w:p>
    <w:p>
      <w:pPr>
        <w:pStyle w:val="Compact"/>
        <w:numPr>
          <w:ilvl w:val="0"/>
          <w:numId w:val="1019"/>
        </w:numPr>
      </w:pPr>
      <w:r>
        <w:rPr>
          <w:lang w:val="en-GB"/>
        </w:rPr>
        <w:t xml:space="preserve">OHADJA informs the Customer of </w:t>
      </w:r>
      <w:r>
        <w:rPr>
          <w:lang w:val="en-GB"/>
        </w:rPr>
        <w:t xml:space="preserve"/>
      </w:r>
      <w:r>
        <w:rPr>
          <w:b/>
          <w:bCs/>
          <w:lang w:val="en-GB"/>
        </w:rPr>
        <w:t xml:space="preserve">any addition or </w:t>
      </w:r>
      <w:r>
        <w:rPr>
          <w:lang w:val="en-GB"/>
        </w:rPr>
        <w:t xml:space="preserve">replacement </w:t>
      </w:r>
      <w:r>
        <w:rPr>
          <w:lang w:val="en-GB"/>
        </w:rPr>
        <w:t xml:space="preserve">of subprocessor at least thirty </w:t>
      </w:r>
      <w:r>
        <w:rPr>
          <w:lang w:val="en-GB"/>
        </w:rPr>
        <w:t xml:space="preserve"/>
      </w:r>
      <w:r>
        <w:rPr>
          <w:b/>
          <w:bCs/>
          <w:lang w:val="en-GB"/>
        </w:rPr>
        <w:t xml:space="preserve">(30) calendar days before </w:t>
      </w:r>
      <w:r>
        <w:rPr>
          <w:lang w:val="en-GB"/>
        </w:rPr>
        <w:t xml:space="preserve"/>
      </w:r>
      <w:r>
        <w:rPr>
          <w:lang w:val="en-GB"/>
        </w:rPr>
        <w:t xml:space="preserve">its implementation, by a written means allowing proof thereof to be preserved.</w:t>
      </w:r>
    </w:p>
    <w:p>
      <w:pPr>
        <w:pStyle w:val="Compact"/>
        <w:numPr>
          <w:ilvl w:val="0"/>
          <w:numId w:val="1019"/>
        </w:numPr>
      </w:pPr>
      <w:r>
        <w:rPr>
          <w:lang w:val="en-GB"/>
        </w:rPr>
        <w:t xml:space="preserve">The Customer may submit a </w:t>
      </w:r>
      <w:r>
        <w:rPr>
          <w:lang w:val="en-GB"/>
        </w:rPr>
        <w:t xml:space="preserve"/>
      </w:r>
      <w:r>
        <w:rPr>
          <w:b/>
          <w:bCs/>
          <w:lang w:val="en-GB"/>
        </w:rPr>
        <w:t xml:space="preserve">written, reasoned and reasonable objection </w:t>
      </w:r>
      <w:r>
        <w:rPr>
          <w:lang w:val="en-GB"/>
        </w:rPr>
        <w:t xml:space="preserve"/>
      </w:r>
      <w:r>
        <w:rPr>
          <w:lang w:val="en-GB"/>
        </w:rPr>
        <w:t xml:space="preserve">within this 30-day period.</w:t>
      </w:r>
    </w:p>
    <w:p>
      <w:pPr>
        <w:pStyle w:val="Compact"/>
        <w:numPr>
          <w:ilvl w:val="0"/>
          <w:numId w:val="1019"/>
        </w:numPr>
      </w:pPr>
      <w:r>
        <w:rPr>
          <w:lang w:val="en-GB"/>
        </w:rPr>
        <w:t xml:space="preserve">In the event of an objection, the parties shall consult in good faith; failing a solution, the Customer may terminate the relevant part of the service under the conditions of the main contract.</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90"/>
    <w:bookmarkEnd w:id="91"/>
    <w:bookmarkStart w:id="102" w:name="Xb435d4e7743c18b26c55236ab6aa53f804247e6"/>
    <w:p>
      <w:pPr>
        <w:pStyle w:val="Heading1"/>
        <w:keepNext/>
        <w:keepLines/>
      </w:pPr>
      <w:r>
        <w:rPr>
          <w:color w:val="000000"/>
          <w:lang w:val="en-GB"/>
        </w:rPr>
        <w:t xml:space="preserve">Transfers and access outside the EEA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OHA-RGPD-04</w:t>
            </w:r>
          </w:p>
        </w:tc>
      </w:tr>
      <w:tr>
        <w:trPr>
          <w:cantSplit/>
        </w:trPr>
        <w:tc>
          <w:tcPr/>
          <w:p>
            <w:pPr>
              <w:pStyle w:val="Compact"/>
            </w:pPr>
            <w:r>
              <w:rPr>
                <w:lang w:val="en-GB"/>
              </w:rPr>
              <w:t xml:space="preserve">Purpose</w:t>
            </w:r>
          </w:p>
        </w:tc>
        <w:tc>
          <w:tcPr/>
          <w:p>
            <w:pPr>
              <w:pStyle w:val="Compact"/>
            </w:pPr>
            <w:r>
              <w:rPr>
                <w:lang w:val="en-GB"/>
              </w:rPr>
              <w:t xml:space="preserve">International transfers and access outside the EEA: entities, data, mechanisms, measures</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92" w:name="Xa89a5fc162ec66b9f66741ff8b73c0ba0340e32"/>
    <w:p>
      <w:pPr>
        <w:pStyle w:val="Heading2"/>
        <w:keepNext/>
        <w:keepLines/>
      </w:pPr>
      <w:r>
        <w:rPr>
          <w:color w:val="000000"/>
          <w:lang w:val="en-GB"/>
        </w:rPr>
        <w:t xml:space="preserve">1. Purpose and principle of transparency</w:t>
      </w:r>
    </w:p>
    <w:p>
      <w:pPr>
        <w:pStyle w:val="FirstParagraph"/>
      </w:pPr>
      <w:r>
        <w:rPr>
          <w:lang w:val="en-GB"/>
        </w:rPr>
        <w:t xml:space="preserve">This document lists, without concealment, all transfers and access to data likely to leave the European Economic Area (EEA) within the framework of TranscribIA, and details the legal mechanisms and technical measures implemented to regulate them under Chapter V of GDPR.</w:t>
      </w:r>
    </w:p>
    <w:p>
      <w:pPr>
        <w:pStyle w:val="BodyText"/>
      </w:pPr>
      <w:r>
        <w:rPr>
          <w:lang w:val="en-GB"/>
        </w:rPr>
        <w:t xml:space="preserve">Point of method: the main storage, backups (Scaleway, France) and AI inference in the primary channel (vLLM servers controlled in the EU, mainly Strasbourg and Paris) remain in the EU, </w:t>
      </w:r>
      <w:r>
        <w:rPr>
          <w:lang w:val="en-GB"/>
        </w:rPr>
        <w:t xml:space="preserve"/>
      </w:r>
      <w:r>
        <w:rPr>
          <w:b/>
          <w:bCs/>
          <w:lang w:val="en-GB"/>
        </w:rPr>
        <w:t xml:space="preserve">without any transfer. </w:t>
      </w:r>
      <w:r>
        <w:rPr>
          <w:lang w:val="en-GB"/>
        </w:rPr>
        <w:t xml:space="preserve">“Outside the EEA” situations are therefore limited to </w:t>
      </w:r>
      <w:r>
        <w:rPr>
          <w:lang w:val="en-GB"/>
        </w:rPr>
        <w:t xml:space="preserve"/>
      </w:r>
      <w:r>
        <w:rPr>
          <w:b/>
          <w:bCs/>
          <w:lang w:val="en-GB"/>
        </w:rPr>
        <w:t xml:space="preserve">technical flows (machine access) </w:t>
      </w:r>
      <w:r>
        <w:rPr>
          <w:lang w:val="en-GB"/>
        </w:rPr>
        <w:t xml:space="preserve"/>
      </w:r>
      <w:r>
        <w:rPr>
          <w:lang w:val="en-GB"/>
        </w:rPr>
        <w:t xml:space="preserve">in Option A:</w:t>
      </w:r>
    </w:p>
    <w:p>
      <w:pPr>
        <w:pStyle w:val="Compact"/>
        <w:numPr>
          <w:ilvl w:val="0"/>
          <w:numId w:val="1020"/>
        </w:numPr>
      </w:pPr>
      <w:r>
        <w:rPr>
          <w:lang w:val="en-GB"/>
        </w:rPr>
        <w:t xml:space="preserve">the </w:t>
      </w:r>
      <w:r>
        <w:rPr>
          <w:lang w:val="en-GB"/>
        </w:rPr>
        <w:t xml:space="preserve"/>
      </w:r>
      <w:r>
        <w:rPr>
          <w:b/>
          <w:bCs/>
          <w:lang w:val="en-GB"/>
        </w:rPr>
        <w:t xml:space="preserve">AI emergency route </w:t>
      </w:r>
      <w:r>
        <w:rPr>
          <w:lang w:val="en-GB"/>
        </w:rPr>
        <w:t xml:space="preserve"/>
      </w:r>
      <w:r>
        <w:rPr>
          <w:lang w:val="en-GB"/>
        </w:rPr>
        <w:t xml:space="preserve">(OpenRouter and American model suppliers), which only intervenes in the event of unavailability of the primary route and can </w:t>
      </w:r>
      <w:r>
        <w:rPr>
          <w:lang w:val="en-GB"/>
        </w:rPr>
        <w:t xml:space="preserve"/>
      </w:r>
      <w:r>
        <w:rPr>
          <w:b/>
          <w:bCs/>
          <w:lang w:val="en-GB"/>
        </w:rPr>
        <w:t xml:space="preserve">be deactivated by </w:t>
      </w:r>
      <w:r>
        <w:rPr>
          <w:lang w:val="en-GB"/>
        </w:rPr>
        <w:t xml:space="preserve"/>
      </w:r>
      <w:r>
        <w:rPr>
          <w:lang w:val="en-GB"/>
        </w:rPr>
        <w:t xml:space="preserve">organization;</w:t>
      </w:r>
    </w:p>
    <w:p>
      <w:pPr>
        <w:pStyle w:val="Compact"/>
        <w:numPr>
          <w:ilvl w:val="0"/>
          <w:numId w:val="1020"/>
        </w:numPr>
      </w:pPr>
      <w:r>
        <w:rPr>
          <w:lang w:val="en-GB"/>
        </w:rPr>
        <w:t xml:space="preserve">Vast.ai </w:t>
      </w:r>
      <w:r>
        <w:rPr>
          <w:lang w:val="en-GB"/>
        </w:rPr>
        <w:t xml:space="preserve"/>
      </w:r>
      <w:r>
        <w:rPr>
          <w:b/>
          <w:bCs/>
          <w:lang w:val="en-GB"/>
        </w:rPr>
        <w:t xml:space="preserve">GPU compute </w:t>
      </w:r>
      <w:r>
        <w:rPr>
          <w:lang w:val="en-GB"/>
        </w:rPr>
        <w:t xml:space="preserve"/>
      </w:r>
      <w:r>
        <w:rPr>
          <w:lang w:val="en-GB"/>
        </w:rPr>
        <w:t xml:space="preserve">when enabled (selected machines in EU when required).</w:t>
      </w:r>
    </w:p>
    <w:p>
      <w:pPr>
        <w:pStyle w:val="FirstParagraph"/>
      </w:pPr>
      <w:r>
        <w:rPr>
          <w:lang w:val="en-GB"/>
        </w:rPr>
        <w:t xml:space="preserve">Human </w:t>
      </w:r>
      <w:r>
        <w:rPr>
          <w:lang w:val="en-GB"/>
        </w:rPr>
        <w:t xml:space="preserve"/>
      </w:r>
      <w:r>
        <w:rPr>
          <w:b/>
          <w:bCs/>
          <w:lang w:val="en-GB"/>
        </w:rPr>
        <w:t xml:space="preserve">administration access is, </w:t>
      </w:r>
      <w:r>
        <w:rPr>
          <w:lang w:val="en-GB"/>
        </w:rPr>
        <w:t xml:space="preserve"/>
      </w:r>
      <w:r>
        <w:rPr>
          <w:lang w:val="en-GB"/>
        </w:rPr>
        <w:t xml:space="preserve">for their part, carried out </w:t>
      </w:r>
      <w:r>
        <w:rPr>
          <w:lang w:val="en-GB"/>
        </w:rPr>
        <w:t xml:space="preserve"/>
      </w:r>
      <w:r>
        <w:rPr>
          <w:b/>
          <w:bCs/>
          <w:lang w:val="en-GB"/>
        </w:rPr>
        <w:t xml:space="preserve">exclusively from France / the EU </w:t>
      </w:r>
      <w:r>
        <w:rPr>
          <w:lang w:val="en-GB"/>
        </w:rPr>
        <w:t xml:space="preserve"/>
      </w:r>
      <w:r>
        <w:rPr>
          <w:lang w:val="en-GB"/>
        </w:rPr>
        <w:t xml:space="preserve">(contractual commitment — section 7): they therefore do not </w:t>
      </w:r>
      <w:r>
        <w:rPr>
          <w:lang w:val="en-GB"/>
        </w:rPr>
        <w:t xml:space="preserve">constitute </w:t>
      </w:r>
      <w:r>
        <w:rPr>
          <w:b/>
          <w:bCs/>
          <w:lang w:val="en-GB"/>
        </w:rPr>
        <w:t xml:space="preserve"/>
      </w:r>
      <w:r>
        <w:rPr>
          <w:lang w:val="en-GB"/>
        </w:rPr>
        <w:t xml:space="preserve"/>
      </w:r>
      <w:r>
        <w:rPr>
          <w:lang w:val="en-GB"/>
        </w:rPr>
        <w:t xml:space="preserve">access from a third country.</w:t>
      </w:r>
    </w:p>
    <w:p>
      <w:pPr>
        <w:pStyle w:val="BodyText"/>
      </w:pPr>
      <w:r>
        <w:rPr>
          <w:lang w:val="en-GB"/>
        </w:rPr>
        <w:t xml:space="preserve">In </w:t>
      </w:r>
      <w:r>
        <w:rPr>
          <w:lang w:val="en-GB"/>
        </w:rPr>
        <w:t xml:space="preserve"/>
      </w:r>
      <w:r>
        <w:rPr>
          <w:b/>
          <w:bCs/>
          <w:lang w:val="en-GB"/>
        </w:rPr>
        <w:t xml:space="preserve">isolated Option </w:t>
      </w:r>
      <w:r>
        <w:rPr>
          <w:lang w:val="en-GB"/>
        </w:rPr>
        <w:t xml:space="preserve">B, there is </w:t>
      </w:r>
      <w:r>
        <w:rPr>
          <w:lang w:val="en-GB"/>
        </w:rPr>
        <w:t xml:space="preserve">no </w:t>
      </w:r>
      <w:r>
        <w:rPr>
          <w:b/>
          <w:bCs/>
          <w:lang w:val="en-GB"/>
        </w:rPr>
        <w:t xml:space="preserve">transfer or access outside the EEA </w:t>
      </w:r>
      <w:r>
        <w:rPr>
          <w:lang w:val="en-GB"/>
        </w:rPr>
        <w:t xml:space="preserve"/>
      </w:r>
      <w:r>
        <w:rPr>
          <w:lang w:val="en-GB"/>
        </w:rPr>
        <w:t xml:space="preserve">(section 9).</w:t>
      </w:r>
    </w:p>
    <w:bookmarkEnd w:id="92"/>
    <w:bookmarkStart w:id="93" w:name="X7f2e6a9bf6ee1c3ce5e3abb00a360282c16220d"/>
    <w:p>
      <w:pPr>
        <w:pStyle w:val="Heading2"/>
        <w:keepNext/>
        <w:keepLines/>
      </w:pPr>
      <w:r>
        <w:rPr>
          <w:color w:val="000000"/>
          <w:lang w:val="en-GB"/>
        </w:rPr>
        <w:t xml:space="preserve">2. (a) Countries and entities concerned</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Entity</w:t>
            </w:r>
          </w:p>
        </w:tc>
        <w:tc>
          <w:tcPr>
            <w:tcW w:type="dxa" w:w="2340"/>
            <w:tcMar>
              <w:left w:type="dxa" w:w="80"/>
              <w:right w:type="dxa" w:w="80"/>
            </w:tcMar>
          </w:tcPr>
          <w:p>
            <w:pPr>
              <w:pStyle w:val="Compact"/>
            </w:pPr>
            <w:r>
              <w:rPr>
                <w:sz w:val="19"/>
                <w:szCs w:val="19"/>
                <w:lang w:val="en-GB"/>
              </w:rPr>
              <w:t xml:space="preserve">Country</w:t>
            </w:r>
          </w:p>
        </w:tc>
        <w:tc>
          <w:tcPr>
            <w:tcW w:type="dxa" w:w="2340"/>
            <w:tcMar>
              <w:left w:type="dxa" w:w="80"/>
              <w:right w:type="dxa" w:w="80"/>
            </w:tcMar>
          </w:tcPr>
          <w:p>
            <w:pPr>
              <w:pStyle w:val="Compact"/>
            </w:pPr>
            <w:r>
              <w:rPr>
                <w:sz w:val="19"/>
                <w:szCs w:val="19"/>
                <w:lang w:val="en-GB"/>
              </w:rPr>
              <w:t xml:space="preserve">Type</w:t>
            </w:r>
          </w:p>
        </w:tc>
        <w:tc>
          <w:tcPr>
            <w:tcW w:type="dxa" w:w="2340"/>
            <w:tcMar>
              <w:left w:type="dxa" w:w="80"/>
              <w:right w:type="dxa" w:w="80"/>
            </w:tcMar>
          </w:tcPr>
          <w:p>
            <w:pPr>
              <w:pStyle w:val="Compact"/>
            </w:pPr>
            <w:r>
              <w:rPr>
                <w:sz w:val="19"/>
                <w:szCs w:val="19"/>
                <w:lang w:val="en-GB"/>
              </w:rPr>
              <w:t xml:space="preserve">Location</w:t>
            </w:r>
          </w:p>
        </w:tc>
      </w:tr>
      <w:tr>
        <w:trPr>
          <w:cantSplit/>
        </w:trPr>
        <w:tc>
          <w:tcPr>
            <w:tcW w:type="dxa" w:w="2340"/>
            <w:tcMar>
              <w:left w:type="dxa" w:w="80"/>
              <w:right w:type="dxa" w:w="80"/>
            </w:tcMar>
          </w:tcPr>
          <w:p>
            <w:pPr>
              <w:pStyle w:val="Compact"/>
            </w:pPr>
            <w:r>
              <w:rPr>
                <w:i/>
                <w:iCs/>
                <w:sz w:val="19"/>
                <w:szCs w:val="19"/>
                <w:lang w:val="en-GB"/>
              </w:rPr>
              <w:t xml:space="preserve">(AI primary route: controlled vLLM servers)</w:t>
            </w:r>
          </w:p>
        </w:tc>
        <w:tc>
          <w:tcPr>
            <w:tcW w:type="dxa" w:w="2340"/>
            <w:tcMar>
              <w:left w:type="dxa" w:w="80"/>
              <w:right w:type="dxa" w:w="80"/>
            </w:tcMar>
          </w:tcPr>
          <w:p>
            <w:pPr>
              <w:pStyle w:val="Compact"/>
            </w:pPr>
            <w:r>
              <w:rPr>
                <w:i/>
                <w:iCs/>
                <w:sz w:val="19"/>
                <w:szCs w:val="19"/>
                <w:lang w:val="en-GB"/>
              </w:rPr>
              <w:t xml:space="preserve">EU — Strasbourg / Paris</w:t>
            </w:r>
          </w:p>
        </w:tc>
        <w:tc>
          <w:tcPr>
            <w:tcW w:type="dxa" w:w="2340"/>
            <w:tcMar>
              <w:left w:type="dxa" w:w="80"/>
              <w:right w:type="dxa" w:w="80"/>
            </w:tcMar>
          </w:tcPr>
          <w:p>
            <w:pPr>
              <w:pStyle w:val="Compact"/>
            </w:pPr>
            <w:r>
              <w:rPr>
                <w:i/>
                <w:iCs/>
                <w:sz w:val="19"/>
                <w:szCs w:val="19"/>
                <w:lang w:val="en-GB"/>
              </w:rPr>
              <w:t xml:space="preserve">EU treatment</w:t>
            </w:r>
          </w:p>
        </w:tc>
        <w:tc>
          <w:tcPr>
            <w:tcW w:type="dxa" w:w="2340"/>
            <w:tcMar>
              <w:left w:type="dxa" w:w="80"/>
              <w:right w:type="dxa" w:w="80"/>
            </w:tcMar>
          </w:tcPr>
          <w:p>
            <w:pPr>
              <w:pStyle w:val="Compact"/>
            </w:pPr>
            <w:r>
              <w:rPr>
                <w:i/>
                <w:iCs/>
                <w:sz w:val="19"/>
                <w:szCs w:val="19"/>
                <w:lang w:val="en-GB"/>
              </w:rPr>
              <w:t xml:space="preserve">No transfer outside the EEA (reminder)</w:t>
            </w:r>
          </w:p>
        </w:tc>
      </w:tr>
      <w:tr>
        <w:trPr>
          <w:cantSplit/>
        </w:trPr>
        <w:tc>
          <w:tcPr>
            <w:tcW w:type="dxa" w:w="2340"/>
            <w:tcMar>
              <w:left w:type="dxa" w:w="80"/>
              <w:right w:type="dxa" w:w="80"/>
            </w:tcMar>
          </w:tcPr>
          <w:p>
            <w:pPr>
              <w:pStyle w:val="Compact"/>
            </w:pPr>
            <w:r>
              <w:rPr>
                <w:i/>
                <w:iCs/>
                <w:sz w:val="19"/>
                <w:szCs w:val="19"/>
                <w:lang w:val="en-GB"/>
              </w:rPr>
              <w:t xml:space="preserve">(backups: Scaleway)</w:t>
            </w:r>
          </w:p>
        </w:tc>
        <w:tc>
          <w:tcPr>
            <w:tcW w:type="dxa" w:w="2340"/>
            <w:tcMar>
              <w:left w:type="dxa" w:w="80"/>
              <w:right w:type="dxa" w:w="80"/>
            </w:tcMar>
          </w:tcPr>
          <w:p>
            <w:pPr>
              <w:pStyle w:val="Compact"/>
            </w:pPr>
            <w:r>
              <w:rPr>
                <w:i/>
                <w:iCs/>
                <w:sz w:val="19"/>
                <w:szCs w:val="19"/>
                <w:lang w:val="en-GB"/>
              </w:rPr>
              <w:t xml:space="preserve">France (EU)</w:t>
            </w:r>
          </w:p>
        </w:tc>
        <w:tc>
          <w:tcPr>
            <w:tcW w:type="dxa" w:w="2340"/>
            <w:tcMar>
              <w:left w:type="dxa" w:w="80"/>
              <w:right w:type="dxa" w:w="80"/>
            </w:tcMar>
          </w:tcPr>
          <w:p>
            <w:pPr>
              <w:pStyle w:val="Compact"/>
            </w:pPr>
            <w:r>
              <w:rPr>
                <w:i/>
                <w:iCs/>
                <w:sz w:val="19"/>
                <w:szCs w:val="19"/>
                <w:lang w:val="en-GB"/>
              </w:rPr>
              <w:t xml:space="preserve">EU storage</w:t>
            </w:r>
          </w:p>
        </w:tc>
        <w:tc>
          <w:tcPr>
            <w:tcW w:type="dxa" w:w="2340"/>
            <w:tcMar>
              <w:left w:type="dxa" w:w="80"/>
              <w:right w:type="dxa" w:w="80"/>
            </w:tcMar>
          </w:tcPr>
          <w:p>
            <w:pPr>
              <w:pStyle w:val="Compact"/>
            </w:pPr>
            <w:r>
              <w:rPr>
                <w:i/>
                <w:iCs/>
                <w:sz w:val="19"/>
                <w:szCs w:val="19"/>
                <w:lang w:val="en-GB"/>
              </w:rPr>
              <w:t xml:space="preserve">No transfer outside the EEA (reminder)</w:t>
            </w:r>
          </w:p>
        </w:tc>
      </w:tr>
      <w:tr>
        <w:trPr>
          <w:cantSplit/>
        </w:trPr>
        <w:tc>
          <w:tcPr>
            <w:tcW w:type="dxa" w:w="2340"/>
            <w:tcMar>
              <w:left w:type="dxa" w:w="80"/>
              <w:right w:type="dxa" w:w="80"/>
            </w:tcMar>
          </w:tcPr>
          <w:p>
            <w:pPr>
              <w:pStyle w:val="Compact"/>
            </w:pPr>
            <w:r>
              <w:rPr>
                <w:sz w:val="19"/>
                <w:szCs w:val="19"/>
                <w:lang w:val="en-GB"/>
              </w:rPr>
              <w:t xml:space="preserve">OpenRouter Inc.</w:t>
            </w:r>
          </w:p>
        </w:tc>
        <w:tc>
          <w:tcPr>
            <w:tcW w:type="dxa" w:w="2340"/>
            <w:tcMar>
              <w:left w:type="dxa" w:w="80"/>
              <w:right w:type="dxa" w:w="80"/>
            </w:tcMar>
          </w:tcPr>
          <w:p>
            <w:pPr>
              <w:pStyle w:val="Compact"/>
            </w:pPr>
            <w:r>
              <w:rPr>
                <w:sz w:val="19"/>
                <w:szCs w:val="19"/>
                <w:lang w:val="en-GB"/>
              </w:rPr>
              <w:t xml:space="preserve">USA</w:t>
            </w:r>
          </w:p>
        </w:tc>
        <w:tc>
          <w:tcPr>
            <w:tcW w:type="dxa" w:w="2340"/>
            <w:tcMar>
              <w:left w:type="dxa" w:w="80"/>
              <w:right w:type="dxa" w:w="80"/>
            </w:tcMar>
          </w:tcPr>
          <w:p>
            <w:pPr>
              <w:pStyle w:val="Compact"/>
            </w:pPr>
            <w:r>
              <w:rPr>
                <w:sz w:val="19"/>
                <w:szCs w:val="19"/>
                <w:lang w:val="en-GB"/>
              </w:rPr>
              <w:t xml:space="preserve">Technical flow (machine)</w:t>
            </w:r>
          </w:p>
        </w:tc>
        <w:tc>
          <w:tcPr>
            <w:tcW w:type="dxa" w:w="2340"/>
            <w:tcMar>
              <w:left w:type="dxa" w:w="80"/>
              <w:right w:type="dxa" w:w="80"/>
            </w:tcMar>
          </w:tcPr>
          <w:p>
            <w:pPr>
              <w:pStyle w:val="Compact"/>
            </w:pPr>
            <w:r>
              <w:rPr>
                <w:sz w:val="19"/>
                <w:szCs w:val="19"/>
                <w:lang w:val="en-GB"/>
              </w:rPr>
              <w:t xml:space="preserve">AI gateway </w:t>
            </w:r>
            <w:r>
              <w:rPr>
                <w:sz w:val="19"/>
                <w:szCs w:val="19"/>
                <w:lang w:val="en-GB"/>
              </w:rPr>
              <w:t xml:space="preserve">as </w:t>
            </w:r>
            <w:r>
              <w:rPr>
                <w:b/>
                <w:bCs/>
                <w:sz w:val="19"/>
                <w:szCs w:val="19"/>
                <w:lang w:val="en-GB"/>
              </w:rPr>
              <w:t xml:space="preserve">backup (failover), deactivatable</w:t>
            </w:r>
          </w:p>
        </w:tc>
      </w:tr>
      <w:tr>
        <w:trPr>
          <w:cantSplit/>
        </w:trPr>
        <w:tc>
          <w:tcPr>
            <w:tcW w:type="dxa" w:w="2340"/>
            <w:tcMar>
              <w:left w:type="dxa" w:w="80"/>
              <w:right w:type="dxa" w:w="80"/>
            </w:tcMar>
          </w:tcPr>
          <w:p>
            <w:pPr>
              <w:pStyle w:val="Compact"/>
            </w:pPr>
            <w:r>
              <w:rPr>
                <w:sz w:val="19"/>
                <w:szCs w:val="19"/>
                <w:lang w:val="en-GB"/>
              </w:rPr>
              <w:t xml:space="preserve">Anthropic</w:t>
            </w:r>
          </w:p>
        </w:tc>
        <w:tc>
          <w:tcPr>
            <w:tcW w:type="dxa" w:w="2340"/>
            <w:tcMar>
              <w:left w:type="dxa" w:w="80"/>
              <w:right w:type="dxa" w:w="80"/>
            </w:tcMar>
          </w:tcPr>
          <w:p>
            <w:pPr>
              <w:pStyle w:val="Compact"/>
            </w:pPr>
            <w:r>
              <w:rPr>
                <w:sz w:val="19"/>
                <w:szCs w:val="19"/>
                <w:lang w:val="en-GB"/>
              </w:rPr>
              <w:t xml:space="preserve">USA</w:t>
            </w:r>
          </w:p>
        </w:tc>
        <w:tc>
          <w:tcPr>
            <w:tcW w:type="dxa" w:w="2340"/>
            <w:tcMar>
              <w:left w:type="dxa" w:w="80"/>
              <w:right w:type="dxa" w:w="80"/>
            </w:tcMar>
          </w:tcPr>
          <w:p>
            <w:pPr>
              <w:pStyle w:val="Compact"/>
            </w:pPr>
            <w:r>
              <w:rPr>
                <w:sz w:val="19"/>
                <w:szCs w:val="19"/>
                <w:lang w:val="en-GB"/>
              </w:rPr>
              <w:t xml:space="preserve">Technical flow (machine)</w:t>
            </w:r>
          </w:p>
        </w:tc>
        <w:tc>
          <w:tcPr>
            <w:tcW w:type="dxa" w:w="2340"/>
            <w:tcMar>
              <w:left w:type="dxa" w:w="80"/>
              <w:right w:type="dxa" w:w="80"/>
            </w:tcMar>
          </w:tcPr>
          <w:p>
            <w:pPr>
              <w:pStyle w:val="Compact"/>
            </w:pPr>
            <w:r>
              <w:rPr>
                <w:sz w:val="19"/>
                <w:szCs w:val="19"/>
                <w:lang w:val="en-GB"/>
              </w:rPr>
              <w:t xml:space="preserve">Model provider via OpenRouter </w:t>
            </w:r>
            <w:r>
              <w:rPr>
                <w:sz w:val="19"/>
                <w:szCs w:val="19"/>
                <w:lang w:val="en-GB"/>
              </w:rPr>
              <w:t xml:space="preserve"/>
            </w:r>
            <w:r>
              <w:rPr>
                <w:b/>
                <w:bCs/>
                <w:sz w:val="19"/>
                <w:szCs w:val="19"/>
                <w:lang w:val="en-GB"/>
              </w:rPr>
              <w:t xml:space="preserve">— fallback only</w:t>
            </w:r>
          </w:p>
        </w:tc>
      </w:tr>
      <w:tr>
        <w:trPr>
          <w:cantSplit/>
        </w:trPr>
        <w:tc>
          <w:tcPr>
            <w:tcW w:type="dxa" w:w="2340"/>
            <w:tcMar>
              <w:left w:type="dxa" w:w="80"/>
              <w:right w:type="dxa" w:w="80"/>
            </w:tcMar>
          </w:tcPr>
          <w:p>
            <w:pPr>
              <w:pStyle w:val="Compact"/>
            </w:pPr>
            <w:r>
              <w:rPr>
                <w:sz w:val="19"/>
                <w:szCs w:val="19"/>
                <w:lang w:val="en-GB"/>
              </w:rPr>
              <w:t xml:space="preserve">OpenAI</w:t>
            </w:r>
          </w:p>
        </w:tc>
        <w:tc>
          <w:tcPr>
            <w:tcW w:type="dxa" w:w="2340"/>
            <w:tcMar>
              <w:left w:type="dxa" w:w="80"/>
              <w:right w:type="dxa" w:w="80"/>
            </w:tcMar>
          </w:tcPr>
          <w:p>
            <w:pPr>
              <w:pStyle w:val="Compact"/>
            </w:pPr>
            <w:r>
              <w:rPr>
                <w:sz w:val="19"/>
                <w:szCs w:val="19"/>
                <w:lang w:val="en-GB"/>
              </w:rPr>
              <w:t xml:space="preserve">USA</w:t>
            </w:r>
          </w:p>
        </w:tc>
        <w:tc>
          <w:tcPr>
            <w:tcW w:type="dxa" w:w="2340"/>
            <w:tcMar>
              <w:left w:type="dxa" w:w="80"/>
              <w:right w:type="dxa" w:w="80"/>
            </w:tcMar>
          </w:tcPr>
          <w:p>
            <w:pPr>
              <w:pStyle w:val="Compact"/>
            </w:pPr>
            <w:r>
              <w:rPr>
                <w:sz w:val="19"/>
                <w:szCs w:val="19"/>
                <w:lang w:val="en-GB"/>
              </w:rPr>
              <w:t xml:space="preserve">Technical flow (machine)</w:t>
            </w:r>
          </w:p>
        </w:tc>
        <w:tc>
          <w:tcPr>
            <w:tcW w:type="dxa" w:w="2340"/>
            <w:tcMar>
              <w:left w:type="dxa" w:w="80"/>
              <w:right w:type="dxa" w:w="80"/>
            </w:tcMar>
          </w:tcPr>
          <w:p>
            <w:pPr>
              <w:pStyle w:val="Compact"/>
            </w:pPr>
            <w:r>
              <w:rPr>
                <w:sz w:val="19"/>
                <w:szCs w:val="19"/>
                <w:lang w:val="en-GB"/>
              </w:rPr>
              <w:t xml:space="preserve">Model provider via OpenRouter </w:t>
            </w:r>
            <w:r>
              <w:rPr>
                <w:sz w:val="19"/>
                <w:szCs w:val="19"/>
                <w:lang w:val="en-GB"/>
              </w:rPr>
              <w:t xml:space="preserve"/>
            </w:r>
            <w:r>
              <w:rPr>
                <w:b/>
                <w:bCs/>
                <w:sz w:val="19"/>
                <w:szCs w:val="19"/>
                <w:lang w:val="en-GB"/>
              </w:rPr>
              <w:t xml:space="preserve">— fallback only</w:t>
            </w:r>
          </w:p>
        </w:tc>
      </w:tr>
      <w:tr>
        <w:trPr>
          <w:cantSplit/>
        </w:trPr>
        <w:tc>
          <w:tcPr>
            <w:tcW w:type="dxa" w:w="2340"/>
            <w:tcMar>
              <w:left w:type="dxa" w:w="80"/>
              <w:right w:type="dxa" w:w="80"/>
            </w:tcMar>
          </w:tcPr>
          <w:p>
            <w:pPr>
              <w:pStyle w:val="Compact"/>
            </w:pPr>
            <w:r>
              <w:rPr>
                <w:sz w:val="19"/>
                <w:szCs w:val="19"/>
                <w:lang w:val="en-GB"/>
              </w:rPr>
              <w:t xml:space="preserve">Vast.ai</w:t>
            </w:r>
          </w:p>
        </w:tc>
        <w:tc>
          <w:tcPr>
            <w:tcW w:type="dxa" w:w="2340"/>
            <w:tcMar>
              <w:left w:type="dxa" w:w="80"/>
              <w:right w:type="dxa" w:w="80"/>
            </w:tcMar>
          </w:tcPr>
          <w:p>
            <w:pPr>
              <w:pStyle w:val="Compact"/>
            </w:pPr>
            <w:r>
              <w:rPr>
                <w:sz w:val="19"/>
                <w:szCs w:val="19"/>
                <w:lang w:val="en-GB"/>
              </w:rPr>
              <w:t xml:space="preserve">USA (marketplace)</w:t>
            </w:r>
          </w:p>
        </w:tc>
        <w:tc>
          <w:tcPr>
            <w:tcW w:type="dxa" w:w="2340"/>
            <w:tcMar>
              <w:left w:type="dxa" w:w="80"/>
              <w:right w:type="dxa" w:w="80"/>
            </w:tcMar>
          </w:tcPr>
          <w:p>
            <w:pPr>
              <w:pStyle w:val="Compact"/>
            </w:pPr>
            <w:r>
              <w:rPr>
                <w:sz w:val="19"/>
                <w:szCs w:val="19"/>
                <w:lang w:val="en-GB"/>
              </w:rPr>
              <w:t xml:space="preserve">Technical flow (machine)</w:t>
            </w:r>
          </w:p>
        </w:tc>
        <w:tc>
          <w:tcPr>
            <w:tcW w:type="dxa" w:w="2340"/>
            <w:tcMar>
              <w:left w:type="dxa" w:w="80"/>
              <w:right w:type="dxa" w:w="80"/>
            </w:tcMar>
          </w:tcPr>
          <w:p>
            <w:pPr>
              <w:pStyle w:val="Compact"/>
            </w:pPr>
            <w:r>
              <w:rPr>
                <w:sz w:val="19"/>
                <w:szCs w:val="19"/>
                <w:lang w:val="en-GB"/>
              </w:rPr>
              <w:t xml:space="preserve">GPU compute when enabled — selected machines in EU when required</w:t>
            </w:r>
          </w:p>
        </w:tc>
      </w:tr>
    </w:tbl>
    <w:p>
      <w:pPr>
        <w:pStyle w:val="BlockText"/>
      </w:pPr>
      <w:r>
        <w:rPr>
          <w:lang w:val="en-GB"/>
        </w:rPr>
        <w:t xml:space="preserve">There is </w:t>
      </w:r>
      <w:r>
        <w:rPr>
          <w:lang w:val="en-GB"/>
        </w:rPr>
        <w:t xml:space="preserve"/>
      </w:r>
      <w:r>
        <w:rPr>
          <w:b/>
          <w:bCs/>
          <w:lang w:val="en-GB"/>
        </w:rPr>
        <w:t xml:space="preserve">no human access from a third country: </w:t>
      </w:r>
      <w:r>
        <w:rPr>
          <w:lang w:val="en-GB"/>
        </w:rPr>
        <w:t xml:space="preserve"/>
      </w:r>
      <w:r>
        <w:rPr>
          <w:lang w:val="en-GB"/>
        </w:rPr>
        <w:t xml:space="preserve">administration and support are the responsibility of OHADJA (based in Paris) and are carried out exclusively from France / the EU (section 7).</w:t>
      </w:r>
    </w:p>
    <w:bookmarkEnd w:id="93"/>
    <w:bookmarkStart w:id="94" w:name="X8a6ffe354f3a635abaebe378335f031f94ddf4f"/>
    <w:p>
      <w:pPr>
        <w:pStyle w:val="Heading2"/>
        <w:keepNext/>
        <w:keepLines/>
      </w:pPr>
      <w:r>
        <w:rPr>
          <w:color w:val="000000"/>
          <w:lang w:val="en-GB"/>
        </w:rPr>
        <w:t xml:space="preserve">3. (b) Categories of data accessible by entity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Entity</w:t>
            </w:r>
          </w:p>
        </w:tc>
        <w:tc>
          <w:tcPr/>
          <w:p>
            <w:pPr>
              <w:pStyle w:val="Compact"/>
            </w:pPr>
            <w:r>
              <w:rPr>
                <w:lang w:val="en-GB"/>
              </w:rPr>
              <w:t xml:space="preserve">Categories of data concerned</w:t>
            </w:r>
          </w:p>
        </w:tc>
      </w:tr>
      <w:tr>
        <w:trPr>
          <w:cantSplit/>
        </w:trPr>
        <w:tc>
          <w:tcPr/>
          <w:p>
            <w:pPr>
              <w:pStyle w:val="Compact"/>
            </w:pPr>
            <w:r>
              <w:rPr>
                <w:lang w:val="en-GB"/>
              </w:rPr>
              <w:t xml:space="preserve">OpenRouter / Anthropic / </w:t>
            </w:r>
            <w:r>
              <w:rPr>
                <w:b/>
                <w:bCs/>
                <w:lang w:val="en-GB"/>
              </w:rPr>
              <w:t xml:space="preserve">OpenAI (backup route </w:t>
            </w:r>
            <w:r>
              <w:rPr>
                <w:lang w:val="en-GB"/>
              </w:rPr>
              <w:t xml:space="preserve">only)</w:t>
            </w:r>
          </w:p>
        </w:tc>
        <w:tc>
          <w:tcPr/>
          <w:p>
            <w:pPr>
              <w:pStyle w:val="Compact"/>
            </w:pPr>
            <w:r>
              <w:rPr>
                <w:lang w:val="en-GB"/>
              </w:rPr>
              <w:t xml:space="preserve">Prompts = user-selected sources (excerpts from transcripts, documents, metadata), minimized; outputs generated — only in case of switch to emergency</w:t>
            </w:r>
          </w:p>
        </w:tc>
      </w:tr>
      <w:tr>
        <w:trPr>
          <w:cantSplit/>
        </w:trPr>
        <w:tc>
          <w:tcPr/>
          <w:p>
            <w:pPr>
              <w:pStyle w:val="Compact"/>
            </w:pPr>
            <w:r>
              <w:rPr>
                <w:lang w:val="en-GB"/>
              </w:rPr>
              <w:t xml:space="preserve">Vast.ai</w:t>
            </w:r>
          </w:p>
        </w:tc>
        <w:tc>
          <w:tcPr/>
          <w:p>
            <w:pPr>
              <w:pStyle w:val="Compact"/>
            </w:pPr>
            <w:r>
              <w:rPr>
                <w:lang w:val="en-GB"/>
              </w:rPr>
              <w:t xml:space="preserve">Audio/transcription segments being processed (during the job), then deleted</w:t>
            </w:r>
          </w:p>
        </w:tc>
      </w:tr>
    </w:tbl>
    <w:bookmarkEnd w:id="94"/>
    <w:bookmarkStart w:id="95" w:name="Xc88f5c870e9d040feecdae04696d5e79abdfa5b"/>
    <w:p>
      <w:pPr>
        <w:pStyle w:val="Heading2"/>
        <w:keepNext/>
        <w:keepLines/>
      </w:pPr>
      <w:r>
        <w:rPr>
          <w:color w:val="000000"/>
          <w:lang w:val="en-GB"/>
        </w:rPr>
        <w:t xml:space="preserve">4. (c) Legal mechanisms retained</w:t>
      </w:r>
    </w:p>
    <w:p>
      <w:pPr>
        <w:pStyle w:val="Compact"/>
        <w:numPr>
          <w:ilvl w:val="0"/>
          <w:numId w:val="1021"/>
        </w:numPr>
      </w:pPr>
      <w:r>
        <w:rPr>
          <w:b/>
          <w:bCs/>
          <w:lang w:val="en-GB"/>
        </w:rPr>
        <w:t xml:space="preserve">Standard Contractual Clauses (CCT / </w:t>
      </w:r>
      <w:r>
        <w:rPr>
          <w:lang w:val="en-GB"/>
        </w:rPr>
        <w:t xml:space="preserve"/>
      </w:r>
      <w:r>
        <w:rPr>
          <w:lang w:val="en-GB"/>
        </w:rPr>
        <w:t xml:space="preserve">SCC) from suppliers (modules applicable to report processor → subprocessor, module 3, or responsible → processor depending on the configuration).</w:t>
      </w:r>
    </w:p>
    <w:p>
      <w:pPr>
        <w:pStyle w:val="Compact"/>
        <w:numPr>
          <w:ilvl w:val="0"/>
          <w:numId w:val="1021"/>
        </w:numPr>
      </w:pPr>
      <w:r>
        <w:rPr>
          <w:b/>
          <w:bCs/>
          <w:lang w:val="en-GB"/>
        </w:rPr>
        <w:t xml:space="preserve">EU–US Data Privacy Framework </w:t>
      </w:r>
      <w:r>
        <w:rPr>
          <w:lang w:val="en-GB"/>
        </w:rPr>
        <w:t xml:space="preserve"/>
      </w:r>
      <w:r>
        <w:rPr>
          <w:lang w:val="en-GB"/>
        </w:rPr>
        <w:t xml:space="preserve"/>
      </w:r>
      <w:r>
        <w:rPr>
          <w:lang w:val="en-GB"/>
        </w:rPr>
        <w:t xml:space="preserve"/>
      </w:r>
      <w:r>
        <w:rPr>
          <w:b/>
          <w:bCs/>
          <w:lang w:val="en-GB"/>
        </w:rPr>
        <w:t xml:space="preserve">(DPF) when vendor is certified — </w:t>
      </w:r>
      <w:r>
        <w:rPr>
          <w:lang w:val="en-GB"/>
        </w:rPr>
        <w:t xml:space="preserve">[TO </w:t>
      </w:r>
      <w:r>
        <w:rPr>
          <w:lang w:val="en-GB"/>
        </w:rPr>
        <w:t xml:space="preserve"/>
      </w:r>
      <w:r>
        <w:rPr>
          <w:lang w:val="en-GB"/>
        </w:rPr>
        <w:t xml:space="preserve"/>
      </w:r>
      <w:r>
        <w:rPr>
          <w:b/>
          <w:bCs/>
          <w:lang w:val="en-GB"/>
        </w:rPr>
        <w:t xml:space="preserve">BE VERIFIED by vendor]: The </w:t>
      </w:r>
      <w:r>
        <w:rPr>
          <w:lang w:val="en-GB"/>
        </w:rPr>
        <w:t xml:space="preserve"/>
      </w:r>
      <w:r>
        <w:rPr>
          <w:lang w:val="en-GB"/>
        </w:rPr>
        <w:t xml:space="preserve">DPF certification of OpenRouter, Anthropic, and OpenAI must be verified on a vendor-by-vendor basis before relying on it. Do not assume unverified certification.</w:t>
      </w:r>
    </w:p>
    <w:p>
      <w:pPr>
        <w:pStyle w:val="Compact"/>
        <w:numPr>
          <w:ilvl w:val="0"/>
          <w:numId w:val="1021"/>
        </w:numPr>
      </w:pPr>
      <w:r>
        <w:rPr>
          <w:b/>
          <w:bCs/>
          <w:lang w:val="en-GB"/>
        </w:rPr>
        <w:t xml:space="preserve">Supplementary measures </w:t>
      </w:r>
      <w:r>
        <w:rPr>
          <w:lang w:val="en-GB"/>
        </w:rPr>
        <w:t xml:space="preserve"/>
      </w:r>
      <w:r>
        <w:rPr>
          <w:lang w:val="en-GB"/>
        </w:rPr>
        <w:t xml:space="preserve">(see section 5), in accordance with the EDPB recommendations on measures that supplement transfer tools.</w:t>
      </w:r>
    </w:p>
    <w:bookmarkEnd w:id="95"/>
    <w:bookmarkStart w:id="96" w:name="X0746e0ea3ea47c6136a496f999aa64ff85f02fe"/>
    <w:p>
      <w:pPr>
        <w:pStyle w:val="Heading2"/>
        <w:keepNext/>
        <w:keepLines/>
      </w:pPr>
      <w:r>
        <w:rPr>
          <w:color w:val="000000"/>
          <w:lang w:val="en-GB"/>
        </w:rPr>
        <w:t xml:space="preserve">5. (e) Additional measures implemented</w:t>
      </w:r>
    </w:p>
    <w:p>
      <w:pPr>
        <w:pStyle w:val="Compact"/>
        <w:numPr>
          <w:ilvl w:val="0"/>
          <w:numId w:val="1022"/>
        </w:numPr>
      </w:pPr>
      <w:r>
        <w:rPr>
          <w:b/>
          <w:bCs/>
          <w:lang w:val="en-GB"/>
        </w:rPr>
        <w:t xml:space="preserve">Encryption in transit: </w:t>
      </w:r>
      <w:r>
        <w:rPr>
          <w:lang w:val="en-GB"/>
        </w:rPr>
        <w:t xml:space="preserve"/>
      </w:r>
      <w:r>
        <w:rPr>
          <w:lang w:val="en-GB"/>
        </w:rPr>
        <w:t xml:space="preserve">TLS 1.2+ for all application and API flows.</w:t>
      </w:r>
    </w:p>
    <w:p>
      <w:pPr>
        <w:pStyle w:val="Compact"/>
        <w:numPr>
          <w:ilvl w:val="0"/>
          <w:numId w:val="1022"/>
        </w:numPr>
      </w:pPr>
      <w:r>
        <w:rPr>
          <w:b/>
          <w:bCs/>
          <w:lang w:val="en-GB"/>
        </w:rPr>
        <w:t xml:space="preserve">Backup encryption: </w:t>
      </w:r>
      <w:r>
        <w:rPr>
          <w:lang w:val="en-GB"/>
        </w:rPr>
        <w:t xml:space="preserve">encryption </w:t>
      </w:r>
      <w:r>
        <w:rPr>
          <w:lang w:val="en-GB"/>
        </w:rPr>
        <w:t xml:space="preserve">with </w:t>
      </w:r>
      <w:r>
        <w:rPr>
          <w:lang w:val="en-GB"/>
        </w:rPr>
        <w:t xml:space="preserve">age </w:t>
      </w:r>
      <w:r>
        <w:rPr>
          <w:b/>
          <w:bCs/>
          <w:lang w:val="en-GB"/>
        </w:rPr>
        <w:t xml:space="preserve"/>
      </w:r>
      <w:r>
        <w:rPr>
          <w:lang w:val="en-GB"/>
        </w:rPr>
        <w:t xml:space="preserve"/>
      </w:r>
      <w:r>
        <w:rPr>
          <w:lang w:val="en-GB"/>
        </w:rPr>
        <w:t xml:space="preserve">(X25519 + ChaCha20-Poly1305) </w:t>
      </w:r>
      <w:r>
        <w:rPr>
          <w:lang w:val="en-GB"/>
        </w:rPr>
        <w:t xml:space="preserve"/>
      </w:r>
      <w:r>
        <w:rPr>
          <w:b/>
          <w:bCs/>
          <w:lang w:val="en-GB"/>
        </w:rPr>
        <w:t xml:space="preserve">before </w:t>
      </w:r>
      <w:r>
        <w:rPr>
          <w:lang w:val="en-GB"/>
        </w:rPr>
        <w:t xml:space="preserve"/>
      </w:r>
      <w:r>
        <w:rPr>
          <w:lang w:val="en-GB"/>
        </w:rPr>
        <w:t xml:space="preserve">off-site transfer; keys held by OHADJA and kept </w:t>
      </w:r>
      <w:r>
        <w:rPr>
          <w:lang w:val="en-GB"/>
        </w:rPr>
        <w:t xml:space="preserve"/>
      </w:r>
      <w:r>
        <w:rPr>
          <w:b/>
          <w:bCs/>
          <w:lang w:val="en-GB"/>
        </w:rPr>
        <w:t xml:space="preserve">in </w:t>
      </w:r>
      <w:r>
        <w:rPr>
          <w:lang w:val="en-GB"/>
        </w:rPr>
        <w:t xml:space="preserve">the EU. The storage provider (Scaleway, France) holds only unreadable blocks.</w:t>
      </w:r>
    </w:p>
    <w:p>
      <w:pPr>
        <w:pStyle w:val="Compact"/>
        <w:numPr>
          <w:ilvl w:val="0"/>
          <w:numId w:val="1022"/>
        </w:numPr>
      </w:pPr>
      <w:r>
        <w:rPr>
          <w:b/>
          <w:bCs/>
          <w:lang w:val="en-GB"/>
        </w:rPr>
        <w:t xml:space="preserve">Minimization of prompts: </w:t>
      </w:r>
      <w:r>
        <w:rPr>
          <w:lang w:val="en-GB"/>
        </w:rPr>
        <w:t xml:space="preserve"/>
      </w:r>
      <w:r>
        <w:rPr>
          <w:lang w:val="en-GB"/>
        </w:rPr>
        <w:t xml:space="preserve">only sources selected by the user are transmitted to the models; reduction of volume and content.</w:t>
      </w:r>
    </w:p>
    <w:p>
      <w:pPr>
        <w:pStyle w:val="Compact"/>
        <w:numPr>
          <w:ilvl w:val="0"/>
          <w:numId w:val="1022"/>
        </w:numPr>
      </w:pPr>
      <w:r>
        <w:rPr>
          <w:b/>
          <w:bCs/>
          <w:lang w:val="en-GB"/>
        </w:rPr>
        <w:t xml:space="preserve">No-train: </w:t>
      </w:r>
      <w:r>
        <w:rPr>
          <w:lang w:val="en-GB"/>
        </w:rPr>
        <w:t xml:space="preserve"/>
      </w:r>
      <w:r>
        <w:rPr>
          <w:lang w:val="en-GB"/>
        </w:rPr>
        <w:t xml:space="preserve">non-training commitment (OpenRouter no-train flag, supplier DPA commitments) — data is not used to train models.</w:t>
      </w:r>
    </w:p>
    <w:p>
      <w:pPr>
        <w:pStyle w:val="Compact"/>
        <w:numPr>
          <w:ilvl w:val="0"/>
          <w:numId w:val="1022"/>
        </w:numPr>
      </w:pPr>
      <w:r>
        <w:rPr>
          <w:b/>
          <w:bCs/>
          <w:lang w:val="en-GB"/>
        </w:rPr>
        <w:t xml:space="preserve">No durable storage on the AI </w:t>
      </w:r>
      <w:r>
        <w:rPr>
          <w:lang w:val="en-GB"/>
        </w:rPr>
        <w:t xml:space="preserve"/>
      </w:r>
      <w:r>
        <w:rPr>
          <w:lang w:val="en-GB"/>
        </w:rPr>
        <w:t xml:space="preserve">provider side: prompts are not persisted by model providers.</w:t>
      </w:r>
    </w:p>
    <w:p>
      <w:pPr>
        <w:pStyle w:val="Compact"/>
        <w:numPr>
          <w:ilvl w:val="0"/>
          <w:numId w:val="1022"/>
        </w:numPr>
      </w:pPr>
      <w:r>
        <w:rPr>
          <w:b/>
          <w:bCs/>
          <w:lang w:val="en-GB"/>
        </w:rPr>
        <w:t xml:space="preserve">Partial pseudonymization: </w:t>
      </w:r>
      <w:r>
        <w:rPr>
          <w:lang w:val="en-GB"/>
        </w:rPr>
        <w:t xml:space="preserve"/>
      </w:r>
      <w:r>
        <w:rPr>
          <w:lang w:val="en-GB"/>
        </w:rPr>
        <w:t xml:space="preserve">when possible, reduction of direct identifiers in transmitted content.</w:t>
      </w:r>
    </w:p>
    <w:bookmarkEnd w:id="96"/>
    <w:bookmarkStart w:id="97" w:name="X6339bad733b4d8019ab28156a753cf759c0b8d9"/>
    <w:p>
      <w:pPr>
        <w:pStyle w:val="Heading2"/>
        <w:keepNext/>
        <w:keepLines/>
      </w:pPr>
      <w:r>
        <w:rPr>
          <w:color w:val="000000"/>
          <w:lang w:val="en-GB"/>
        </w:rPr>
        <w:t xml:space="preserve">6. (d) Status of transfer impact analyzes (AITD/TIA)</w:t>
      </w:r>
    </w:p>
    <w:p>
      <w:pPr>
        <w:pStyle w:val="FirstParagraph"/>
      </w:pPr>
      <w:r>
        <w:rPr>
          <w:lang w:val="en-GB"/>
        </w:rPr>
        <w:t xml:space="preserve">Transfer </w:t>
      </w:r>
      <w:r>
        <w:rPr>
          <w:lang w:val="en-GB"/>
        </w:rPr>
        <w:t xml:space="preserve"/>
      </w:r>
      <w:r>
        <w:rPr>
          <w:b/>
          <w:bCs/>
          <w:lang w:val="en-GB"/>
        </w:rPr>
        <w:t xml:space="preserve">impact assessments (TIAs) for fallback and GPU providers remain </w:t>
      </w:r>
      <w:r>
        <w:rPr>
          <w:lang w:val="en-GB"/>
        </w:rPr>
        <w:t xml:space="preserve">to </w:t>
      </w:r>
      <w:r>
        <w:rPr>
          <w:lang w:val="en-GB"/>
        </w:rPr>
        <w:t xml:space="preserve">be completed and validated before any transfer </w:t>
      </w:r>
      <w:r>
        <w:rPr>
          <w:lang w:val="en-GB"/>
        </w:rPr>
        <w:t xml:space="preserve"/>
      </w:r>
      <w:r>
        <w:rPr>
          <w:b/>
          <w:bCs/>
          <w:lang w:val="en-GB"/>
        </w:rPr>
        <w:t xml:space="preserve">requiring this assessment. </w:t>
      </w:r>
      <w:r>
        <w:rPr>
          <w:lang w:val="en-GB"/>
        </w:rPr>
        <w:t xml:space="preserve"/>
      </w:r>
      <w:r>
        <w:rPr>
          <w:lang w:val="en-GB"/>
        </w:rPr>
        <w:t xml:space="preserve">As at 2026-07-24, they are not finalised [TO COMPLETE: </w:t>
      </w:r>
      <w:r>
        <w:rPr>
          <w:lang w:val="en-GB"/>
        </w:rPr>
        <w:t xml:space="preserve"/>
      </w:r>
      <w:r>
        <w:rPr>
          <w:b/>
          <w:bCs/>
          <w:lang w:val="en-GB"/>
        </w:rPr>
        <w:t xml:space="preserve">assessment by flow, provider, </w:t>
      </w:r>
      <w:r>
        <w:rPr>
          <w:lang w:val="en-GB"/>
        </w:rPr>
        <w:t xml:space="preserve">country and mechanism]. No transfer must be started </w:t>
      </w:r>
      <w:r>
        <w:rPr>
          <w:lang w:val="en-GB"/>
        </w:rPr>
        <w:t xml:space="preserve">or </w:t>
      </w:r>
      <w:r>
        <w:rPr>
          <w:b/>
          <w:bCs/>
          <w:lang w:val="en-GB"/>
        </w:rPr>
        <w:t xml:space="preserve">continued without </w:t>
      </w:r>
      <w:r>
        <w:rPr>
          <w:lang w:val="en-GB"/>
        </w:rPr>
        <w:t xml:space="preserve"/>
      </w:r>
      <w:r>
        <w:rPr>
          <w:lang w:val="en-GB"/>
        </w:rPr>
        <w:t xml:space="preserve">a valid mechanism and effectively verified safeguards; otherwise, the relevant path must remain disabled. A summary will be available on request after validation.</w:t>
      </w:r>
    </w:p>
    <w:p>
      <w:pPr>
        <w:pStyle w:val="BodyText"/>
      </w:pPr>
      <w:r>
        <w:rPr>
          <w:lang w:val="en-GB"/>
        </w:rPr>
        <w:t xml:space="preserve">This formalization will cover, for each supplier: the mapping of the flow, the legislation of the third country (in particular the access of the authorities), the evaluation of the effectiveness of the additional measures, and the conclusion on the admissibility of the transfer. The scope of these analyzes is reduced by the fact that the emergency route can be deactivated (“strict EU” profile).</w:t>
      </w:r>
    </w:p>
    <w:bookmarkEnd w:id="97"/>
    <w:bookmarkStart w:id="98" w:name="X56f4867122fc146617b334329af1bcb476100bf"/>
    <w:p>
      <w:pPr>
        <w:pStyle w:val="Heading2"/>
        <w:keepNext/>
        <w:keepLines/>
      </w:pPr>
      <w:r>
        <w:rPr>
          <w:color w:val="000000"/>
          <w:lang w:val="en-GB"/>
        </w:rPr>
        <w:t xml:space="preserve">7. (f) Human administrative access — France / EU commitment requiring operational verification</w:t>
      </w:r>
    </w:p>
    <w:p>
      <w:pPr>
        <w:pStyle w:val="FirstParagraph"/>
      </w:pPr>
      <w:r>
        <w:rPr>
          <w:b/>
          <w:bCs/>
          <w:lang w:val="en-GB"/>
        </w:rPr>
        <w:t xml:space="preserve">Contractual commitment. </w:t>
      </w:r>
      <w:r>
        <w:rPr>
          <w:lang w:val="en-GB"/>
        </w:rPr>
        <w:t xml:space="preserve"/>
      </w:r>
      <w:r>
        <w:rPr>
          <w:lang w:val="en-GB"/>
        </w:rPr>
        <w:t xml:space="preserve">The publisher and processor </w:t>
      </w:r>
      <w:r>
        <w:rPr>
          <w:lang w:val="en-GB"/>
        </w:rPr>
        <w:t xml:space="preserve"/>
      </w:r>
      <w:r>
        <w:rPr>
          <w:b/>
          <w:bCs/>
          <w:lang w:val="en-GB"/>
        </w:rPr>
        <w:t xml:space="preserve">OHADJA is established in Paris </w:t>
      </w:r>
      <w:r>
        <w:rPr>
          <w:lang w:val="en-GB"/>
        </w:rPr>
        <w:t xml:space="preserve">(France). The administration, support and security of the service are </w:t>
      </w:r>
      <w:r>
        <w:rPr>
          <w:lang w:val="en-GB"/>
        </w:rPr>
        <w:t xml:space="preserve"/>
      </w:r>
      <w:r>
        <w:rPr>
          <w:b/>
          <w:bCs/>
          <w:lang w:val="en-GB"/>
        </w:rPr>
        <w:t xml:space="preserve">carried out exclusively from France / the European </w:t>
      </w:r>
      <w:r>
        <w:rPr>
          <w:lang w:val="en-GB"/>
        </w:rPr>
        <w:t xml:space="preserve">Union. This contractual commitment ensures </w:t>
      </w:r>
      <w:r>
        <w:rPr>
          <w:b/>
          <w:bCs/>
          <w:lang w:val="en-GB"/>
        </w:rPr>
        <w:t xml:space="preserve">that no human access to production data takes place from a third </w:t>
      </w:r>
      <w:r>
        <w:rPr>
          <w:lang w:val="en-GB"/>
        </w:rPr>
        <w:t xml:space="preserve">country.</w:t>
      </w:r>
    </w:p>
    <w:p>
      <w:pPr>
        <w:pStyle w:val="BodyText"/>
      </w:pPr>
      <w:r>
        <w:rPr>
          <w:b/>
          <w:bCs/>
          <w:lang w:val="en-GB"/>
        </w:rPr>
        <w:t xml:space="preserve">Transparency on the link with Monaco. AMBASSADIA </w:t>
      </w:r>
      <w:r>
        <w:rPr>
          <w:lang w:val="en-GB"/>
        </w:rPr>
        <w:t xml:space="preserve"/>
      </w:r>
      <w:r>
        <w:rPr>
          <w:lang w:val="en-GB"/>
        </w:rPr>
        <w:t xml:space="preserve">SARL is described as a commercial reseller/distributor without production-data access. The commitment to administration </w:t>
      </w:r>
      <w:r>
        <w:rPr>
          <w:lang w:val="en-GB"/>
        </w:rPr>
        <w:t xml:space="preserve">and </w:t>
      </w:r>
      <w:r>
        <w:rPr>
          <w:b/>
          <w:bCs/>
          <w:lang w:val="en-GB"/>
        </w:rPr>
        <w:t xml:space="preserve">support from </w:t>
      </w:r>
      <w:r>
        <w:rPr>
          <w:lang w:val="en-GB"/>
        </w:rPr>
        <w:t xml:space="preserve">France/the EU must be confirmed </w:t>
      </w:r>
      <w:r>
        <w:rPr>
          <w:lang w:val="en-GB"/>
        </w:rPr>
        <w:t xml:space="preserve"/>
      </w:r>
      <w:r>
        <w:rPr>
          <w:b/>
          <w:bCs/>
          <w:lang w:val="en-GB"/>
        </w:rPr>
        <w:t xml:space="preserve">through authorised personnel, </w:t>
      </w:r>
      <w:r>
        <w:rPr>
          <w:lang w:val="en-GB"/>
        </w:rPr>
        <w:t xml:space="preserve"/>
      </w:r>
      <w:r>
        <w:rPr>
          <w:lang w:val="en-GB"/>
        </w:rPr>
        <w:t xml:space="preserve"/>
      </w:r>
      <w:r>
        <w:rPr>
          <w:lang w:val="en-GB"/>
        </w:rPr>
        <w:t xml:space="preserve"/>
      </w:r>
      <w:r>
        <w:rPr>
          <w:b/>
          <w:bCs/>
          <w:lang w:val="en-GB"/>
        </w:rPr>
        <w:t xml:space="preserve">their actual access locations and operational controls. </w:t>
      </w:r>
      <w:r>
        <w:rPr>
          <w:lang w:val="en-GB"/>
        </w:rPr>
        <w:t xml:space="preserve"/>
      </w:r>
      <w:r>
        <w:rPr>
          <w:lang w:val="en-GB"/>
        </w:rPr>
        <w:t xml:space="preserve">A contractual declaration alone does not prove the absence of access from Monaco or another third country. Any </w:t>
      </w:r>
      <w:r>
        <w:rPr>
          <w:lang w:val="en-GB"/>
        </w:rPr>
        <w:t xml:space="preserve"/>
      </w:r>
      <w:r>
        <w:rPr>
          <w:b/>
          <w:bCs/>
          <w:lang w:val="en-GB"/>
        </w:rPr>
        <w:t xml:space="preserve">access outside the </w:t>
      </w:r>
      <w:r>
        <w:rPr>
          <w:lang w:val="en-GB"/>
        </w:rPr>
        <w:t xml:space="preserve"/>
      </w:r>
      <w:r>
        <w:rPr>
          <w:lang w:val="en-GB"/>
        </w:rPr>
        <w:t xml:space="preserve">authorised scope requires a fresh assessment of roles, risks and, where applicable, Chapter V before implementation.</w:t>
      </w:r>
    </w:p>
    <w:p>
      <w:pPr>
        <w:pStyle w:val="BodyText"/>
      </w:pPr>
      <w:r>
        <w:rPr>
          <w:b/>
          <w:bCs/>
          <w:lang w:val="en-GB"/>
        </w:rPr>
        <w:t xml:space="preserve">Technical supervision of access </w:t>
      </w:r>
      <w:r>
        <w:rPr>
          <w:lang w:val="en-GB"/>
        </w:rPr>
        <w:t xml:space="preserve">(France/EU). </w:t>
      </w:r>
      <w:r>
        <w:rPr>
          <w:lang w:val="en-GB"/>
        </w:rPr>
        <w:t xml:space="preserve">Personal access, SSH key, 2FA TOTP, TLS, </w:t>
      </w:r>
      <w:r>
        <w:rPr>
          <w:lang w:val="en-GB"/>
        </w:rPr>
        <w:t xml:space="preserve"/>
      </w:r>
      <w:r>
        <w:rPr>
          <w:b/>
          <w:bCs/>
          <w:lang w:val="en-GB"/>
        </w:rPr>
        <w:t xml:space="preserve">logging, no local </w:t>
      </w:r>
      <w:r>
        <w:rPr>
          <w:lang w:val="en-GB"/>
        </w:rPr>
        <w:t xml:space="preserve"/>
      </w:r>
      <w:r>
        <w:rPr>
          <w:lang w:val="en-GB"/>
        </w:rPr>
        <w:t xml:space="preserve">copy of production data.</w:t>
      </w:r>
    </w:p>
    <w:bookmarkEnd w:id="98"/>
    <w:bookmarkStart w:id="99" w:name="X034bb2e08dbf4a36e99bf05805e087826fb2045"/>
    <w:p>
      <w:pPr>
        <w:pStyle w:val="Heading2"/>
        <w:keepNext/>
        <w:keepLines/>
      </w:pPr>
      <w:r>
        <w:rPr>
          <w:color w:val="000000"/>
          <w:lang w:val="en-GB"/>
        </w:rPr>
        <w:t xml:space="preserve">8. (g) “EU strict” profile can be activated</w:t>
      </w:r>
    </w:p>
    <w:p>
      <w:pPr>
        <w:pStyle w:val="FirstParagraph"/>
      </w:pPr>
      <w:r>
        <w:rPr>
          <w:lang w:val="en-GB"/>
        </w:rPr>
        <w:t xml:space="preserve">The </w:t>
      </w:r>
      <w:r>
        <w:rPr>
          <w:lang w:val="en-GB"/>
        </w:rPr>
        <w:t xml:space="preserve"/>
      </w:r>
      <w:r>
        <w:rPr>
          <w:b/>
          <w:bCs/>
          <w:lang w:val="en-GB"/>
        </w:rPr>
        <w:t xml:space="preserve">primary inference route is already in </w:t>
      </w:r>
      <w:r>
        <w:rPr>
          <w:lang w:val="en-GB"/>
        </w:rPr>
        <w:t xml:space="preserve"/>
      </w:r>
      <w:r>
        <w:rPr>
          <w:lang w:val="en-GB"/>
        </w:rPr>
        <w:t xml:space="preserve">the EU (vLLM servers controlled in Strasbourg / Paris). TranscribIA additionally </w:t>
      </w:r>
      <w:r>
        <w:rPr>
          <w:lang w:val="en-GB"/>
        </w:rPr>
        <w:t xml:space="preserve"/>
      </w:r>
      <w:r>
        <w:rPr>
          <w:b/>
          <w:bCs/>
          <w:lang w:val="en-GB"/>
        </w:rPr>
        <w:t xml:space="preserve">offers, per </w:t>
      </w:r>
      <w:r>
        <w:rPr>
          <w:lang w:val="en-GB"/>
        </w:rPr>
        <w:t xml:space="preserve"/>
      </w:r>
      <w:r>
        <w:rPr>
          <w:lang w:val="en-GB"/>
        </w:rPr>
        <w:t xml:space="preserve">organization (since version 1.7.0), a </w:t>
      </w:r>
      <w:r>
        <w:rPr>
          <w:lang w:val="en-GB"/>
        </w:rPr>
        <w:t xml:space="preserve"/>
      </w:r>
      <w:r>
        <w:rPr>
          <w:b/>
          <w:bCs/>
          <w:lang w:val="en-GB"/>
        </w:rPr>
        <w:t xml:space="preserve">“strict EU” </w:t>
      </w:r>
      <w:r>
        <w:rPr>
          <w:lang w:val="en-GB"/>
        </w:rPr>
        <w:t xml:space="preserve"/>
      </w:r>
      <w:r>
        <w:rPr>
          <w:lang w:val="en-GB"/>
        </w:rPr>
        <w:t xml:space="preserve">profile </w:t>
      </w:r>
      <w:r>
        <w:rPr>
          <w:lang w:val="en-GB"/>
        </w:rPr>
        <w:t xml:space="preserve"/>
      </w:r>
      <w:r>
        <w:rPr>
          <w:b/>
          <w:bCs/>
          <w:lang w:val="en-GB"/>
        </w:rPr>
        <w:t xml:space="preserve">which deactivates the OpenRouter </w:t>
      </w:r>
      <w:r>
        <w:rPr>
          <w:lang w:val="en-GB"/>
        </w:rPr>
        <w:t xml:space="preserve"/>
      </w:r>
      <w:r>
        <w:rPr>
          <w:lang w:val="en-GB"/>
        </w:rPr>
        <w:t xml:space="preserve">fallback route </w:t>
      </w:r>
      <w:r>
        <w:rPr>
          <w:lang w:val="en-GB"/>
        </w:rPr>
        <w:t xml:space="preserve"/>
      </w:r>
      <w:r>
        <w:rPr>
          <w:b/>
          <w:bCs/>
          <w:lang w:val="en-GB"/>
        </w:rPr>
        <w:t xml:space="preserve">and imposes </w:t>
      </w:r>
      <w:r>
        <w:rPr>
          <w:lang w:val="en-GB"/>
        </w:rPr>
        <w:t xml:space="preserve"/>
      </w:r>
      <w:r>
        <w:rPr>
          <w:lang w:val="en-GB"/>
        </w:rPr>
        <w:t xml:space="preserve">a GPU in the EU (if necessary a self-hosted </w:t>
      </w:r>
      <w:r>
        <w:rPr>
          <w:lang w:val="en-GB"/>
        </w:rPr>
        <w:t xml:space="preserve"/>
      </w:r>
      <w:r>
        <w:rPr>
          <w:b/>
          <w:bCs/>
          <w:lang w:val="en-GB"/>
        </w:rPr>
        <w:t xml:space="preserve">LLM). This profile removes any technical transfer to </w:t>
      </w:r>
      <w:r>
        <w:rPr>
          <w:lang w:val="en-GB"/>
        </w:rPr>
        <w:t xml:space="preserve"/>
      </w:r>
      <w:r>
        <w:rPr>
          <w:lang w:val="en-GB"/>
        </w:rPr>
        <w:t xml:space="preserve">the United States (OpenRouter fallback/US suppliers and Vast.ai US). It can be enabled for the Customer organization to ensure a fully EU AI chain, while retaining Option A (SaaS).</w:t>
      </w:r>
    </w:p>
    <w:bookmarkEnd w:id="99"/>
    <w:bookmarkStart w:id="100" w:name="Xde4efbcb23f51c6c03ba9662cf7bc2a20306427"/>
    <w:p>
      <w:pPr>
        <w:pStyle w:val="Heading2"/>
        <w:keepNext/>
        <w:keepLines/>
      </w:pPr>
      <w:r>
        <w:rPr>
          <w:color w:val="000000"/>
          <w:lang w:val="en-GB"/>
        </w:rPr>
        <w:t xml:space="preserve">9. (h) Isolated Option B — no transfer</w:t>
      </w:r>
    </w:p>
    <w:p>
      <w:pPr>
        <w:pStyle w:val="FirstParagraph"/>
      </w:pPr>
      <w:r>
        <w:rPr>
          <w:lang w:val="en-GB"/>
        </w:rPr>
        <w:t xml:space="preserve">In </w:t>
      </w:r>
      <w:r>
        <w:rPr>
          <w:lang w:val="en-GB"/>
        </w:rPr>
        <w:t xml:space="preserve"/>
      </w:r>
      <w:r>
        <w:rPr>
          <w:b/>
          <w:bCs/>
          <w:lang w:val="en-GB"/>
        </w:rPr>
        <w:t xml:space="preserve">isolated Option </w:t>
      </w:r>
      <w:r>
        <w:rPr>
          <w:lang w:val="en-GB"/>
        </w:rPr>
        <w:t xml:space="preserve"/>
      </w:r>
      <w:r>
        <w:rPr>
          <w:lang w:val="en-GB"/>
        </w:rPr>
        <w:t xml:space="preserve">B (on-premise deployment without </w:t>
      </w:r>
      <w:r>
        <w:rPr>
          <w:lang w:val="en-GB"/>
        </w:rPr>
        <w:t xml:space="preserve"/>
      </w:r>
      <w:r>
        <w:rPr>
          <w:b/>
          <w:bCs/>
          <w:lang w:val="en-GB"/>
        </w:rPr>
        <w:t xml:space="preserve">cloud), no transfer or access outside </w:t>
      </w:r>
      <w:r>
        <w:rPr>
          <w:lang w:val="en-GB"/>
        </w:rPr>
        <w:t xml:space="preserve"/>
      </w:r>
      <w:r>
        <w:rPr>
          <w:lang w:val="en-GB"/>
        </w:rPr>
        <w:t xml:space="preserve">the EEA takes place: the application, the database, the transcription GPU worker and the self-hosted language model run entirely in the Customer's infrastructure. It is this mode that allows the “no data in the cloud” declaration. The only possible external access would be a maintenance access of OHADJA expressly authorized and triggered by the Customer — subject to the access commitment exclusively from France / the EU.</w:t>
      </w:r>
    </w:p>
    <w:bookmarkEnd w:id="100"/>
    <w:bookmarkStart w:id="101" w:name="X6bfe4dd000e396369869c62fc9491b9e3c11286"/>
    <w:p>
      <w:pPr>
        <w:pStyle w:val="Heading2"/>
        <w:keepNext/>
        <w:keepLines/>
      </w:pPr>
      <w:r>
        <w:rPr>
          <w:color w:val="000000"/>
          <w:lang w:val="en-GB"/>
        </w:rPr>
        <w:t xml:space="preserve">10. Summary</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Location</w:t>
            </w:r>
          </w:p>
        </w:tc>
        <w:tc>
          <w:tcPr/>
          <w:p>
            <w:pPr>
              <w:pStyle w:val="Compact"/>
            </w:pPr>
            <w:r>
              <w:rPr>
                <w:lang w:val="en-GB"/>
              </w:rPr>
              <w:t xml:space="preserve">Mechanism</w:t>
            </w:r>
          </w:p>
        </w:tc>
        <w:tc>
          <w:tcPr/>
          <w:p>
            <w:pPr>
              <w:pStyle w:val="Compact"/>
            </w:pPr>
            <w:r>
              <w:rPr>
                <w:lang w:val="en-GB"/>
              </w:rPr>
              <w:t xml:space="preserve">Status</w:t>
            </w:r>
          </w:p>
        </w:tc>
      </w:tr>
      <w:tr>
        <w:trPr>
          <w:cantSplit/>
        </w:trPr>
        <w:tc>
          <w:tcPr/>
          <w:p>
            <w:pPr>
              <w:pStyle w:val="Compact"/>
            </w:pPr>
            <w:r>
              <w:rPr>
                <w:lang w:val="en-GB"/>
              </w:rPr>
              <w:t xml:space="preserve">AI inference — </w:t>
            </w:r>
            <w:r>
              <w:rPr>
                <w:lang w:val="en-GB"/>
              </w:rPr>
              <w:t xml:space="preserve"/>
            </w:r>
            <w:r>
              <w:rPr>
                <w:b/>
                <w:bCs/>
                <w:lang w:val="en-GB"/>
              </w:rPr>
              <w:t xml:space="preserve">primary pathway (EU vLLM)</w:t>
            </w:r>
          </w:p>
        </w:tc>
        <w:tc>
          <w:tcPr/>
          <w:p>
            <w:pPr>
              <w:pStyle w:val="Compact"/>
            </w:pPr>
            <w:r>
              <w:rPr>
                <w:lang w:val="en-GB"/>
              </w:rPr>
              <w:t xml:space="preserve">Servers controlled in the EU (Strasbourg / Paris)</w:t>
            </w:r>
          </w:p>
        </w:tc>
        <w:tc>
          <w:tcPr/>
          <w:p>
            <w:pPr>
              <w:pStyle w:val="Compact"/>
            </w:pPr>
            <w:r>
              <w:rPr>
                <w:b/>
                <w:bCs/>
                <w:lang w:val="en-GB"/>
              </w:rPr>
              <w:t xml:space="preserve">No transfer outside the EEA</w:t>
            </w:r>
          </w:p>
        </w:tc>
      </w:tr>
      <w:tr>
        <w:trPr>
          <w:cantSplit/>
        </w:trPr>
        <w:tc>
          <w:tcPr/>
          <w:p>
            <w:pPr>
              <w:pStyle w:val="Compact"/>
            </w:pPr>
            <w:r>
              <w:rPr>
                <w:lang w:val="en-GB"/>
              </w:rPr>
              <w:t xml:space="preserve">Backups (Scaleway, France)</w:t>
            </w:r>
          </w:p>
        </w:tc>
        <w:tc>
          <w:tcPr/>
          <w:p>
            <w:pPr>
              <w:pStyle w:val="Compact"/>
            </w:pPr>
            <w:r>
              <w:rPr>
                <w:lang w:val="en-GB"/>
              </w:rPr>
              <w:t xml:space="preserve">EU storage + age encryption before sending</w:t>
            </w:r>
          </w:p>
        </w:tc>
        <w:tc>
          <w:tcPr/>
          <w:p>
            <w:pPr>
              <w:pStyle w:val="Compact"/>
            </w:pPr>
            <w:r>
              <w:rPr>
                <w:b/>
                <w:bCs/>
                <w:lang w:val="en-GB"/>
              </w:rPr>
              <w:t xml:space="preserve">No transfer outside the EEA</w:t>
            </w:r>
          </w:p>
        </w:tc>
      </w:tr>
      <w:tr>
        <w:trPr>
          <w:cantSplit/>
        </w:trPr>
        <w:tc>
          <w:tcPr/>
          <w:p>
            <w:pPr>
              <w:pStyle w:val="Compact"/>
            </w:pPr>
            <w:r>
              <w:rPr>
                <w:lang w:val="en-GB"/>
              </w:rPr>
              <w:t xml:space="preserve">US AI flow </w:t>
            </w:r>
            <w:r>
              <w:rPr>
                <w:lang w:val="en-GB"/>
              </w:rPr>
              <w:t xml:space="preserve"/>
            </w:r>
            <w:r>
              <w:rPr>
                <w:b/>
                <w:bCs/>
                <w:lang w:val="en-GB"/>
              </w:rPr>
              <w:t xml:space="preserve">— OpenRouter fallback (can be disabled)</w:t>
            </w:r>
          </w:p>
        </w:tc>
        <w:tc>
          <w:tcPr/>
          <w:p>
            <w:pPr>
              <w:pStyle w:val="Compact"/>
            </w:pPr>
            <w:r>
              <w:rPr>
                <w:lang w:val="en-GB"/>
              </w:rPr>
              <w:t xml:space="preserve">CCT + DPF [TO CHECK] + additional measures</w:t>
            </w:r>
          </w:p>
        </w:tc>
        <w:tc>
          <w:tcPr/>
          <w:p>
            <w:pPr>
              <w:pStyle w:val="Compact"/>
            </w:pPr>
            <w:r>
              <w:rPr>
                <w:lang w:val="en-GB"/>
              </w:rPr>
              <w:t xml:space="preserve">Subject to prior </w:t>
            </w:r>
            <w:r>
              <w:rPr>
                <w:lang w:val="en-GB"/>
              </w:rPr>
              <w:t xml:space="preserve">validation </w:t>
            </w:r>
            <w:r>
              <w:rPr>
                <w:b/>
                <w:bCs/>
                <w:lang w:val="en-GB"/>
              </w:rPr>
              <w:t xml:space="preserve">of the mechanism </w:t>
            </w:r>
            <w:r>
              <w:rPr>
                <w:lang w:val="en-GB"/>
              </w:rPr>
              <w:t xml:space="preserve"/>
            </w:r>
            <w:r>
              <w:rPr>
                <w:lang w:val="en-GB"/>
              </w:rPr>
              <w:t xml:space="preserve">and safeguards; disable the relevant path until validation is complete; avoidable through a verified strict-EU profile</w:t>
            </w:r>
          </w:p>
        </w:tc>
      </w:tr>
      <w:tr>
        <w:trPr>
          <w:cantSplit/>
        </w:trPr>
        <w:tc>
          <w:tcPr/>
          <w:p>
            <w:pPr>
              <w:pStyle w:val="Compact"/>
            </w:pPr>
            <w:r>
              <w:rPr>
                <w:lang w:val="en-GB"/>
              </w:rPr>
              <w:t xml:space="preserve">Vast.ai US (if enabled)</w:t>
            </w:r>
          </w:p>
        </w:tc>
        <w:tc>
          <w:tcPr/>
          <w:p>
            <w:pPr>
              <w:pStyle w:val="Compact"/>
            </w:pPr>
            <w:r>
              <w:rPr>
                <w:lang w:val="en-GB"/>
              </w:rPr>
              <w:t xml:space="preserve">EU selection when required; CCT otherwise</w:t>
            </w:r>
          </w:p>
        </w:tc>
        <w:tc>
          <w:tcPr/>
          <w:p>
            <w:pPr>
              <w:pStyle w:val="Compact"/>
            </w:pPr>
            <w:r>
              <w:rPr>
                <w:lang w:val="en-GB"/>
              </w:rPr>
              <w:t xml:space="preserve">Subject to safeguards; avoidable with a dedicated EU GPU</w:t>
            </w:r>
          </w:p>
        </w:tc>
      </w:tr>
      <w:tr>
        <w:trPr>
          <w:cantSplit/>
        </w:trPr>
        <w:tc>
          <w:tcPr/>
          <w:p>
            <w:pPr>
              <w:pStyle w:val="Compact"/>
            </w:pPr>
            <w:r>
              <w:rPr>
                <w:lang w:val="en-GB"/>
              </w:rPr>
              <w:t xml:space="preserve">Human administration access</w:t>
            </w:r>
          </w:p>
        </w:tc>
        <w:tc>
          <w:tcPr/>
          <w:p>
            <w:pPr>
              <w:pStyle w:val="Compact"/>
            </w:pPr>
            <w:r>
              <w:rPr>
                <w:b/>
                <w:bCs/>
                <w:lang w:val="en-GB"/>
              </w:rPr>
              <w:t xml:space="preserve">France/EU commitment only</w:t>
            </w:r>
          </w:p>
        </w:tc>
        <w:tc>
          <w:tcPr/>
          <w:p>
            <w:pPr>
              <w:pStyle w:val="Compact"/>
            </w:pPr>
            <w:r>
              <w:rPr>
                <w:lang w:val="en-GB"/>
              </w:rPr>
              <w:t xml:space="preserve">Access contractually limited to France/EU; operational verification required, including for Monaco</w:t>
            </w:r>
          </w:p>
        </w:tc>
      </w:tr>
      <w:tr>
        <w:trPr>
          <w:cantSplit/>
        </w:trPr>
        <w:tc>
          <w:tcPr/>
          <w:p>
            <w:pPr>
              <w:pStyle w:val="Compact"/>
            </w:pPr>
            <w:r>
              <w:rPr>
                <w:lang w:val="en-GB"/>
              </w:rPr>
              <w:t xml:space="preserve">“Strict EU” profile</w:t>
            </w:r>
          </w:p>
        </w:tc>
        <w:tc>
          <w:tcPr/>
          <w:p>
            <w:pPr>
              <w:pStyle w:val="Compact"/>
            </w:pPr>
            <w:r>
              <w:rPr>
                <w:lang w:val="en-GB"/>
              </w:rPr>
              <w:t xml:space="preserve">Primary route only / EU LLM or self-hosted + EU GPU</w:t>
            </w:r>
          </w:p>
        </w:tc>
        <w:tc>
          <w:tcPr/>
          <w:p>
            <w:pPr>
              <w:pStyle w:val="Compact"/>
            </w:pPr>
            <w:r>
              <w:rPr>
                <w:lang w:val="en-GB"/>
              </w:rPr>
              <w:t xml:space="preserve">Remove US transfers</w:t>
            </w:r>
          </w:p>
        </w:tc>
      </w:tr>
      <w:tr>
        <w:trPr>
          <w:cantSplit/>
        </w:trPr>
        <w:tc>
          <w:tcPr/>
          <w:p>
            <w:pPr>
              <w:pStyle w:val="Compact"/>
            </w:pPr>
            <w:r>
              <w:rPr>
                <w:lang w:val="en-GB"/>
              </w:rPr>
              <w:t xml:space="preserve">Option B isolated</w:t>
            </w:r>
          </w:p>
        </w:tc>
        <w:tc>
          <w:tcPr/>
          <w:p>
            <w:pPr>
              <w:pStyle w:val="Compact"/>
            </w:pPr>
            <w:r>
              <w:rPr>
                <w:lang w:val="en-GB"/>
              </w:rPr>
              <w:t xml:space="preserve">—</w:t>
            </w:r>
          </w:p>
        </w:tc>
        <w:tc>
          <w:tcPr/>
          <w:p>
            <w:pPr>
              <w:pStyle w:val="Compact"/>
            </w:pPr>
            <w:r>
              <w:rPr>
                <w:b/>
                <w:bCs/>
                <w:lang w:val="en-GB"/>
              </w:rPr>
              <w:t xml:space="preserve">No transfer outside the EEA</w:t>
            </w:r>
          </w:p>
        </w:tc>
      </w:tr>
    </w:tbl>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101"/>
    <w:bookmarkEnd w:id="102"/>
    <w:bookmarkStart w:id="110" w:name="X7dfa085352667209966fa6cd7412a1e78b1fa3f"/>
    <w:p>
      <w:pPr>
        <w:pStyle w:val="Heading1"/>
        <w:keepNext/>
        <w:keepLines/>
      </w:pPr>
      <w:r>
        <w:rPr>
          <w:color w:val="000000"/>
          <w:lang w:val="en-GB"/>
        </w:rPr>
        <w:t xml:space="preserve">Data retention periods matrix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OHA-RGPD-05</w:t>
            </w:r>
          </w:p>
        </w:tc>
      </w:tr>
      <w:tr>
        <w:trPr>
          <w:cantSplit/>
        </w:trPr>
        <w:tc>
          <w:tcPr/>
          <w:p>
            <w:pPr>
              <w:pStyle w:val="Compact"/>
            </w:pPr>
            <w:r>
              <w:rPr>
                <w:lang w:val="en-GB"/>
              </w:rPr>
              <w:t xml:space="preserve">Purpose</w:t>
            </w:r>
          </w:p>
        </w:tc>
        <w:tc>
          <w:tcPr/>
          <w:p>
            <w:pPr>
              <w:pStyle w:val="Compact"/>
            </w:pPr>
            <w:r>
              <w:rPr>
                <w:lang w:val="en-GB"/>
              </w:rPr>
              <w:t xml:space="preserve">Policy and matrix of retention periods, configuration and connection with erasure</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103" w:name="Xb740074d2d8b3ab2a0aa99c5546089d0a9ea256"/>
    <w:p>
      <w:pPr>
        <w:pStyle w:val="Heading2"/>
        <w:keepNext/>
        <w:keepLines/>
      </w:pPr>
      <w:r>
        <w:rPr>
          <w:color w:val="000000"/>
          <w:lang w:val="en-GB"/>
        </w:rPr>
        <w:t xml:space="preserve">1. Principle</w:t>
      </w:r>
    </w:p>
    <w:p>
      <w:pPr>
        <w:pStyle w:val="FirstParagraph"/>
      </w:pPr>
      <w:r>
        <w:rPr>
          <w:lang w:val="en-GB"/>
        </w:rPr>
        <w:t xml:space="preserve">The retention periods applicable to </w:t>
      </w:r>
      <w:r>
        <w:rPr>
          <w:lang w:val="en-GB"/>
        </w:rPr>
        <w:t xml:space="preserve"/>
      </w:r>
      <w:r>
        <w:rPr>
          <w:b/>
          <w:bCs/>
          <w:lang w:val="en-GB"/>
        </w:rPr>
        <w:t xml:space="preserve">the </w:t>
      </w:r>
      <w:r>
        <w:rPr>
          <w:lang w:val="en-GB"/>
        </w:rPr>
        <w:t xml:space="preserve"/>
      </w:r>
      <w:r>
        <w:rPr>
          <w:lang w:val="en-GB"/>
        </w:rPr>
        <w:t xml:space="preserve">Client's content </w:t>
      </w:r>
      <w:r>
        <w:rPr>
          <w:lang w:val="en-GB"/>
        </w:rPr>
        <w:t xml:space="preserve"/>
      </w:r>
      <w:r>
        <w:rPr>
          <w:b/>
          <w:bCs/>
          <w:lang w:val="en-GB"/>
        </w:rPr>
        <w:t xml:space="preserve">can be configured by </w:t>
      </w:r>
      <w:r>
        <w:rPr>
          <w:lang w:val="en-GB"/>
        </w:rPr>
        <w:t xml:space="preserve"/>
      </w:r>
      <w:r>
        <w:rPr>
          <w:lang w:val="en-GB"/>
        </w:rPr>
        <w:t xml:space="preserve">organization: the Client, as controller, remains in control. The durations below constitute </w:t>
      </w:r>
      <w:r>
        <w:rPr>
          <w:lang w:val="en-GB"/>
        </w:rPr>
        <w:t xml:space="preserve"/>
      </w:r>
      <w:r>
        <w:rPr>
          <w:b/>
          <w:bCs/>
          <w:lang w:val="en-GB"/>
        </w:rPr>
        <w:t xml:space="preserve">the default values </w:t>
      </w:r>
      <w:r>
        <w:rPr>
          <w:lang w:val="en-GB"/>
        </w:rPr>
        <w:t xml:space="preserve"/>
      </w:r>
      <w:r>
        <w:rPr>
          <w:lang w:val="en-GB"/>
        </w:rPr>
        <w:t xml:space="preserve">​​and </w:t>
      </w:r>
      <w:r>
        <w:rPr>
          <w:lang w:val="en-GB"/>
        </w:rPr>
        <w:t xml:space="preserve"/>
      </w:r>
      <w:r>
        <w:rPr>
          <w:b/>
          <w:bCs/>
          <w:lang w:val="en-GB"/>
        </w:rPr>
        <w:t xml:space="preserve">technical </w:t>
      </w:r>
      <w:r>
        <w:rPr>
          <w:lang w:val="en-GB"/>
        </w:rPr>
        <w:t xml:space="preserve">ceilings </w:t>
      </w:r>
      <w:r>
        <w:rPr>
          <w:lang w:val="en-GB"/>
        </w:rPr>
        <w:t xml:space="preserve">applied by the platform. Certain durations (logs, backups) meet security and proof requirements and are governed by maximums.</w:t>
      </w:r>
    </w:p>
    <w:bookmarkEnd w:id="103"/>
    <w:bookmarkStart w:id="104" w:name="Xd608f4a84f7477e85b8d19a34807e655aa9cf03"/>
    <w:p>
      <w:pPr>
        <w:pStyle w:val="Heading2"/>
        <w:keepNext/>
        <w:keepLines/>
      </w:pPr>
      <w:r>
        <w:rPr>
          <w:color w:val="000000"/>
          <w:lang w:val="en-GB"/>
        </w:rPr>
        <w:t xml:space="preserve">2. Data retention periods matrix</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Category</w:t>
            </w:r>
          </w:p>
        </w:tc>
        <w:tc>
          <w:tcPr>
            <w:tcW w:type="dxa" w:w="1872"/>
            <w:tcMar>
              <w:left w:type="dxa" w:w="80"/>
              <w:right w:type="dxa" w:w="80"/>
            </w:tcMar>
          </w:tcPr>
          <w:p>
            <w:pPr>
              <w:pStyle w:val="Compact"/>
            </w:pPr>
            <w:r>
              <w:rPr>
                <w:sz w:val="19"/>
                <w:szCs w:val="19"/>
                <w:lang w:val="en-GB"/>
              </w:rPr>
              <w:t xml:space="preserve">Default value</w:t>
            </w:r>
          </w:p>
        </w:tc>
        <w:tc>
          <w:tcPr>
            <w:tcW w:type="dxa" w:w="1872"/>
            <w:tcMar>
              <w:left w:type="dxa" w:w="80"/>
              <w:right w:type="dxa" w:w="80"/>
            </w:tcMar>
          </w:tcPr>
          <w:p>
            <w:pPr>
              <w:pStyle w:val="Compact"/>
            </w:pPr>
            <w:r>
              <w:rPr>
                <w:sz w:val="19"/>
                <w:szCs w:val="19"/>
                <w:lang w:val="en-GB"/>
              </w:rPr>
              <w:t xml:space="preserve">Configurable by the organization</w:t>
            </w:r>
          </w:p>
        </w:tc>
        <w:tc>
          <w:tcPr>
            <w:tcW w:type="dxa" w:w="1872"/>
            <w:tcMar>
              <w:left w:type="dxa" w:w="80"/>
              <w:right w:type="dxa" w:w="80"/>
            </w:tcMar>
          </w:tcPr>
          <w:p>
            <w:pPr>
              <w:pStyle w:val="Compact"/>
            </w:pPr>
            <w:r>
              <w:rPr>
                <w:sz w:val="19"/>
                <w:szCs w:val="19"/>
                <w:lang w:val="en-GB"/>
              </w:rPr>
              <w:t xml:space="preserve">Behaviour on expiry</w:t>
            </w:r>
          </w:p>
        </w:tc>
        <w:tc>
          <w:tcPr>
            <w:tcW w:type="dxa" w:w="1872"/>
            <w:tcMar>
              <w:left w:type="dxa" w:w="80"/>
              <w:right w:type="dxa" w:w="80"/>
            </w:tcMar>
          </w:tcPr>
          <w:p>
            <w:pPr>
              <w:pStyle w:val="Compact"/>
            </w:pPr>
            <w:r>
              <w:rPr>
                <w:sz w:val="19"/>
                <w:szCs w:val="19"/>
                <w:lang w:val="en-GB"/>
              </w:rPr>
              <w:t xml:space="preserve">Mode</w:t>
            </w:r>
          </w:p>
        </w:tc>
      </w:tr>
      <w:tr>
        <w:trPr>
          <w:cantSplit/>
        </w:trPr>
        <w:tc>
          <w:tcPr>
            <w:tcW w:type="dxa" w:w="1872"/>
            <w:tcMar>
              <w:left w:type="dxa" w:w="80"/>
              <w:right w:type="dxa" w:w="80"/>
            </w:tcMar>
          </w:tcPr>
          <w:p>
            <w:pPr>
              <w:pStyle w:val="Compact"/>
            </w:pPr>
            <w:r>
              <w:rPr>
                <w:sz w:val="19"/>
                <w:szCs w:val="19"/>
                <w:lang w:val="en-GB"/>
              </w:rPr>
              <w:t xml:space="preserve">Active user accounts</w:t>
            </w:r>
          </w:p>
        </w:tc>
        <w:tc>
          <w:tcPr>
            <w:tcW w:type="dxa" w:w="1872"/>
            <w:tcMar>
              <w:left w:type="dxa" w:w="80"/>
              <w:right w:type="dxa" w:w="80"/>
            </w:tcMar>
          </w:tcPr>
          <w:p>
            <w:pPr>
              <w:pStyle w:val="Compact"/>
            </w:pPr>
            <w:r>
              <w:rPr>
                <w:sz w:val="19"/>
                <w:szCs w:val="19"/>
                <w:lang w:val="en-GB"/>
              </w:rPr>
              <w:t xml:space="preserve">Duration of account and contract</w:t>
            </w:r>
          </w:p>
        </w:tc>
        <w:tc>
          <w:tcPr>
            <w:tcW w:type="dxa" w:w="1872"/>
            <w:tcMar>
              <w:left w:type="dxa" w:w="80"/>
              <w:right w:type="dxa" w:w="80"/>
            </w:tcMar>
          </w:tcPr>
          <w:p>
            <w:pPr>
              <w:pStyle w:val="Compact"/>
            </w:pPr>
            <w:r>
              <w:rPr>
                <w:sz w:val="19"/>
                <w:szCs w:val="19"/>
                <w:lang w:val="en-GB"/>
              </w:rPr>
              <w:t xml:space="preserve">No (related to account lifecycle)</w:t>
            </w:r>
          </w:p>
        </w:tc>
        <w:tc>
          <w:tcPr>
            <w:tcW w:type="dxa" w:w="1872"/>
            <w:tcMar>
              <w:left w:type="dxa" w:w="80"/>
              <w:right w:type="dxa" w:w="80"/>
            </w:tcMar>
          </w:tcPr>
          <w:p>
            <w:pPr>
              <w:pStyle w:val="Compact"/>
            </w:pPr>
            <w:r>
              <w:rPr>
                <w:sz w:val="19"/>
                <w:szCs w:val="19"/>
                <w:lang w:val="en-GB"/>
              </w:rPr>
              <w:t xml:space="preserve">Maintained as active</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Disabled user accounts</w:t>
            </w:r>
          </w:p>
        </w:tc>
        <w:tc>
          <w:tcPr>
            <w:tcW w:type="dxa" w:w="1872"/>
            <w:tcMar>
              <w:left w:type="dxa" w:w="80"/>
              <w:right w:type="dxa" w:w="80"/>
            </w:tcMar>
          </w:tcPr>
          <w:p>
            <w:pPr>
              <w:pStyle w:val="Compact"/>
            </w:pPr>
            <w:r>
              <w:rPr>
                <w:sz w:val="19"/>
                <w:szCs w:val="19"/>
                <w:lang w:val="en-GB"/>
              </w:rPr>
              <w:t xml:space="preserve">Deletion/anonymization according to instructions; otherwise, end of contract</w:t>
            </w:r>
          </w:p>
        </w:tc>
        <w:tc>
          <w:tcPr>
            <w:tcW w:type="dxa" w:w="1872"/>
            <w:tcMar>
              <w:left w:type="dxa" w:w="80"/>
              <w:right w:type="dxa" w:w="80"/>
            </w:tcMar>
          </w:tcPr>
          <w:p>
            <w:pPr>
              <w:pStyle w:val="Compact"/>
            </w:pPr>
            <w:r>
              <w:rPr>
                <w:sz w:val="19"/>
                <w:szCs w:val="19"/>
                <w:lang w:val="en-GB"/>
              </w:rPr>
              <w:t xml:space="preserve">Yes (customer instruction)</w:t>
            </w:r>
          </w:p>
        </w:tc>
        <w:tc>
          <w:tcPr>
            <w:tcW w:type="dxa" w:w="1872"/>
            <w:tcMar>
              <w:left w:type="dxa" w:w="80"/>
              <w:right w:type="dxa" w:w="80"/>
            </w:tcMar>
          </w:tcPr>
          <w:p>
            <w:pPr>
              <w:pStyle w:val="Compact"/>
            </w:pPr>
            <w:r>
              <w:rPr>
                <w:sz w:val="19"/>
                <w:szCs w:val="19"/>
                <w:lang w:val="en-GB"/>
              </w:rPr>
              <w:t xml:space="preserve">Deleted or anonymized</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Audio files</w:t>
            </w:r>
          </w:p>
        </w:tc>
        <w:tc>
          <w:tcPr>
            <w:tcW w:type="dxa" w:w="1872"/>
            <w:tcMar>
              <w:left w:type="dxa" w:w="80"/>
              <w:right w:type="dxa" w:w="80"/>
            </w:tcMar>
          </w:tcPr>
          <w:p>
            <w:pPr>
              <w:pStyle w:val="Compact"/>
            </w:pPr>
            <w:r>
              <w:rPr>
                <w:sz w:val="19"/>
                <w:szCs w:val="19"/>
                <w:lang w:val="en-GB"/>
              </w:rPr>
              <w:t xml:space="preserve">Duration configured; otherwise duration of the contract</w:t>
            </w:r>
          </w:p>
        </w:tc>
        <w:tc>
          <w:tcPr>
            <w:tcW w:type="dxa" w:w="1872"/>
            <w:tcMar>
              <w:left w:type="dxa" w:w="80"/>
              <w:right w:type="dxa" w:w="80"/>
            </w:tcMar>
          </w:tcPr>
          <w:p>
            <w:pPr>
              <w:pStyle w:val="Compact"/>
            </w:pPr>
            <w:r>
              <w:rPr>
                <w:b/>
                <w:bCs/>
                <w:sz w:val="19"/>
                <w:szCs w:val="19"/>
                <w:lang w:val="en-GB"/>
              </w:rPr>
              <w:t xml:space="preserve">Yes</w:t>
            </w:r>
          </w:p>
        </w:tc>
        <w:tc>
          <w:tcPr>
            <w:tcW w:type="dxa" w:w="1872"/>
            <w:tcMar>
              <w:left w:type="dxa" w:w="80"/>
              <w:right w:type="dxa" w:w="80"/>
            </w:tcMar>
          </w:tcPr>
          <w:p>
            <w:pPr>
              <w:pStyle w:val="Compact"/>
            </w:pPr>
            <w:r>
              <w:rPr>
                <w:sz w:val="19"/>
                <w:szCs w:val="19"/>
                <w:lang w:val="en-GB"/>
              </w:rPr>
              <w:t xml:space="preserve">Deletion</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Transcriptions and versions</w:t>
            </w:r>
          </w:p>
        </w:tc>
        <w:tc>
          <w:tcPr>
            <w:tcW w:type="dxa" w:w="1872"/>
            <w:tcMar>
              <w:left w:type="dxa" w:w="80"/>
              <w:right w:type="dxa" w:w="80"/>
            </w:tcMar>
          </w:tcPr>
          <w:p>
            <w:pPr>
              <w:pStyle w:val="Compact"/>
            </w:pPr>
            <w:r>
              <w:rPr>
                <w:sz w:val="19"/>
                <w:szCs w:val="19"/>
                <w:lang w:val="en-GB"/>
              </w:rPr>
              <w:t xml:space="preserve">Duration configured; otherwise duration of the contract</w:t>
            </w:r>
          </w:p>
        </w:tc>
        <w:tc>
          <w:tcPr>
            <w:tcW w:type="dxa" w:w="1872"/>
            <w:tcMar>
              <w:left w:type="dxa" w:w="80"/>
              <w:right w:type="dxa" w:w="80"/>
            </w:tcMar>
          </w:tcPr>
          <w:p>
            <w:pPr>
              <w:pStyle w:val="Compact"/>
            </w:pPr>
            <w:r>
              <w:rPr>
                <w:b/>
                <w:bCs/>
                <w:sz w:val="19"/>
                <w:szCs w:val="19"/>
                <w:lang w:val="en-GB"/>
              </w:rPr>
              <w:t xml:space="preserve">Yes</w:t>
            </w:r>
          </w:p>
        </w:tc>
        <w:tc>
          <w:tcPr>
            <w:tcW w:type="dxa" w:w="1872"/>
            <w:tcMar>
              <w:left w:type="dxa" w:w="80"/>
              <w:right w:type="dxa" w:w="80"/>
            </w:tcMar>
          </w:tcPr>
          <w:p>
            <w:pPr>
              <w:pStyle w:val="Compact"/>
            </w:pPr>
            <w:r>
              <w:rPr>
                <w:sz w:val="19"/>
                <w:szCs w:val="19"/>
                <w:lang w:val="en-GB"/>
              </w:rPr>
              <w:t xml:space="preserve">Deletion</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Preparatory documents</w:t>
            </w:r>
          </w:p>
        </w:tc>
        <w:tc>
          <w:tcPr>
            <w:tcW w:type="dxa" w:w="1872"/>
            <w:tcMar>
              <w:left w:type="dxa" w:w="80"/>
              <w:right w:type="dxa" w:w="80"/>
            </w:tcMar>
          </w:tcPr>
          <w:p>
            <w:pPr>
              <w:pStyle w:val="Compact"/>
            </w:pPr>
            <w:r>
              <w:rPr>
                <w:sz w:val="19"/>
                <w:szCs w:val="19"/>
                <w:lang w:val="en-GB"/>
              </w:rPr>
              <w:t xml:space="preserve">Duration configured; otherwise duration of the contract</w:t>
            </w:r>
          </w:p>
        </w:tc>
        <w:tc>
          <w:tcPr>
            <w:tcW w:type="dxa" w:w="1872"/>
            <w:tcMar>
              <w:left w:type="dxa" w:w="80"/>
              <w:right w:type="dxa" w:w="80"/>
            </w:tcMar>
          </w:tcPr>
          <w:p>
            <w:pPr>
              <w:pStyle w:val="Compact"/>
            </w:pPr>
            <w:r>
              <w:rPr>
                <w:b/>
                <w:bCs/>
                <w:sz w:val="19"/>
                <w:szCs w:val="19"/>
                <w:lang w:val="en-GB"/>
              </w:rPr>
              <w:t xml:space="preserve">Yes</w:t>
            </w:r>
          </w:p>
        </w:tc>
        <w:tc>
          <w:tcPr>
            <w:tcW w:type="dxa" w:w="1872"/>
            <w:tcMar>
              <w:left w:type="dxa" w:w="80"/>
              <w:right w:type="dxa" w:w="80"/>
            </w:tcMar>
          </w:tcPr>
          <w:p>
            <w:pPr>
              <w:pStyle w:val="Compact"/>
            </w:pPr>
            <w:r>
              <w:rPr>
                <w:sz w:val="19"/>
                <w:szCs w:val="19"/>
                <w:lang w:val="en-GB"/>
              </w:rPr>
              <w:t xml:space="preserve">Deletion</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AI generations and exports</w:t>
            </w:r>
          </w:p>
        </w:tc>
        <w:tc>
          <w:tcPr>
            <w:tcW w:type="dxa" w:w="1872"/>
            <w:tcMar>
              <w:left w:type="dxa" w:w="80"/>
              <w:right w:type="dxa" w:w="80"/>
            </w:tcMar>
          </w:tcPr>
          <w:p>
            <w:pPr>
              <w:pStyle w:val="Compact"/>
            </w:pPr>
            <w:r>
              <w:rPr>
                <w:sz w:val="19"/>
                <w:szCs w:val="19"/>
                <w:lang w:val="en-GB"/>
              </w:rPr>
              <w:t xml:space="preserve">Duration configured; otherwise duration of the contract</w:t>
            </w:r>
          </w:p>
        </w:tc>
        <w:tc>
          <w:tcPr>
            <w:tcW w:type="dxa" w:w="1872"/>
            <w:tcMar>
              <w:left w:type="dxa" w:w="80"/>
              <w:right w:type="dxa" w:w="80"/>
            </w:tcMar>
          </w:tcPr>
          <w:p>
            <w:pPr>
              <w:pStyle w:val="Compact"/>
            </w:pPr>
            <w:r>
              <w:rPr>
                <w:b/>
                <w:bCs/>
                <w:sz w:val="19"/>
                <w:szCs w:val="19"/>
                <w:lang w:val="en-GB"/>
              </w:rPr>
              <w:t xml:space="preserve">Yes</w:t>
            </w:r>
          </w:p>
        </w:tc>
        <w:tc>
          <w:tcPr>
            <w:tcW w:type="dxa" w:w="1872"/>
            <w:tcMar>
              <w:left w:type="dxa" w:w="80"/>
              <w:right w:type="dxa" w:w="80"/>
            </w:tcMar>
          </w:tcPr>
          <w:p>
            <w:pPr>
              <w:pStyle w:val="Compact"/>
            </w:pPr>
            <w:r>
              <w:rPr>
                <w:sz w:val="19"/>
                <w:szCs w:val="19"/>
                <w:lang w:val="en-GB"/>
              </w:rPr>
              <w:t xml:space="preserve">Deletion</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Application audit logs</w:t>
            </w:r>
          </w:p>
        </w:tc>
        <w:tc>
          <w:tcPr>
            <w:tcW w:type="dxa" w:w="1872"/>
            <w:tcMar>
              <w:left w:type="dxa" w:w="80"/>
              <w:right w:type="dxa" w:w="80"/>
            </w:tcMar>
          </w:tcPr>
          <w:p>
            <w:pPr>
              <w:pStyle w:val="Compact"/>
            </w:pPr>
            <w:r>
              <w:rPr>
                <w:b/>
                <w:bCs/>
                <w:sz w:val="19"/>
                <w:szCs w:val="19"/>
                <w:lang w:val="en-GB"/>
              </w:rPr>
              <w:t xml:space="preserve">≤ 12 months</w:t>
            </w:r>
          </w:p>
        </w:tc>
        <w:tc>
          <w:tcPr>
            <w:tcW w:type="dxa" w:w="1872"/>
            <w:tcMar>
              <w:left w:type="dxa" w:w="80"/>
              <w:right w:type="dxa" w:w="80"/>
            </w:tcMar>
          </w:tcPr>
          <w:p>
            <w:pPr>
              <w:pStyle w:val="Compact"/>
            </w:pPr>
            <w:r>
              <w:rPr>
                <w:sz w:val="19"/>
                <w:szCs w:val="19"/>
                <w:lang w:val="en-GB"/>
              </w:rPr>
              <w:t xml:space="preserve">Within the limit of the ceiling</w:t>
            </w:r>
          </w:p>
        </w:tc>
        <w:tc>
          <w:tcPr>
            <w:tcW w:type="dxa" w:w="1872"/>
            <w:tcMar>
              <w:left w:type="dxa" w:w="80"/>
              <w:right w:type="dxa" w:w="80"/>
            </w:tcMar>
          </w:tcPr>
          <w:p>
            <w:pPr>
              <w:pStyle w:val="Compact"/>
            </w:pPr>
            <w:r>
              <w:rPr>
                <w:sz w:val="19"/>
                <w:szCs w:val="19"/>
                <w:lang w:val="en-GB"/>
              </w:rPr>
              <w:t xml:space="preserve">Purge</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Technical logs</w:t>
            </w:r>
          </w:p>
        </w:tc>
        <w:tc>
          <w:tcPr>
            <w:tcW w:type="dxa" w:w="1872"/>
            <w:tcMar>
              <w:left w:type="dxa" w:w="80"/>
              <w:right w:type="dxa" w:w="80"/>
            </w:tcMar>
          </w:tcPr>
          <w:p>
            <w:pPr>
              <w:pStyle w:val="Compact"/>
            </w:pPr>
            <w:r>
              <w:rPr>
                <w:b/>
                <w:bCs/>
                <w:sz w:val="19"/>
                <w:szCs w:val="19"/>
                <w:lang w:val="en-GB"/>
              </w:rPr>
              <w:t xml:space="preserve">~90 days</w:t>
            </w:r>
          </w:p>
        </w:tc>
        <w:tc>
          <w:tcPr>
            <w:tcW w:type="dxa" w:w="1872"/>
            <w:tcMar>
              <w:left w:type="dxa" w:w="80"/>
              <w:right w:type="dxa" w:w="80"/>
            </w:tcMar>
          </w:tcPr>
          <w:p>
            <w:pPr>
              <w:pStyle w:val="Compact"/>
            </w:pPr>
            <w:r>
              <w:rPr>
                <w:sz w:val="19"/>
                <w:szCs w:val="19"/>
                <w:lang w:val="en-GB"/>
              </w:rPr>
              <w:t xml:space="preserve">Within the limit of the ceiling</w:t>
            </w:r>
          </w:p>
        </w:tc>
        <w:tc>
          <w:tcPr>
            <w:tcW w:type="dxa" w:w="1872"/>
            <w:tcMar>
              <w:left w:type="dxa" w:w="80"/>
              <w:right w:type="dxa" w:w="80"/>
            </w:tcMar>
          </w:tcPr>
          <w:p>
            <w:pPr>
              <w:pStyle w:val="Compact"/>
            </w:pPr>
            <w:r>
              <w:rPr>
                <w:sz w:val="19"/>
                <w:szCs w:val="19"/>
                <w:lang w:val="en-GB"/>
              </w:rPr>
              <w:t xml:space="preserve">Purge</w:t>
            </w:r>
          </w:p>
        </w:tc>
        <w:tc>
          <w:tcPr>
            <w:tcW w:type="dxa" w:w="1872"/>
            <w:tcMar>
              <w:left w:type="dxa" w:w="80"/>
              <w:right w:type="dxa" w:w="80"/>
            </w:tcMar>
          </w:tcPr>
          <w:p>
            <w:pPr>
              <w:pStyle w:val="Compact"/>
            </w:pPr>
            <w:r>
              <w:rPr>
                <w:sz w:val="19"/>
                <w:szCs w:val="19"/>
                <w:lang w:val="en-GB"/>
              </w:rPr>
              <w:t xml:space="preserve">A / B</w:t>
            </w:r>
          </w:p>
        </w:tc>
      </w:tr>
      <w:tr>
        <w:trPr>
          <w:cantSplit/>
        </w:trPr>
        <w:tc>
          <w:tcPr>
            <w:tcW w:type="dxa" w:w="1872"/>
            <w:tcMar>
              <w:left w:type="dxa" w:w="80"/>
              <w:right w:type="dxa" w:w="80"/>
            </w:tcMar>
          </w:tcPr>
          <w:p>
            <w:pPr>
              <w:pStyle w:val="Compact"/>
            </w:pPr>
            <w:r>
              <w:rPr>
                <w:sz w:val="19"/>
                <w:szCs w:val="19"/>
                <w:lang w:val="en-GB"/>
              </w:rPr>
              <w:t xml:space="preserve">Backups</w:t>
            </w:r>
          </w:p>
        </w:tc>
        <w:tc>
          <w:tcPr>
            <w:tcW w:type="dxa" w:w="1872"/>
            <w:tcMar>
              <w:left w:type="dxa" w:w="80"/>
              <w:right w:type="dxa" w:w="80"/>
            </w:tcMar>
          </w:tcPr>
          <w:p>
            <w:pPr>
              <w:pStyle w:val="Compact"/>
            </w:pPr>
            <w:r>
              <w:rPr>
                <w:b/>
                <w:bCs/>
                <w:sz w:val="19"/>
                <w:szCs w:val="19"/>
                <w:lang w:val="en-GB"/>
              </w:rPr>
              <w:t xml:space="preserve">≤ 90 days </w:t>
            </w:r>
            <w:r>
              <w:rPr>
                <w:sz w:val="19"/>
                <w:szCs w:val="19"/>
                <w:lang w:val="en-GB"/>
              </w:rPr>
              <w:t xml:space="preserve"/>
            </w:r>
            <w:r>
              <w:rPr>
                <w:sz w:val="19"/>
                <w:szCs w:val="19"/>
                <w:lang w:val="en-GB"/>
              </w:rPr>
              <w:t xml:space="preserve">(rotation); 30 days per organization</w:t>
            </w:r>
          </w:p>
        </w:tc>
        <w:tc>
          <w:tcPr>
            <w:tcW w:type="dxa" w:w="1872"/>
            <w:tcMar>
              <w:left w:type="dxa" w:w="80"/>
              <w:right w:type="dxa" w:w="80"/>
            </w:tcMar>
          </w:tcPr>
          <w:p>
            <w:pPr>
              <w:pStyle w:val="Compact"/>
            </w:pPr>
            <w:r>
              <w:rPr>
                <w:sz w:val="19"/>
                <w:szCs w:val="19"/>
                <w:lang w:val="en-GB"/>
              </w:rPr>
              <w:t xml:space="preserve">No (safety cycle)</w:t>
            </w:r>
          </w:p>
        </w:tc>
        <w:tc>
          <w:tcPr>
            <w:tcW w:type="dxa" w:w="1872"/>
            <w:tcMar>
              <w:left w:type="dxa" w:w="80"/>
              <w:right w:type="dxa" w:w="80"/>
            </w:tcMar>
          </w:tcPr>
          <w:p>
            <w:pPr>
              <w:pStyle w:val="Compact"/>
            </w:pPr>
            <w:r>
              <w:rPr>
                <w:sz w:val="19"/>
                <w:szCs w:val="19"/>
                <w:lang w:val="en-GB"/>
              </w:rPr>
              <w:t xml:space="preserve">Spin purge</w:t>
            </w:r>
          </w:p>
        </w:tc>
        <w:tc>
          <w:tcPr>
            <w:tcW w:type="dxa" w:w="1872"/>
            <w:tcMar>
              <w:left w:type="dxa" w:w="80"/>
              <w:right w:type="dxa" w:w="80"/>
            </w:tcMar>
          </w:tcPr>
          <w:p>
            <w:pPr>
              <w:pStyle w:val="Compact"/>
            </w:pPr>
            <w:r>
              <w:rPr>
                <w:sz w:val="19"/>
                <w:szCs w:val="19"/>
                <w:lang w:val="en-GB"/>
              </w:rPr>
              <w:t xml:space="preserve">A (B: client infrastructure)</w:t>
            </w:r>
          </w:p>
        </w:tc>
      </w:tr>
      <w:tr>
        <w:trPr>
          <w:cantSplit/>
        </w:trPr>
        <w:tc>
          <w:tcPr>
            <w:tcW w:type="dxa" w:w="1872"/>
            <w:tcMar>
              <w:left w:type="dxa" w:w="80"/>
              <w:right w:type="dxa" w:w="80"/>
            </w:tcMar>
          </w:tcPr>
          <w:p>
            <w:pPr>
              <w:pStyle w:val="Compact"/>
            </w:pPr>
            <w:r>
              <w:rPr>
                <w:sz w:val="19"/>
                <w:szCs w:val="19"/>
                <w:lang w:val="en-GB"/>
              </w:rPr>
              <w:t xml:space="preserve">Temporary voice embeddings</w:t>
            </w:r>
          </w:p>
        </w:tc>
        <w:tc>
          <w:tcPr>
            <w:tcW w:type="dxa" w:w="1872"/>
            <w:tcMar>
              <w:left w:type="dxa" w:w="80"/>
              <w:right w:type="dxa" w:w="80"/>
            </w:tcMar>
          </w:tcPr>
          <w:p>
            <w:pPr>
              <w:pStyle w:val="Compact"/>
            </w:pPr>
            <w:r>
              <w:rPr>
                <w:b/>
                <w:bCs/>
                <w:sz w:val="19"/>
                <w:szCs w:val="19"/>
                <w:lang w:val="en-GB"/>
              </w:rPr>
              <w:t xml:space="preserve">Query duration only</w:t>
            </w:r>
          </w:p>
        </w:tc>
        <w:tc>
          <w:tcPr>
            <w:tcW w:type="dxa" w:w="1872"/>
            <w:tcMar>
              <w:left w:type="dxa" w:w="80"/>
              <w:right w:type="dxa" w:w="80"/>
            </w:tcMar>
          </w:tcPr>
          <w:p>
            <w:pPr>
              <w:pStyle w:val="Compact"/>
            </w:pPr>
            <w:r>
              <w:rPr>
                <w:sz w:val="19"/>
                <w:szCs w:val="19"/>
                <w:lang w:val="en-GB"/>
              </w:rPr>
              <w:t xml:space="preserve">No (ephemeral by design)</w:t>
            </w:r>
          </w:p>
        </w:tc>
        <w:tc>
          <w:tcPr>
            <w:tcW w:type="dxa" w:w="1872"/>
            <w:tcMar>
              <w:left w:type="dxa" w:w="80"/>
              <w:right w:type="dxa" w:w="80"/>
            </w:tcMar>
          </w:tcPr>
          <w:p>
            <w:pPr>
              <w:pStyle w:val="Compact"/>
            </w:pPr>
            <w:r>
              <w:rPr>
                <w:sz w:val="19"/>
                <w:szCs w:val="19"/>
                <w:lang w:val="en-GB"/>
              </w:rPr>
              <w:t xml:space="preserve">Destruction at the end of processing (</w:t>
            </w:r>
            <w:r>
              <w:rPr>
                <w:rStyle w:val="VerbatimChar"/>
                <w:sz w:val="19"/>
                <w:szCs w:val="19"/>
                <w:lang w:val="en-GB"/>
              </w:rPr>
              <w:t xml:space="preserve">finally</w:t>
            </w:r>
            <w:r>
              <w:rPr>
                <w:sz w:val="19"/>
                <w:szCs w:val="19"/>
                <w:lang w:val="en-GB"/>
              </w:rPr>
              <w:t xml:space="preserve">)</w:t>
            </w:r>
          </w:p>
        </w:tc>
        <w:tc>
          <w:tcPr>
            <w:tcW w:type="dxa" w:w="1872"/>
            <w:tcMar>
              <w:left w:type="dxa" w:w="80"/>
              <w:right w:type="dxa" w:w="80"/>
            </w:tcMar>
          </w:tcPr>
          <w:p>
            <w:pPr>
              <w:pStyle w:val="Compact"/>
            </w:pPr>
            <w:r>
              <w:rPr>
                <w:sz w:val="19"/>
                <w:szCs w:val="19"/>
                <w:lang w:val="en-GB"/>
              </w:rPr>
              <w:t xml:space="preserve">A / B</w:t>
            </w:r>
          </w:p>
        </w:tc>
      </w:tr>
    </w:tbl>
    <w:bookmarkEnd w:id="104"/>
    <w:bookmarkStart w:id="105" w:name="X83fd0475445342c9f5387005de00552eb48e9d8"/>
    <w:p>
      <w:pPr>
        <w:pStyle w:val="Heading2"/>
        <w:keepNext/>
        <w:keepLines/>
      </w:pPr>
      <w:r>
        <w:rPr>
          <w:color w:val="000000"/>
          <w:lang w:val="en-GB"/>
        </w:rPr>
        <w:t xml:space="preserve">3. Configuration by organization</w:t>
      </w:r>
    </w:p>
    <w:p>
      <w:pPr>
        <w:pStyle w:val="Compact"/>
        <w:numPr>
          <w:ilvl w:val="0"/>
          <w:numId w:val="1023"/>
        </w:numPr>
      </w:pPr>
      <w:r>
        <w:rPr>
          <w:b/>
          <w:bCs/>
          <w:lang w:val="en-GB"/>
        </w:rPr>
        <w:t xml:space="preserve">Who can configure. </w:t>
      </w:r>
      <w:r>
        <w:rPr>
          <w:lang w:val="en-GB"/>
        </w:rPr>
        <w:t xml:space="preserve"/>
      </w:r>
      <w:r>
        <w:rPr>
          <w:lang w:val="en-GB"/>
        </w:rPr>
        <w:t xml:space="preserve">The administration roles of the Customer's organization </w:t>
      </w:r>
      <w:r>
        <w:rPr>
          <w:lang w:val="en-GB"/>
        </w:rPr>
        <w:t xml:space="preserve">(</w:t>
      </w:r>
      <w:r>
        <w:rPr>
          <w:rStyle w:val="VerbatimChar"/>
          <w:lang w:val="en-GB"/>
        </w:rPr>
        <w:t xml:space="preserve">manager</w:t>
      </w:r>
      <w:r>
        <w:rPr>
          <w:lang w:val="en-GB"/>
        </w:rPr>
        <w:t xml:space="preserve"> </w:t>
      </w:r>
      <w:r>
        <w:rPr>
          <w:lang w:val="en-GB"/>
        </w:rPr>
        <w:t xml:space="preserve">/ organization administrator profiles, according to the assignment decided by the Customer).</w:t>
      </w:r>
    </w:p>
    <w:p>
      <w:pPr>
        <w:pStyle w:val="Compact"/>
        <w:numPr>
          <w:ilvl w:val="0"/>
          <w:numId w:val="1023"/>
        </w:numPr>
      </w:pPr>
      <w:r>
        <w:rPr>
          <w:b/>
          <w:bCs/>
          <w:lang w:val="en-GB"/>
        </w:rPr>
        <w:t xml:space="preserve">Where in the </w:t>
      </w:r>
      <w:r>
        <w:rPr>
          <w:lang w:val="en-GB"/>
        </w:rPr>
        <w:t xml:space="preserve"/>
      </w:r>
      <w:r>
        <w:rPr>
          <w:lang w:val="en-GB"/>
        </w:rPr>
        <w:t xml:space="preserve">product. Organization settings (content retention settings). The default values ​​described in §2 apply in the absence of configuration.</w:t>
      </w:r>
    </w:p>
    <w:p>
      <w:pPr>
        <w:pStyle w:val="Compact"/>
        <w:numPr>
          <w:ilvl w:val="0"/>
          <w:numId w:val="1023"/>
        </w:numPr>
      </w:pPr>
      <w:r>
        <w:rPr>
          <w:b/>
          <w:bCs/>
          <w:lang w:val="en-GB"/>
        </w:rPr>
        <w:t xml:space="preserve">Scope. </w:t>
      </w:r>
      <w:r>
        <w:rPr>
          <w:lang w:val="en-GB"/>
        </w:rPr>
        <w:t xml:space="preserve"/>
      </w:r>
      <w:r>
        <w:rPr>
          <w:lang w:val="en-GB"/>
        </w:rPr>
        <w:t xml:space="preserve">The configuration concerns the content (audio, transcriptions, documents, AI generations). The durations of logs and backups are governed by security ceilings that cannot be extended beyond the maximums indicated.</w:t>
      </w:r>
    </w:p>
    <w:p>
      <w:pPr>
        <w:pStyle w:val="BlockText"/>
      </w:pPr>
      <w:r>
        <w:rPr>
          <w:b/>
          <w:bCs/>
          <w:lang w:val="en-GB"/>
        </w:rPr>
        <w:t xml:space="preserve">[TO BE CONFIRMED]: </w:t>
      </w:r>
      <w:r>
        <w:rPr>
          <w:lang w:val="en-GB"/>
        </w:rPr>
        <w:t xml:space="preserve"/>
      </w:r>
      <w:r>
        <w:rPr>
          <w:lang w:val="en-GB"/>
        </w:rPr>
        <w:t xml:space="preserve">exact granularity of the settings screen exposed to the Customer (by content category vs. overall) to be specified during implementation.</w:t>
      </w:r>
    </w:p>
    <w:bookmarkEnd w:id="105"/>
    <w:bookmarkStart w:id="106" w:name="X1d0319beef65ea0df674594c854de041152a72f"/>
    <w:p>
      <w:pPr>
        <w:pStyle w:val="Heading2"/>
        <w:keepNext/>
        <w:keepLines/>
      </w:pPr>
      <w:r>
        <w:rPr>
          <w:color w:val="000000"/>
          <w:lang w:val="en-GB"/>
        </w:rPr>
        <w:t xml:space="preserve">4. Behaviour on expiry</w:t>
      </w:r>
    </w:p>
    <w:p>
      <w:pPr>
        <w:pStyle w:val="FirstParagraph"/>
      </w:pPr>
      <w:r>
        <w:rPr>
          <w:lang w:val="en-GB"/>
        </w:rPr>
        <w:t xml:space="preserve">At the end of the configured duration, the content concerned is </w:t>
      </w:r>
      <w:r>
        <w:rPr>
          <w:lang w:val="en-GB"/>
        </w:rPr>
        <w:t xml:space="preserve"/>
      </w:r>
      <w:r>
        <w:rPr>
          <w:b/>
          <w:bCs/>
          <w:lang w:val="en-GB"/>
        </w:rPr>
        <w:t xml:space="preserve">deleted </w:t>
      </w:r>
      <w:r>
        <w:rPr>
          <w:lang w:val="en-GB"/>
        </w:rPr>
        <w:t xml:space="preserve"/>
      </w:r>
      <w:r>
        <w:rPr>
          <w:lang w:val="en-GB"/>
        </w:rPr>
        <w:t xml:space="preserve">from the production database. The deletion is then reflected on the backups according to their rotation cycle (at the latest within 90 days). Voice embeddings are never affected by this cycle: they are destroyed at the end of the request, without persistence.</w:t>
      </w:r>
    </w:p>
    <w:bookmarkEnd w:id="106"/>
    <w:bookmarkStart w:id="109" w:name="X642f55ef0aa0c247a15d6aa27fe4cf2e6ba3f07"/>
    <w:p>
      <w:pPr>
        <w:pStyle w:val="Heading2"/>
        <w:keepNext/>
        <w:keepLines/>
      </w:pPr>
      <w:r>
        <w:rPr>
          <w:color w:val="000000"/>
          <w:lang w:val="en-GB"/>
        </w:rPr>
        <w:t xml:space="preserve">5. Connection with erasure (article 17) and end of contract</w:t>
      </w:r>
    </w:p>
    <w:bookmarkStart w:id="107" w:name="X654578143815b3d75c0d5ff552a26ad0ff2644e"/>
    <w:p>
      <w:pPr>
        <w:pStyle w:val="Heading3"/>
        <w:keepNext/>
        <w:keepLines/>
      </w:pPr>
      <w:r>
        <w:rPr>
          <w:color w:val="000000"/>
          <w:lang w:val="en-GB"/>
        </w:rPr>
        <w:t xml:space="preserve">5.1 Erasure on request (article 17)</w:t>
      </w:r>
    </w:p>
    <w:p>
      <w:pPr>
        <w:pStyle w:val="Compact"/>
        <w:numPr>
          <w:ilvl w:val="0"/>
          <w:numId w:val="1024"/>
        </w:numPr>
      </w:pPr>
      <w:r>
        <w:rPr>
          <w:lang w:val="en-GB"/>
        </w:rPr>
        <w:t xml:space="preserve">Deletion is available by </w:t>
      </w:r>
      <w:r>
        <w:rPr>
          <w:lang w:val="en-GB"/>
        </w:rPr>
        <w:t xml:space="preserve"/>
      </w:r>
      <w:r>
        <w:rPr>
          <w:b/>
          <w:bCs/>
          <w:lang w:val="en-GB"/>
        </w:rPr>
        <w:t xml:space="preserve">certified traced request </w:t>
      </w:r>
      <w:r>
        <w:rPr>
          <w:lang w:val="en-GB"/>
        </w:rPr>
        <w:t xml:space="preserve"/>
      </w:r>
      <w:r>
        <w:rPr>
          <w:lang w:val="en-GB"/>
        </w:rPr>
        <w:t xml:space="preserve">(Settings → Portability): the request is logged in the </w:t>
      </w:r>
      <w:r>
        <w:rPr>
          <w:lang w:val="en-GB"/>
        </w:rPr>
        <w:t xml:space="preserve"/>
      </w:r>
      <w:r>
        <w:rPr>
          <w:rStyle w:val="VerbatimChar"/>
          <w:lang w:val="en-GB"/>
        </w:rPr>
        <w:t xml:space="preserve">audit_logs</w:t>
      </w:r>
      <w:r>
        <w:rPr>
          <w:lang w:val="en-GB"/>
        </w:rPr>
        <w:t xml:space="preserve">, a </w:t>
      </w:r>
      <w:r>
        <w:rPr>
          <w:lang w:val="en-GB"/>
        </w:rPr>
        <w:t xml:space="preserve"/>
      </w:r>
      <w:r>
        <w:rPr>
          <w:b/>
          <w:bCs/>
          <w:lang w:val="en-GB"/>
        </w:rPr>
        <w:t xml:space="preserve">purge workflow is </w:t>
      </w:r>
      <w:r>
        <w:rPr>
          <w:lang w:val="en-GB"/>
        </w:rPr>
        <w:t xml:space="preserve"/>
      </w:r>
      <w:r>
        <w:rPr>
          <w:lang w:val="en-GB"/>
        </w:rPr>
        <w:t xml:space="preserve">triggered within the legal deadline, </w:t>
      </w:r>
      <w:r>
        <w:rPr>
          <w:lang w:val="en-GB"/>
        </w:rPr>
        <w:t xml:space="preserve">and </w:t>
      </w:r>
      <w:r>
        <w:rPr>
          <w:b/>
          <w:bCs/>
          <w:lang w:val="en-GB"/>
        </w:rPr>
        <w:t xml:space="preserve">a deletion certificate </w:t>
      </w:r>
      <w:r>
        <w:rPr>
          <w:lang w:val="en-GB"/>
        </w:rPr>
        <w:t xml:space="preserve"/>
      </w:r>
      <w:r>
        <w:rPr>
          <w:lang w:val="en-GB"/>
        </w:rPr>
        <w:t xml:space="preserve">is issued.</w:t>
      </w:r>
    </w:p>
    <w:p>
      <w:pPr>
        <w:pStyle w:val="Compact"/>
        <w:numPr>
          <w:ilvl w:val="0"/>
          <w:numId w:val="1024"/>
        </w:numPr>
      </w:pPr>
      <w:r>
        <w:rPr>
          <w:lang w:val="en-GB"/>
        </w:rPr>
        <w:t xml:space="preserve">The purge in production is reflected on the backups according to rotation (≤ 90 days).</w:t>
      </w:r>
    </w:p>
    <w:bookmarkEnd w:id="107"/>
    <w:bookmarkStart w:id="108" w:name="X24c1a499b9b0bdbba0fe8f8d5e8b857df025d88"/>
    <w:p>
      <w:pPr>
        <w:pStyle w:val="Heading3"/>
        <w:keepNext/>
        <w:keepLines/>
      </w:pPr>
      <w:r>
        <w:rPr>
          <w:color w:val="000000"/>
          <w:lang w:val="en-GB"/>
        </w:rPr>
        <w:t xml:space="preserve">5.2 End of contract (DPA §11)</w:t>
      </w:r>
    </w:p>
    <w:p>
      <w:pPr>
        <w:pStyle w:val="FirstParagraph"/>
      </w:pPr>
      <w:r>
        <w:rPr>
          <w:lang w:val="en-GB"/>
        </w:rPr>
        <w:t xml:space="preserve">At the end of the contract, the Customer chooses by written instruction </w:t>
      </w:r>
      <w:r>
        <w:rPr>
          <w:lang w:val="en-GB"/>
        </w:rPr>
        <w:t xml:space="preserve"/>
      </w:r>
      <w:r>
        <w:rPr>
          <w:b/>
          <w:bCs/>
          <w:lang w:val="en-GB"/>
        </w:rPr>
        <w:t xml:space="preserve">between </w:t>
      </w:r>
      <w:r>
        <w:rPr>
          <w:lang w:val="en-GB"/>
        </w:rPr>
        <w:t xml:space="preserve">restitution </w:t>
      </w:r>
      <w:r>
        <w:rPr>
          <w:lang w:val="en-GB"/>
        </w:rPr>
        <w:t xml:space="preserve"/>
      </w:r>
      <w:r>
        <w:rPr>
          <w:lang w:val="en-GB"/>
        </w:rPr>
        <w:t xml:space="preserve"/>
      </w:r>
      <w:r>
        <w:rPr>
          <w:b/>
          <w:bCs/>
          <w:lang w:val="en-GB"/>
        </w:rPr>
        <w:t xml:space="preserve">and </w:t>
      </w:r>
      <w:r>
        <w:rPr>
          <w:lang w:val="en-GB"/>
        </w:rPr>
        <w:t xml:space="preserve"/>
      </w:r>
      <w:r>
        <w:rPr>
          <w:lang w:val="en-GB"/>
        </w:rPr>
        <w:t xml:space="preserve">deletion:</w:t>
      </w:r>
    </w:p>
    <w:p>
      <w:pPr>
        <w:pStyle w:val="Compact"/>
        <w:numPr>
          <w:ilvl w:val="0"/>
          <w:numId w:val="1025"/>
        </w:numPr>
      </w:pPr>
      <w:r>
        <w:rPr>
          <w:b/>
          <w:bCs/>
          <w:lang w:val="en-GB"/>
        </w:rPr>
        <w:t xml:space="preserve">Restitution: </w:t>
      </w:r>
      <w:r>
        <w:rPr>
          <w:lang w:val="en-GB"/>
        </w:rPr>
        <w:t xml:space="preserve"/>
      </w:r>
      <w:r>
        <w:rPr>
          <w:lang w:val="en-GB"/>
        </w:rPr>
        <w:t xml:space="preserve">provision of a standard export (</w:t>
      </w:r>
      <w:r>
        <w:rPr>
          <w:rStyle w:val="VerbatimChar"/>
          <w:lang w:val="en-GB"/>
        </w:rPr>
        <w:t xml:space="preserve">.tar.gz</w:t>
      </w:r>
      <w:r>
        <w:rPr>
          <w:lang w:val="en-GB"/>
        </w:rPr>
        <w:t xml:space="preserve"> </w:t>
      </w:r>
      <w:r>
        <w:rPr>
          <w:lang w:val="en-GB"/>
        </w:rPr>
        <w:t xml:space="preserve">signed SHA-256 by tenant).</w:t>
      </w:r>
    </w:p>
    <w:p>
      <w:pPr>
        <w:pStyle w:val="Compact"/>
        <w:numPr>
          <w:ilvl w:val="0"/>
          <w:numId w:val="1025"/>
        </w:numPr>
      </w:pPr>
      <w:r>
        <w:rPr>
          <w:b/>
          <w:bCs/>
          <w:lang w:val="en-GB"/>
        </w:rPr>
        <w:t xml:space="preserve">Deletion </w:t>
      </w:r>
      <w:r>
        <w:rPr>
          <w:lang w:val="en-GB"/>
        </w:rPr>
        <w:t xml:space="preserve"/>
      </w:r>
      <w:r>
        <w:rPr>
          <w:lang w:val="en-GB"/>
        </w:rPr>
        <w:t xml:space="preserve">of production data: ≤ 30 </w:t>
      </w:r>
      <w:r>
        <w:rPr>
          <w:lang w:val="en-GB"/>
        </w:rPr>
        <w:t xml:space="preserve"/>
      </w:r>
      <w:r>
        <w:rPr>
          <w:b/>
          <w:bCs/>
          <w:lang w:val="en-GB"/>
        </w:rPr>
        <w:t xml:space="preserve">calendar </w:t>
      </w:r>
      <w:r>
        <w:rPr>
          <w:lang w:val="en-GB"/>
        </w:rPr>
        <w:t xml:space="preserve"/>
      </w:r>
      <w:r>
        <w:rPr>
          <w:lang w:val="en-GB"/>
        </w:rPr>
        <w:t xml:space="preserve">days after the effective end of the contract or receipt of the instruction (whichever is later).</w:t>
      </w:r>
    </w:p>
    <w:p>
      <w:pPr>
        <w:pStyle w:val="Compact"/>
        <w:numPr>
          <w:ilvl w:val="0"/>
          <w:numId w:val="1025"/>
        </w:numPr>
      </w:pPr>
      <w:r>
        <w:rPr>
          <w:b/>
          <w:bCs/>
          <w:lang w:val="en-GB"/>
        </w:rPr>
        <w:t xml:space="preserve">Purge of residual </w:t>
      </w:r>
      <w:r>
        <w:rPr>
          <w:lang w:val="en-GB"/>
        </w:rPr>
        <w:t xml:space="preserve"/>
      </w:r>
      <w:r>
        <w:rPr>
          <w:lang w:val="en-GB"/>
        </w:rPr>
        <w:t xml:space="preserve">backups: ≤ </w:t>
      </w:r>
      <w:r>
        <w:rPr>
          <w:lang w:val="en-GB"/>
        </w:rPr>
        <w:t xml:space="preserve">90 </w:t>
      </w:r>
      <w:r>
        <w:rPr>
          <w:b/>
          <w:bCs/>
          <w:lang w:val="en-GB"/>
        </w:rPr>
        <w:t xml:space="preserve">calendar </w:t>
      </w:r>
      <w:r>
        <w:rPr>
          <w:lang w:val="en-GB"/>
        </w:rPr>
        <w:t xml:space="preserve"/>
      </w:r>
      <w:r>
        <w:rPr>
          <w:lang w:val="en-GB"/>
        </w:rPr>
        <w:t xml:space="preserve">days (rotation cycle), unless legally required.</w:t>
      </w:r>
    </w:p>
    <w:p>
      <w:pPr>
        <w:pStyle w:val="Compact"/>
        <w:numPr>
          <w:ilvl w:val="0"/>
          <w:numId w:val="1025"/>
        </w:numPr>
      </w:pPr>
      <w:r>
        <w:rPr>
          <w:b/>
          <w:bCs/>
          <w:lang w:val="en-GB"/>
        </w:rPr>
        <w:t xml:space="preserve">Certificate </w:t>
      </w:r>
      <w:r>
        <w:rPr>
          <w:lang w:val="en-GB"/>
        </w:rPr>
        <w:t xml:space="preserve"/>
      </w:r>
      <w:r>
        <w:rPr>
          <w:lang w:val="en-GB"/>
        </w:rPr>
        <w:t xml:space="preserve">of deletion or return: provided within </w:t>
      </w:r>
      <w:r>
        <w:rPr>
          <w:lang w:val="en-GB"/>
        </w:rPr>
        <w:t xml:space="preserve">30 </w:t>
      </w:r>
      <w:r>
        <w:rPr>
          <w:b/>
          <w:bCs/>
          <w:lang w:val="en-GB"/>
        </w:rPr>
        <w:t xml:space="preserve">days </w:t>
      </w:r>
      <w:r>
        <w:rPr>
          <w:lang w:val="en-GB"/>
        </w:rPr>
        <w:t xml:space="preserve"/>
      </w:r>
      <w:r>
        <w:rPr>
          <w:lang w:val="en-GB"/>
        </w:rPr>
        <w:t xml:space="preserve">after completion of the operation.</w:t>
      </w:r>
    </w:p>
    <w:p>
      <w:pPr>
        <w:pStyle w:val="SourceCode"/>
      </w:pPr>
      <w:r>
        <w:rPr>
          <w:rStyle w:val="VerbatimChar"/>
          <w:rFonts w:ascii="Courier New" w:hAnsi="Courier New" w:eastAsia="Courier New" w:cs="Courier New"/>
          <w:sz w:val="20"/>
          <w:szCs w:val="20"/>
        </w:rPr>
        <w:t xml:space="preserve">End of contract</w:t>
        <w:br/>
        <w:t xml:space="preserve">  |-- Customer's written choice</w:t>
        <w:br/>
        <w:t xml:space="preserve">  |     |-- Return: signed .tar.gz export (SHA-256)</w:t>
        <w:br/>
        <w:t xml:space="preserve">  |     \-- Erasure:</w:t>
        <w:br/>
        <w:t xml:space="preserve">  |            [D+30 max] production purge</w:t>
        <w:br/>
        <w:t xml:space="preserve">  |            [D+90 max] backup purge</w:t>
        <w:br/>
        <w:t xml:space="preserve">  \-- Erasure / return certificate [+30 days after completion]</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108"/>
    <w:bookmarkEnd w:id="109"/>
    <w:bookmarkEnd w:id="110"/>
    <w:bookmarkStart w:id="122" w:name="Xdce4b62ecfec95499a77a7d1958b03ff9ff737c"/>
    <w:p>
      <w:pPr>
        <w:pStyle w:val="Heading1"/>
        <w:keepNext/>
        <w:keepLines/>
      </w:pPr>
      <w:r>
        <w:rPr>
          <w:color w:val="000000"/>
          <w:lang w:val="en-GB"/>
        </w:rPr>
        <w:t xml:space="preserve">Artificial intelligence models and providers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OHA-RGPD-06</w:t>
            </w:r>
          </w:p>
        </w:tc>
      </w:tr>
      <w:tr>
        <w:trPr>
          <w:cantSplit/>
        </w:trPr>
        <w:tc>
          <w:tcPr/>
          <w:p>
            <w:pPr>
              <w:pStyle w:val="Compact"/>
            </w:pPr>
            <w:r>
              <w:rPr>
                <w:lang w:val="en-GB"/>
              </w:rPr>
              <w:t xml:space="preserve">Purpose</w:t>
            </w:r>
          </w:p>
        </w:tc>
        <w:tc>
          <w:tcPr/>
          <w:p>
            <w:pPr>
              <w:pStyle w:val="Compact"/>
            </w:pPr>
            <w:r>
              <w:rPr>
                <w:lang w:val="en-GB"/>
              </w:rPr>
              <w:t xml:space="preserve">Documentation of AI models and providers: transmitted data, retention, non-training</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111" w:name="Xf1e621f1e00816d4df6a5d87990d4fe96ac2cec"/>
    <w:p>
      <w:pPr>
        <w:pStyle w:val="Heading2"/>
        <w:keepNext/>
        <w:keepLines/>
      </w:pPr>
      <w:r>
        <w:rPr>
          <w:color w:val="000000"/>
          <w:lang w:val="en-GB"/>
        </w:rPr>
        <w:t xml:space="preserve">1. Purpose</w:t>
      </w:r>
    </w:p>
    <w:p>
      <w:pPr>
        <w:pStyle w:val="FirstParagraph"/>
      </w:pPr>
      <w:r>
        <w:rPr>
          <w:lang w:val="en-GB"/>
        </w:rPr>
        <w:t xml:space="preserve">This document documents the artificial intelligence models and suppliers likely to be used by TranscribIA, the data transmitted to each, the retention periods on the supplier side, possible human access, non-training guarantees, and the conditions for changing models or suppliers.</w:t>
      </w:r>
    </w:p>
    <w:bookmarkEnd w:id="111"/>
    <w:bookmarkStart w:id="115" w:name="Xd1e5903fdf70abcf5368fef1c81a5eb86161bbb"/>
    <w:p>
      <w:pPr>
        <w:pStyle w:val="Heading2"/>
        <w:keepNext/>
        <w:keepLines/>
      </w:pPr>
      <w:r>
        <w:rPr>
          <w:color w:val="000000"/>
          <w:lang w:val="en-GB"/>
        </w:rPr>
        <w:t xml:space="preserve">2. Models and suppliers likely to be used</w:t>
      </w:r>
    </w:p>
    <w:bookmarkStart w:id="112" w:name="X94ec6f3ea1c75825c24d0d3494eaefc6983c2a1"/>
    <w:p>
      <w:pPr>
        <w:pStyle w:val="Heading3"/>
        <w:keepNext/>
        <w:keepLines/>
      </w:pPr>
      <w:r>
        <w:rPr>
          <w:color w:val="000000"/>
          <w:lang w:val="en-GB"/>
        </w:rPr>
        <w:t xml:space="preserve">2.1 Text generation (LLM) — two-way architecture</w:t>
      </w:r>
    </w:p>
    <w:p>
      <w:pPr>
        <w:pStyle w:val="FirstParagraph"/>
      </w:pPr>
      <w:r>
        <w:rPr>
          <w:lang w:val="en-GB"/>
        </w:rPr>
        <w:t xml:space="preserve">The IA functions (correction, summary, report, chaptering, analysis) are based on a multi-configuration gateway (</w:t>
      </w:r>
      <w:r>
        <w:rPr>
          <w:rStyle w:val="VerbatimChar"/>
          <w:lang w:val="en-GB"/>
        </w:rPr>
        <w:t xml:space="preserve">LlmGateway</w:t>
      </w:r>
      <w:r>
        <w:rPr>
          <w:lang w:val="en-GB"/>
        </w:rPr>
        <w:t xml:space="preserve">) with switchover by priority (3 tries, backoff, maximum delay 300 s) and multi-account rotation. The architecture chosen (decision of 2026-07-24) distinguishes </w:t>
      </w:r>
      <w:r>
        <w:rPr>
          <w:lang w:val="en-GB"/>
        </w:rPr>
        <w:t xml:space="preserve"/>
      </w:r>
      <w:r>
        <w:rPr>
          <w:b/>
          <w:bCs/>
          <w:lang w:val="en-GB"/>
        </w:rPr>
        <w:t xml:space="preserve">a primary route </w:t>
      </w:r>
      <w:r>
        <w:rPr>
          <w:lang w:val="en-GB"/>
        </w:rPr>
        <w:t xml:space="preserve"/>
      </w:r>
      <w:r>
        <w:rPr>
          <w:lang w:val="en-GB"/>
        </w:rPr>
        <w:t xml:space="preserve">and an </w:t>
      </w:r>
      <w:r>
        <w:rPr>
          <w:lang w:val="en-GB"/>
        </w:rPr>
        <w:t xml:space="preserve"/>
      </w:r>
      <w:r>
        <w:rPr>
          <w:b/>
          <w:bCs/>
          <w:lang w:val="en-GB"/>
        </w:rPr>
        <w:t xml:space="preserve">emergency </w:t>
      </w:r>
      <w:r>
        <w:rPr>
          <w:lang w:val="en-GB"/>
        </w:rPr>
        <w:t xml:space="preserve">route.</w:t>
      </w:r>
    </w:p>
    <w:p>
      <w:pPr>
        <w:pStyle w:val="BodyText"/>
      </w:pPr>
      <w:r>
        <w:rPr>
          <w:b/>
          <w:bCs/>
          <w:lang w:val="en-GB"/>
        </w:rPr>
        <w:t xml:space="preserve">Primary route — vLLM servers mastered in </w:t>
      </w:r>
      <w:r>
        <w:rPr>
          <w:lang w:val="en-GB"/>
        </w:rPr>
        <w:t xml:space="preserve"/>
      </w:r>
      <w:r>
        <w:rPr>
          <w:lang w:val="en-GB"/>
        </w:rPr>
        <w:t xml:space="preserve">the EU. By default, AI queries are processed on GPU servers </w:t>
      </w:r>
      <w:r>
        <w:rPr>
          <w:lang w:val="en-GB"/>
        </w:rPr>
        <w:t xml:space="preserve"/>
      </w:r>
      <w:r>
        <w:rPr>
          <w:b/>
          <w:bCs/>
          <w:lang w:val="en-GB"/>
        </w:rPr>
        <w:t xml:space="preserve">controlled by OHADJA running vLLM with open-weights models. </w:t>
      </w:r>
      <w:r>
        <w:rPr>
          <w:lang w:val="en-GB"/>
        </w:rPr>
        <w:t xml:space="preserve">These servers are hosted </w:t>
      </w:r>
      <w:r>
        <w:rPr>
          <w:lang w:val="en-GB"/>
        </w:rPr>
        <w:t xml:space="preserve"/>
      </w:r>
      <w:r>
        <w:rPr>
          <w:b/>
          <w:bCs/>
          <w:lang w:val="en-GB"/>
        </w:rPr>
        <w:t xml:space="preserve">in Europe, mainly in Strasbourg and Paris </w:t>
      </w:r>
      <w:r>
        <w:rPr>
          <w:lang w:val="en-GB"/>
        </w:rPr>
        <w:t xml:space="preserve">(or </w:t>
      </w:r>
      <w:r>
        <w:rPr>
          <w:lang w:val="en-GB"/>
        </w:rPr>
        <w:t xml:space="preserve">in the Customer's infrastructure in Option B). On this </w:t>
      </w:r>
      <w:r>
        <w:rPr>
          <w:lang w:val="en-GB"/>
        </w:rPr>
        <w:t xml:space="preserve">path, </w:t>
      </w:r>
      <w:r>
        <w:rPr>
          <w:b/>
          <w:bCs/>
          <w:lang w:val="en-GB"/>
        </w:rPr>
        <w:t xml:space="preserve">no data is transmitted to a third-party model </w:t>
      </w:r>
      <w:r>
        <w:rPr>
          <w:lang w:val="en-GB"/>
        </w:rPr>
        <w:t xml:space="preserve">provider.</w:t>
      </w:r>
    </w:p>
    <w:p>
      <w:pPr>
        <w:pStyle w:val="BodyText"/>
      </w:pPr>
      <w:r>
        <w:rPr>
          <w:b/>
          <w:bCs/>
          <w:lang w:val="en-GB"/>
        </w:rPr>
        <w:t xml:space="preserve">Fallback route — OpenRouter (failover, deactivable). </w:t>
      </w:r>
      <w:r>
        <w:rPr>
          <w:lang w:val="en-GB"/>
        </w:rPr>
        <w:t xml:space="preserve"/>
      </w:r>
      <w:r>
        <w:rPr>
          <w:lang w:val="en-GB"/>
        </w:rPr>
        <w:t xml:space="preserve">In the event of unavailability of the primary route, the gateway can switch to </w:t>
      </w:r>
      <w:r>
        <w:rPr>
          <w:lang w:val="en-GB"/>
        </w:rPr>
        <w:t xml:space="preserve"/>
      </w:r>
      <w:r>
        <w:rPr>
          <w:b/>
          <w:bCs/>
          <w:lang w:val="en-GB"/>
        </w:rPr>
        <w:t xml:space="preserve">OpenRouter </w:t>
      </w:r>
      <w:r>
        <w:rPr>
          <w:lang w:val="en-GB"/>
        </w:rPr>
        <w:t xml:space="preserve"/>
      </w:r>
      <w:r>
        <w:rPr>
          <w:lang w:val="en-GB"/>
        </w:rPr>
        <w:t xml:space="preserve">(Claude, GPT, etc.), with no-train. This emergency route </w:t>
      </w:r>
      <w:r>
        <w:rPr>
          <w:lang w:val="en-GB"/>
        </w:rPr>
        <w:t xml:space="preserve"/>
      </w:r>
      <w:r>
        <w:rPr>
          <w:b/>
          <w:bCs/>
          <w:lang w:val="en-GB"/>
        </w:rPr>
        <w:t xml:space="preserve">can be deactivated by </w:t>
      </w:r>
      <w:r>
        <w:rPr>
          <w:lang w:val="en-GB"/>
        </w:rPr>
        <w:t xml:space="preserve"/>
      </w:r>
      <w:r>
        <w:rPr>
          <w:lang w:val="en-GB"/>
        </w:rPr>
        <w:t xml:space="preserve">organization; </w:t>
      </w:r>
      <w:r>
        <w:rPr>
          <w:lang w:val="en-GB"/>
        </w:rPr>
        <w:t xml:space="preserve"/>
      </w:r>
      <w:r>
        <w:rPr>
          <w:b/>
          <w:bCs/>
          <w:lang w:val="en-GB"/>
        </w:rPr>
        <w:t xml:space="preserve">the “Strict EU” </w:t>
      </w:r>
      <w:r>
        <w:rPr>
          <w:lang w:val="en-GB"/>
        </w:rPr>
        <w:t xml:space="preserve"/>
      </w:r>
      <w:r>
        <w:rPr>
          <w:lang w:val="en-GB"/>
        </w:rPr>
        <w:t xml:space="preserve">profile neutralizes it, ensuring that no AI requests leave the EU.</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Lane</w:t>
            </w:r>
          </w:p>
        </w:tc>
        <w:tc>
          <w:tcPr>
            <w:tcW w:type="dxa" w:w="1872"/>
            <w:tcMar>
              <w:left w:type="dxa" w:w="80"/>
              <w:right w:type="dxa" w:w="80"/>
            </w:tcMar>
          </w:tcPr>
          <w:p>
            <w:pPr>
              <w:pStyle w:val="Compact"/>
            </w:pPr>
            <w:r>
              <w:rPr>
                <w:sz w:val="19"/>
                <w:szCs w:val="19"/>
                <w:lang w:val="en-GB"/>
              </w:rPr>
              <w:t xml:space="preserve">Models</w:t>
            </w:r>
          </w:p>
        </w:tc>
        <w:tc>
          <w:tcPr>
            <w:tcW w:type="dxa" w:w="1872"/>
            <w:tcMar>
              <w:left w:type="dxa" w:w="80"/>
              <w:right w:type="dxa" w:w="80"/>
            </w:tcMar>
          </w:tcPr>
          <w:p>
            <w:pPr>
              <w:pStyle w:val="Compact"/>
            </w:pPr>
            <w:r>
              <w:rPr>
                <w:sz w:val="19"/>
                <w:szCs w:val="19"/>
                <w:lang w:val="en-GB"/>
              </w:rPr>
              <w:t xml:space="preserve">Supplier / execution</w:t>
            </w:r>
          </w:p>
        </w:tc>
        <w:tc>
          <w:tcPr>
            <w:tcW w:type="dxa" w:w="1872"/>
            <w:tcMar>
              <w:left w:type="dxa" w:w="80"/>
              <w:right w:type="dxa" w:w="80"/>
            </w:tcMar>
          </w:tcPr>
          <w:p>
            <w:pPr>
              <w:pStyle w:val="Compact"/>
            </w:pPr>
            <w:r>
              <w:rPr>
                <w:sz w:val="19"/>
                <w:szCs w:val="19"/>
                <w:lang w:val="en-GB"/>
              </w:rPr>
              <w:t xml:space="preserve">Location</w:t>
            </w:r>
          </w:p>
        </w:tc>
        <w:tc>
          <w:tcPr>
            <w:tcW w:type="dxa" w:w="1872"/>
            <w:tcMar>
              <w:left w:type="dxa" w:w="80"/>
              <w:right w:type="dxa" w:w="80"/>
            </w:tcMar>
          </w:tcPr>
          <w:p>
            <w:pPr>
              <w:pStyle w:val="Compact"/>
            </w:pPr>
            <w:r>
              <w:rPr>
                <w:sz w:val="19"/>
                <w:szCs w:val="19"/>
                <w:lang w:val="en-GB"/>
              </w:rPr>
              <w:t xml:space="preserve">Transfer outside the EEA</w:t>
            </w:r>
          </w:p>
        </w:tc>
      </w:tr>
      <w:tr>
        <w:trPr>
          <w:cantSplit/>
        </w:trPr>
        <w:tc>
          <w:tcPr>
            <w:tcW w:type="dxa" w:w="1872"/>
            <w:tcMar>
              <w:left w:type="dxa" w:w="80"/>
              <w:right w:type="dxa" w:w="80"/>
            </w:tcMar>
          </w:tcPr>
          <w:p>
            <w:pPr>
              <w:pStyle w:val="Compact"/>
            </w:pPr>
            <w:r>
              <w:rPr>
                <w:b/>
                <w:bCs/>
                <w:sz w:val="19"/>
                <w:szCs w:val="19"/>
                <w:lang w:val="en-GB"/>
              </w:rPr>
              <w:t xml:space="preserve">Primary</w:t>
            </w:r>
          </w:p>
        </w:tc>
        <w:tc>
          <w:tcPr>
            <w:tcW w:type="dxa" w:w="1872"/>
            <w:tcMar>
              <w:left w:type="dxa" w:w="80"/>
              <w:right w:type="dxa" w:w="80"/>
            </w:tcMar>
          </w:tcPr>
          <w:p>
            <w:pPr>
              <w:pStyle w:val="Compact"/>
            </w:pPr>
            <w:r>
              <w:rPr>
                <w:sz w:val="19"/>
                <w:szCs w:val="19"/>
                <w:lang w:val="en-GB"/>
              </w:rPr>
              <w:t xml:space="preserve">Open-weights: Qwen 3.6 or Mistral [versions to be confirmed]</w:t>
            </w:r>
          </w:p>
        </w:tc>
        <w:tc>
          <w:tcPr>
            <w:tcW w:type="dxa" w:w="1872"/>
            <w:tcMar>
              <w:left w:type="dxa" w:w="80"/>
              <w:right w:type="dxa" w:w="80"/>
            </w:tcMar>
          </w:tcPr>
          <w:p>
            <w:pPr>
              <w:pStyle w:val="Compact"/>
            </w:pPr>
            <w:r>
              <w:rPr>
                <w:sz w:val="19"/>
                <w:szCs w:val="19"/>
                <w:lang w:val="en-GB"/>
              </w:rPr>
              <w:t xml:space="preserve">vLLM servers controlled by OHADJA (or infra client in Option B)</w:t>
            </w:r>
          </w:p>
        </w:tc>
        <w:tc>
          <w:tcPr>
            <w:tcW w:type="dxa" w:w="1872"/>
            <w:tcMar>
              <w:left w:type="dxa" w:w="80"/>
              <w:right w:type="dxa" w:w="80"/>
            </w:tcMar>
          </w:tcPr>
          <w:p>
            <w:pPr>
              <w:pStyle w:val="Compact"/>
            </w:pPr>
            <w:r>
              <w:rPr>
                <w:sz w:val="19"/>
                <w:szCs w:val="19"/>
                <w:lang w:val="en-GB"/>
              </w:rPr>
              <w:t xml:space="preserve">EU — Strasbourg / Paris</w:t>
            </w:r>
          </w:p>
        </w:tc>
        <w:tc>
          <w:tcPr>
            <w:tcW w:type="dxa" w:w="1872"/>
            <w:tcMar>
              <w:left w:type="dxa" w:w="80"/>
              <w:right w:type="dxa" w:w="80"/>
            </w:tcMar>
          </w:tcPr>
          <w:p>
            <w:pPr>
              <w:pStyle w:val="Compact"/>
            </w:pPr>
            <w:r>
              <w:rPr>
                <w:sz w:val="19"/>
                <w:szCs w:val="19"/>
                <w:lang w:val="en-GB"/>
              </w:rPr>
              <w:t xml:space="preserve">No</w:t>
            </w:r>
          </w:p>
        </w:tc>
      </w:tr>
      <w:tr>
        <w:trPr>
          <w:cantSplit/>
        </w:trPr>
        <w:tc>
          <w:tcPr>
            <w:tcW w:type="dxa" w:w="1872"/>
            <w:tcMar>
              <w:left w:type="dxa" w:w="80"/>
              <w:right w:type="dxa" w:w="80"/>
            </w:tcMar>
          </w:tcPr>
          <w:p>
            <w:pPr>
              <w:pStyle w:val="Compact"/>
            </w:pPr>
            <w:r>
              <w:rPr>
                <w:b/>
                <w:bCs/>
                <w:sz w:val="19"/>
                <w:szCs w:val="19"/>
                <w:lang w:val="en-GB"/>
              </w:rPr>
              <w:t xml:space="preserve">Failover</w:t>
            </w:r>
          </w:p>
        </w:tc>
        <w:tc>
          <w:tcPr>
            <w:tcW w:type="dxa" w:w="1872"/>
            <w:tcMar>
              <w:left w:type="dxa" w:w="80"/>
              <w:right w:type="dxa" w:w="80"/>
            </w:tcMar>
          </w:tcPr>
          <w:p>
            <w:pPr>
              <w:pStyle w:val="Compact"/>
            </w:pPr>
            <w:r>
              <w:rPr>
                <w:sz w:val="19"/>
                <w:szCs w:val="19"/>
                <w:lang w:val="en-GB"/>
              </w:rPr>
              <w:t xml:space="preserve">Claude, GPT…</w:t>
            </w:r>
          </w:p>
        </w:tc>
        <w:tc>
          <w:tcPr>
            <w:tcW w:type="dxa" w:w="1872"/>
            <w:tcMar>
              <w:left w:type="dxa" w:w="80"/>
              <w:right w:type="dxa" w:w="80"/>
            </w:tcMar>
          </w:tcPr>
          <w:p>
            <w:pPr>
              <w:pStyle w:val="Compact"/>
            </w:pPr>
            <w:r>
              <w:rPr>
                <w:sz w:val="19"/>
                <w:szCs w:val="19"/>
                <w:lang w:val="en-GB"/>
              </w:rPr>
              <w:t xml:space="preserve">via OpenRouter</w:t>
            </w:r>
          </w:p>
        </w:tc>
        <w:tc>
          <w:tcPr>
            <w:tcW w:type="dxa" w:w="1872"/>
            <w:tcMar>
              <w:left w:type="dxa" w:w="80"/>
              <w:right w:type="dxa" w:w="80"/>
            </w:tcMar>
          </w:tcPr>
          <w:p>
            <w:pPr>
              <w:pStyle w:val="Compact"/>
            </w:pPr>
            <w:r>
              <w:rPr>
                <w:sz w:val="19"/>
                <w:szCs w:val="19"/>
                <w:lang w:val="en-GB"/>
              </w:rPr>
              <w:t xml:space="preserve">US routing possible</w:t>
            </w:r>
          </w:p>
        </w:tc>
        <w:tc>
          <w:tcPr>
            <w:tcW w:type="dxa" w:w="1872"/>
            <w:tcMar>
              <w:left w:type="dxa" w:w="80"/>
              <w:right w:type="dxa" w:w="80"/>
            </w:tcMar>
          </w:tcPr>
          <w:p>
            <w:pPr>
              <w:pStyle w:val="Compact"/>
            </w:pPr>
            <w:r>
              <w:rPr>
                <w:sz w:val="19"/>
                <w:szCs w:val="19"/>
                <w:lang w:val="en-GB"/>
              </w:rPr>
              <w:t xml:space="preserve">Yes </w:t>
            </w:r>
            <w:r>
              <w:rPr>
                <w:sz w:val="19"/>
                <w:szCs w:val="19"/>
                <w:lang w:val="en-GB"/>
              </w:rPr>
              <w:t xml:space="preserve">— </w:t>
            </w:r>
            <w:r>
              <w:rPr>
                <w:b/>
                <w:bCs/>
                <w:sz w:val="19"/>
                <w:szCs w:val="19"/>
                <w:lang w:val="en-GB"/>
              </w:rPr>
              <w:t xml:space="preserve">avoidable </w:t>
            </w:r>
            <w:r>
              <w:rPr>
                <w:sz w:val="19"/>
                <w:szCs w:val="19"/>
                <w:lang w:val="en-GB"/>
              </w:rPr>
              <w:t xml:space="preserve"/>
            </w:r>
            <w:r>
              <w:rPr>
                <w:sz w:val="19"/>
                <w:szCs w:val="19"/>
                <w:lang w:val="en-GB"/>
              </w:rPr>
              <w:t xml:space="preserve">(skipable pathway, strict EU profile)</w:t>
            </w:r>
          </w:p>
        </w:tc>
      </w:tr>
      <w:tr>
        <w:trPr>
          <w:cantSplit/>
        </w:trPr>
        <w:tc>
          <w:tcPr>
            <w:tcW w:type="dxa" w:w="1872"/>
            <w:tcMar>
              <w:left w:type="dxa" w:w="80"/>
              <w:right w:type="dxa" w:w="80"/>
            </w:tcMar>
          </w:tcPr>
          <w:p>
            <w:pPr>
              <w:pStyle w:val="Compact"/>
            </w:pPr>
            <w:r>
              <w:rPr>
                <w:b/>
                <w:bCs/>
                <w:sz w:val="19"/>
                <w:szCs w:val="19"/>
                <w:lang w:val="en-GB"/>
              </w:rPr>
              <w:t xml:space="preserve">By organization</w:t>
            </w:r>
          </w:p>
        </w:tc>
        <w:tc>
          <w:tcPr>
            <w:tcW w:type="dxa" w:w="1872"/>
            <w:tcMar>
              <w:left w:type="dxa" w:w="80"/>
              <w:right w:type="dxa" w:w="80"/>
            </w:tcMar>
          </w:tcPr>
          <w:p>
            <w:pPr>
              <w:pStyle w:val="Compact"/>
            </w:pPr>
            <w:r>
              <w:rPr>
                <w:sz w:val="19"/>
                <w:szCs w:val="19"/>
                <w:lang w:val="en-GB"/>
              </w:rPr>
              <w:t xml:space="preserve">Your choice (since v1.7.0)</w:t>
            </w:r>
          </w:p>
        </w:tc>
        <w:tc>
          <w:tcPr>
            <w:tcW w:type="dxa" w:w="1872"/>
            <w:tcMar>
              <w:left w:type="dxa" w:w="80"/>
              <w:right w:type="dxa" w:w="80"/>
            </w:tcMar>
          </w:tcPr>
          <w:p>
            <w:pPr>
              <w:pStyle w:val="Compact"/>
            </w:pPr>
            <w:r>
              <w:rPr>
                <w:sz w:val="19"/>
                <w:szCs w:val="19"/>
                <w:lang w:val="en-GB"/>
              </w:rPr>
              <w:t xml:space="preserve">Organization-defined provider/endpoint, including self-hosted</w:t>
            </w:r>
          </w:p>
        </w:tc>
        <w:tc>
          <w:tcPr>
            <w:tcW w:type="dxa" w:w="1872"/>
            <w:tcMar>
              <w:left w:type="dxa" w:w="80"/>
              <w:right w:type="dxa" w:w="80"/>
            </w:tcMar>
          </w:tcPr>
          <w:p>
            <w:pPr>
              <w:pStyle w:val="Compact"/>
            </w:pPr>
            <w:r>
              <w:rPr>
                <w:sz w:val="19"/>
                <w:szCs w:val="19"/>
                <w:lang w:val="en-GB"/>
              </w:rPr>
              <w:t xml:space="preserve">According to the choice of the organization</w:t>
            </w:r>
          </w:p>
        </w:tc>
        <w:tc>
          <w:tcPr>
            <w:tcW w:type="dxa" w:w="1872"/>
            <w:tcMar>
              <w:left w:type="dxa" w:w="80"/>
              <w:right w:type="dxa" w:w="80"/>
            </w:tcMar>
          </w:tcPr>
          <w:p>
            <w:pPr>
              <w:pStyle w:val="Compact"/>
            </w:pPr>
            <w:r>
              <w:rPr>
                <w:sz w:val="19"/>
                <w:szCs w:val="19"/>
                <w:lang w:val="en-GB"/>
              </w:rPr>
              <w:t xml:space="preserve">Depending on the choice</w:t>
            </w:r>
          </w:p>
        </w:tc>
      </w:tr>
    </w:tbl>
    <w:p>
      <w:pPr>
        <w:pStyle w:val="BlockText"/>
      </w:pPr>
      <w:r>
        <w:rPr>
          <w:b/>
          <w:bCs/>
          <w:lang w:val="en-GB"/>
        </w:rPr>
        <w:t xml:space="preserve">[TO BE </w:t>
      </w:r>
      <w:r>
        <w:rPr>
          <w:lang w:val="en-GB"/>
        </w:rPr>
        <w:t xml:space="preserve">CONFIRMED]: </w:t>
      </w:r>
      <w:r>
        <w:rPr>
          <w:lang w:val="en-GB"/>
        </w:rPr>
        <w:t xml:space="preserve">the exact versions of the open-weights models (Qwen 3.6 / Mistral) are fixed upon contractualization. The suppliers actually activated for the Customer are listed in DPA Annex 2 and subject to the change procedure (§7).</w:t>
      </w:r>
    </w:p>
    <w:bookmarkEnd w:id="112"/>
    <w:bookmarkStart w:id="113" w:name="X2613d757ec50592d19a7869d075b43d140a05e4"/>
    <w:p>
      <w:pPr>
        <w:pStyle w:val="Heading3"/>
        <w:keepNext/>
        <w:keepLines/>
      </w:pPr>
      <w:r>
        <w:rPr>
          <w:color w:val="000000"/>
          <w:lang w:val="en-GB"/>
        </w:rPr>
        <w:t xml:space="preserve">2.2 Transcription and diarization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Treatment</w:t>
            </w:r>
          </w:p>
        </w:tc>
        <w:tc>
          <w:tcPr/>
          <w:p>
            <w:pPr>
              <w:pStyle w:val="Compact"/>
            </w:pPr>
            <w:r>
              <w:rPr>
                <w:lang w:val="en-GB"/>
              </w:rPr>
              <w:t xml:space="preserve">Technology</w:t>
            </w:r>
          </w:p>
        </w:tc>
        <w:tc>
          <w:tcPr/>
          <w:p>
            <w:pPr>
              <w:pStyle w:val="Compact"/>
            </w:pPr>
            <w:r>
              <w:rPr>
                <w:lang w:val="en-GB"/>
              </w:rPr>
              <w:t xml:space="preserve">Execution</w:t>
            </w:r>
          </w:p>
        </w:tc>
      </w:tr>
      <w:tr>
        <w:trPr>
          <w:cantSplit/>
        </w:trPr>
        <w:tc>
          <w:tcPr/>
          <w:p>
            <w:pPr>
              <w:pStyle w:val="Compact"/>
            </w:pPr>
            <w:r>
              <w:rPr>
                <w:lang w:val="en-GB"/>
              </w:rPr>
              <w:t xml:space="preserve">Transcription</w:t>
            </w:r>
          </w:p>
        </w:tc>
        <w:tc>
          <w:tcPr/>
          <w:p>
            <w:pPr>
              <w:pStyle w:val="Compact"/>
            </w:pPr>
            <w:r>
              <w:rPr>
                <w:lang w:val="en-GB"/>
              </w:rPr>
              <w:t xml:space="preserve">whisperX</w:t>
            </w:r>
          </w:p>
        </w:tc>
        <w:tc>
          <w:tcPr/>
          <w:p>
            <w:pPr>
              <w:pStyle w:val="Compact"/>
            </w:pPr>
            <w:r>
              <w:rPr>
                <w:lang w:val="en-GB"/>
              </w:rPr>
              <w:t xml:space="preserve">Dedicated GPU server (EU when required) or local GPU (Option B)</w:t>
            </w:r>
          </w:p>
        </w:tc>
      </w:tr>
      <w:tr>
        <w:trPr>
          <w:cantSplit/>
        </w:trPr>
        <w:tc>
          <w:tcPr/>
          <w:p>
            <w:pPr>
              <w:pStyle w:val="Compact"/>
            </w:pPr>
            <w:r>
              <w:rPr>
                <w:lang w:val="en-GB"/>
              </w:rPr>
              <w:t xml:space="preserve">Positional diarization</w:t>
            </w:r>
          </w:p>
        </w:tc>
        <w:tc>
          <w:tcPr/>
          <w:p>
            <w:pPr>
              <w:pStyle w:val="Compact"/>
            </w:pPr>
            <w:r>
              <w:rPr>
                <w:lang w:val="en-GB"/>
              </w:rPr>
              <w:t xml:space="preserve">pyannote.audio</w:t>
            </w:r>
          </w:p>
        </w:tc>
        <w:tc>
          <w:tcPr/>
          <w:p>
            <w:pPr>
              <w:pStyle w:val="Compact"/>
            </w:pPr>
            <w:r>
              <w:rPr>
                <w:lang w:val="en-GB"/>
              </w:rPr>
              <w:t xml:space="preserve">Same</w:t>
            </w:r>
          </w:p>
        </w:tc>
      </w:tr>
    </w:tbl>
    <w:bookmarkEnd w:id="113"/>
    <w:bookmarkStart w:id="114" w:name="Xc42de4c5fcd87d5ce39d074dc24454af63f0e5d"/>
    <w:p>
      <w:pPr>
        <w:pStyle w:val="Heading3"/>
        <w:keepNext/>
        <w:keepLines/>
      </w:pPr>
      <w:r>
        <w:rPr>
          <w:color w:val="000000"/>
          <w:lang w:val="en-GB"/>
        </w:rPr>
        <w:t xml:space="preserve">2.3 LLM configuration by organization (since v1.7.0)</w:t>
      </w:r>
    </w:p>
    <w:p>
      <w:pPr>
        <w:pStyle w:val="FirstParagraph"/>
      </w:pPr>
      <w:r>
        <w:rPr>
          <w:lang w:val="en-GB"/>
        </w:rPr>
        <w:t xml:space="preserve">Each organization can define its own provider, key, template, and, if applicable, a </w:t>
      </w:r>
      <w:r>
        <w:rPr>
          <w:lang w:val="en-GB"/>
        </w:rPr>
        <w:t xml:space="preserve"/>
      </w:r>
      <w:r>
        <w:rPr>
          <w:b/>
          <w:bCs/>
          <w:lang w:val="en-GB"/>
        </w:rPr>
        <w:t xml:space="preserve">self-hosted URL. </w:t>
      </w:r>
      <w:r>
        <w:rPr>
          <w:lang w:val="en-GB"/>
        </w:rPr>
        <w:t xml:space="preserve">The behavior is </w:t>
      </w:r>
      <w:r>
        <w:rPr>
          <w:lang w:val="en-GB"/>
        </w:rPr>
        <w:t xml:space="preserve"/>
      </w:r>
      <w:r>
        <w:rPr>
          <w:b/>
          <w:bCs/>
          <w:lang w:val="en-GB"/>
        </w:rPr>
        <w:t xml:space="preserve">fail-closed: </w:t>
      </w:r>
      <w:r>
        <w:rPr>
          <w:lang w:val="en-GB"/>
        </w:rPr>
        <w:t xml:space="preserve"/>
      </w:r>
      <w:r>
        <w:rPr>
          <w:lang w:val="en-GB"/>
        </w:rPr>
        <w:t xml:space="preserve">an organization with its own configurations never </w:t>
      </w:r>
      <w:r>
        <w:rPr>
          <w:lang w:val="en-GB"/>
        </w:rPr>
        <w:t xml:space="preserve"/>
      </w:r>
      <w:r>
        <w:rPr>
          <w:b/>
          <w:bCs/>
          <w:lang w:val="en-GB"/>
        </w:rPr>
        <w:t xml:space="preserve">uses </w:t>
      </w:r>
      <w:r>
        <w:rPr>
          <w:lang w:val="en-GB"/>
        </w:rPr>
        <w:t xml:space="preserve">the </w:t>
      </w:r>
      <w:r>
        <w:rPr>
          <w:lang w:val="en-GB"/>
        </w:rPr>
        <w:t xml:space="preserve">platform configurations. The keys are isolated, base encrypted, never redisplayed. Self-hosted endpoints are protected with anti-SSRF </w:t>
      </w:r>
      <w:r>
        <w:rPr>
          <w:lang w:val="en-GB"/>
        </w:rPr>
        <w:t xml:space="preserve"/>
      </w:r>
      <w:r>
        <w:rPr>
          <w:b/>
          <w:bCs/>
          <w:lang w:val="en-GB"/>
        </w:rPr>
        <w:t xml:space="preserve">guarding </w:t>
      </w:r>
      <w:r>
        <w:rPr>
          <w:lang w:val="en-GB"/>
        </w:rPr>
        <w:t xml:space="preserve"/>
      </w:r>
      <w:r>
        <w:rPr>
          <w:lang w:val="en-GB"/>
        </w:rPr>
        <w:t xml:space="preserve">(public IP validation, DNS pinning, blocking private IPs and metadata addresses).</w:t>
      </w:r>
    </w:p>
    <w:p>
      <w:pPr>
        <w:pStyle w:val="BodyText"/>
      </w:pPr>
      <w:r>
        <w:rPr>
          <w:lang w:val="en-GB"/>
        </w:rPr>
        <w:t xml:space="preserve">This functionality allows the </w:t>
      </w:r>
      <w:r>
        <w:rPr>
          <w:lang w:val="en-GB"/>
        </w:rPr>
        <w:t xml:space="preserve"/>
      </w:r>
      <w:r>
        <w:rPr>
          <w:b/>
          <w:bCs/>
          <w:lang w:val="en-GB"/>
        </w:rPr>
        <w:t xml:space="preserve">“strict UE” profile </w:t>
      </w:r>
      <w:r>
        <w:rPr>
          <w:lang w:val="en-GB"/>
        </w:rPr>
        <w:t xml:space="preserve"/>
      </w:r>
      <w:r>
        <w:rPr>
          <w:lang w:val="en-GB"/>
        </w:rPr>
        <w:t xml:space="preserve">(UE or self-hosted LLM) and, in isolated Option B, operation </w:t>
      </w:r>
      <w:r>
        <w:rPr>
          <w:lang w:val="en-GB"/>
        </w:rPr>
        <w:t xml:space="preserve"/>
      </w:r>
      <w:r>
        <w:rPr>
          <w:b/>
          <w:bCs/>
          <w:lang w:val="en-GB"/>
        </w:rPr>
        <w:t xml:space="preserve">without any outgoing AI </w:t>
      </w:r>
      <w:r>
        <w:rPr>
          <w:lang w:val="en-GB"/>
        </w:rPr>
        <w:t xml:space="preserve">flow.</w:t>
      </w:r>
    </w:p>
    <w:bookmarkEnd w:id="114"/>
    <w:bookmarkEnd w:id="115"/>
    <w:bookmarkStart w:id="116" w:name="X8cea14ac9afff7602f802dbdf16848ddab328ca"/>
    <w:p>
      <w:pPr>
        <w:pStyle w:val="Heading2"/>
        <w:keepNext/>
        <w:keepLines/>
      </w:pPr>
      <w:r>
        <w:rPr>
          <w:color w:val="000000"/>
          <w:lang w:val="en-GB"/>
        </w:rPr>
        <w:t xml:space="preserve">3. Data transmitted to each supplier</w:t>
      </w:r>
    </w:p>
    <w:p>
      <w:pPr>
        <w:pStyle w:val="Compact"/>
        <w:numPr>
          <w:ilvl w:val="0"/>
          <w:numId w:val="1026"/>
        </w:numPr>
      </w:pPr>
      <w:r>
        <w:rPr>
          <w:lang w:val="en-GB"/>
        </w:rPr>
        <w:t xml:space="preserve">The data transmitted to the LLM </w:t>
      </w:r>
      <w:r>
        <w:rPr>
          <w:lang w:val="en-GB"/>
        </w:rPr>
        <w:t xml:space="preserve"/>
      </w:r>
      <w:r>
        <w:rPr>
          <w:b/>
          <w:bCs/>
          <w:lang w:val="en-GB"/>
        </w:rPr>
        <w:t xml:space="preserve">are only the sources selected by the user: </w:t>
      </w:r>
      <w:r>
        <w:rPr>
          <w:lang w:val="en-GB"/>
        </w:rPr>
        <w:t xml:space="preserve"/>
      </w:r>
      <w:r>
        <w:rPr>
          <w:lang w:val="en-GB"/>
        </w:rPr>
        <w:t xml:space="preserve">transcriptions, documents, votes, metadata, depending on the function triggered.</w:t>
      </w:r>
    </w:p>
    <w:p>
      <w:pPr>
        <w:pStyle w:val="Compact"/>
        <w:numPr>
          <w:ilvl w:val="0"/>
          <w:numId w:val="1026"/>
        </w:numPr>
      </w:pPr>
      <w:r>
        <w:rPr>
          <w:b/>
          <w:bCs/>
          <w:lang w:val="en-GB"/>
        </w:rPr>
        <w:t xml:space="preserve">Minimization: </w:t>
      </w:r>
      <w:r>
        <w:rPr>
          <w:lang w:val="en-GB"/>
        </w:rPr>
        <w:t xml:space="preserve"/>
      </w:r>
      <w:r>
        <w:rPr>
          <w:lang w:val="en-GB"/>
        </w:rPr>
        <w:t xml:space="preserve">only the sources necessary for the function are included in the prompt.</w:t>
      </w:r>
    </w:p>
    <w:p>
      <w:pPr>
        <w:pStyle w:val="Compact"/>
        <w:numPr>
          <w:ilvl w:val="0"/>
          <w:numId w:val="1026"/>
        </w:numPr>
      </w:pPr>
      <w:r>
        <w:rPr>
          <w:lang w:val="en-GB"/>
        </w:rPr>
        <w:t xml:space="preserve">On the </w:t>
      </w:r>
      <w:r>
        <w:rPr>
          <w:lang w:val="en-GB"/>
        </w:rPr>
        <w:t xml:space="preserve"/>
      </w:r>
      <w:r>
        <w:rPr>
          <w:b/>
          <w:bCs/>
          <w:lang w:val="en-GB"/>
        </w:rPr>
        <w:t xml:space="preserve">primary channel (EU vLLM), </w:t>
      </w:r>
      <w:r>
        <w:rPr>
          <w:lang w:val="en-GB"/>
        </w:rPr>
        <w:t xml:space="preserve">the data does not leave the servers controlled by OHADJA (or the Client's infrastructure): </w:t>
      </w:r>
      <w:r>
        <w:rPr>
          <w:lang w:val="en-GB"/>
        </w:rPr>
        <w:t xml:space="preserve">no </w:t>
      </w:r>
      <w:r>
        <w:rPr>
          <w:b/>
          <w:bCs/>
          <w:lang w:val="en-GB"/>
        </w:rPr>
        <w:t xml:space="preserve">third party </w:t>
      </w:r>
      <w:r>
        <w:rPr>
          <w:lang w:val="en-GB"/>
        </w:rPr>
        <w:t xml:space="preserve"/>
      </w:r>
      <w:r>
        <w:rPr>
          <w:lang w:val="en-GB"/>
        </w:rPr>
        <w:t xml:space="preserve">accesses it.</w:t>
      </w:r>
    </w:p>
    <w:p>
      <w:pPr>
        <w:pStyle w:val="Compact"/>
        <w:numPr>
          <w:ilvl w:val="0"/>
          <w:numId w:val="1026"/>
        </w:numPr>
      </w:pPr>
      <w:r>
        <w:rPr>
          <w:lang w:val="en-GB"/>
        </w:rPr>
        <w:t xml:space="preserve">The </w:t>
      </w:r>
      <w:r>
        <w:rPr>
          <w:lang w:val="en-GB"/>
        </w:rPr>
        <w:t xml:space="preserve"/>
      </w:r>
      <w:r>
        <w:rPr>
          <w:b/>
          <w:bCs/>
          <w:lang w:val="en-GB"/>
        </w:rPr>
        <w:t xml:space="preserve"/>
      </w:r>
      <w:r>
        <w:rPr>
          <w:lang w:val="en-GB"/>
        </w:rPr>
        <w:t xml:space="preserve"/>
      </w:r>
      <w:r>
        <w:rPr>
          <w:lang w:val="en-GB"/>
        </w:rPr>
        <w:t xml:space="preserve">generated outputs are kept in the tenant </w:t>
      </w:r>
      <w:r>
        <w:rPr>
          <w:lang w:val="en-GB"/>
        </w:rPr>
        <w:t xml:space="preserve">(</w:t>
      </w:r>
      <w:r>
        <w:rPr>
          <w:rStyle w:val="VerbatimChar"/>
          <w:lang w:val="en-GB"/>
        </w:rPr>
        <w:t xml:space="preserve">ai_generations</w:t>
      </w:r>
      <w:r>
        <w:rPr>
          <w:lang w:val="en-GB"/>
        </w:rPr>
        <w:t xml:space="preserve"> table), editable and subject to human validation.</w:t>
      </w:r>
    </w:p>
    <w:p>
      <w:pPr>
        <w:pStyle w:val="Compact"/>
        <w:numPr>
          <w:ilvl w:val="0"/>
          <w:numId w:val="1026"/>
        </w:numPr>
      </w:pPr>
      <w:r>
        <w:rPr>
          <w:lang w:val="en-GB"/>
        </w:rPr>
        <w:t xml:space="preserve">No data sending to the LLM takes place without user action.</w:t>
      </w:r>
    </w:p>
    <w:bookmarkEnd w:id="116"/>
    <w:bookmarkStart w:id="117" w:name="X7e25c68b99894fac1e98cdb2271b9848e9f6f11"/>
    <w:p>
      <w:pPr>
        <w:pStyle w:val="Heading2"/>
        <w:keepNext/>
        <w:keepLines/>
      </w:pPr>
      <w:r>
        <w:rPr>
          <w:color w:val="000000"/>
          <w:lang w:val="en-GB"/>
        </w:rPr>
        <w:t xml:space="preserve">4. Supplier-side retention periods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Route/provider</w:t>
            </w:r>
          </w:p>
        </w:tc>
        <w:tc>
          <w:tcPr/>
          <w:p>
            <w:pPr>
              <w:pStyle w:val="Compact"/>
            </w:pPr>
            <w:r>
              <w:rPr>
                <w:lang w:val="en-GB"/>
              </w:rPr>
              <w:t xml:space="preserve">Supplier-side retention</w:t>
            </w:r>
          </w:p>
        </w:tc>
        <w:tc>
          <w:tcPr/>
          <w:p>
            <w:pPr>
              <w:pStyle w:val="Compact"/>
            </w:pPr>
            <w:r>
              <w:rPr>
                <w:lang w:val="en-GB"/>
              </w:rPr>
              <w:t xml:space="preserve">Training</w:t>
            </w:r>
          </w:p>
        </w:tc>
      </w:tr>
      <w:tr>
        <w:trPr>
          <w:cantSplit/>
        </w:trPr>
        <w:tc>
          <w:tcPr/>
          <w:p>
            <w:pPr>
              <w:pStyle w:val="Compact"/>
            </w:pPr>
            <w:r>
              <w:rPr>
                <w:b/>
                <w:bCs/>
                <w:lang w:val="en-GB"/>
              </w:rPr>
              <w:t xml:space="preserve">Controlled vLLM servers (primary channel, EU)</w:t>
            </w:r>
          </w:p>
        </w:tc>
        <w:tc>
          <w:tcPr/>
          <w:p>
            <w:pPr>
              <w:pStyle w:val="Compact"/>
            </w:pPr>
            <w:r>
              <w:rPr>
                <w:lang w:val="en-GB"/>
              </w:rPr>
              <w:t xml:space="preserve">No transmission to a third party; no external conservation</w:t>
            </w:r>
          </w:p>
        </w:tc>
        <w:tc>
          <w:tcPr/>
          <w:p>
            <w:pPr>
              <w:pStyle w:val="Compact"/>
            </w:pPr>
            <w:r>
              <w:rPr>
                <w:lang w:val="en-GB"/>
              </w:rPr>
              <w:t xml:space="preserve">No</w:t>
            </w:r>
          </w:p>
        </w:tc>
      </w:tr>
      <w:tr>
        <w:trPr>
          <w:cantSplit/>
        </w:trPr>
        <w:tc>
          <w:tcPr/>
          <w:p>
            <w:pPr>
              <w:pStyle w:val="Compact"/>
            </w:pPr>
            <w:r>
              <w:rPr>
                <w:lang w:val="en-GB"/>
              </w:rPr>
              <w:t xml:space="preserve">OpenRouter (escape route)</w:t>
            </w:r>
          </w:p>
        </w:tc>
        <w:tc>
          <w:tcPr/>
          <w:p>
            <w:pPr>
              <w:pStyle w:val="Compact"/>
            </w:pPr>
            <w:r>
              <w:rPr>
                <w:lang w:val="en-GB"/>
              </w:rPr>
              <w:t xml:space="preserve">No lasting storage; no-train enabled</w:t>
            </w:r>
          </w:p>
        </w:tc>
        <w:tc>
          <w:tcPr/>
          <w:p>
            <w:pPr>
              <w:pStyle w:val="Compact"/>
            </w:pPr>
            <w:r>
              <w:rPr>
                <w:lang w:val="en-GB"/>
              </w:rPr>
              <w:t xml:space="preserve">No</w:t>
            </w:r>
          </w:p>
        </w:tc>
      </w:tr>
      <w:tr>
        <w:trPr>
          <w:cantSplit/>
        </w:trPr>
        <w:tc>
          <w:tcPr/>
          <w:p>
            <w:pPr>
              <w:pStyle w:val="Compact"/>
            </w:pPr>
            <w:r>
              <w:rPr>
                <w:lang w:val="en-GB"/>
              </w:rPr>
              <w:t xml:space="preserve">Anthropic / OpenAI (via rescue)</w:t>
            </w:r>
          </w:p>
        </w:tc>
        <w:tc>
          <w:tcPr/>
          <w:p>
            <w:pPr>
              <w:pStyle w:val="Compact"/>
            </w:pPr>
            <w:r>
              <w:rPr>
                <w:lang w:val="en-GB"/>
              </w:rPr>
              <w:t xml:space="preserve">According to supplier DPA — limited retention</w:t>
            </w:r>
          </w:p>
        </w:tc>
        <w:tc>
          <w:tcPr/>
          <w:p>
            <w:pPr>
              <w:pStyle w:val="Compact"/>
            </w:pPr>
            <w:r>
              <w:rPr>
                <w:lang w:val="en-GB"/>
              </w:rPr>
              <w:t xml:space="preserve">No (no-train)</w:t>
            </w:r>
          </w:p>
        </w:tc>
      </w:tr>
      <w:tr>
        <w:trPr>
          <w:cantSplit/>
        </w:trPr>
        <w:tc>
          <w:tcPr/>
          <w:p>
            <w:pPr>
              <w:pStyle w:val="Compact"/>
            </w:pPr>
            <w:r>
              <w:rPr>
                <w:lang w:val="en-GB"/>
              </w:rPr>
              <w:t xml:space="preserve">Self-hosted LLM (by organization)</w:t>
            </w:r>
          </w:p>
        </w:tc>
        <w:tc>
          <w:tcPr/>
          <w:p>
            <w:pPr>
              <w:pStyle w:val="Compact"/>
            </w:pPr>
            <w:r>
              <w:rPr>
                <w:lang w:val="en-GB"/>
              </w:rPr>
              <w:t xml:space="preserve">According to the Customer's policy (endpoint under its control)</w:t>
            </w:r>
          </w:p>
        </w:tc>
        <w:tc>
          <w:tcPr/>
          <w:p>
            <w:pPr>
              <w:pStyle w:val="Compact"/>
            </w:pPr>
            <w:r>
              <w:rPr>
                <w:lang w:val="en-GB"/>
              </w:rPr>
              <w:t xml:space="preserve">According to the Customer</w:t>
            </w:r>
          </w:p>
        </w:tc>
      </w:tr>
    </w:tbl>
    <w:p>
      <w:pPr>
        <w:pStyle w:val="BlockText"/>
      </w:pPr>
      <w:r>
        <w:rPr>
          <w:b/>
          <w:bCs/>
          <w:lang w:val="en-GB"/>
        </w:rPr>
        <w:t xml:space="preserve">[TO BE COMPLETED by supplier]: </w:t>
      </w:r>
      <w:r>
        <w:rPr>
          <w:lang w:val="en-GB"/>
        </w:rPr>
        <w:t xml:space="preserve"/>
      </w:r>
      <w:r>
        <w:rPr>
          <w:lang w:val="en-GB"/>
        </w:rPr>
        <w:t xml:space="preserve">the exact retention periods on the Anthropic and OpenAI side (emergency route only) are set by their respective DPAs (transitional retention for abuse/security, no-train). To be specified supplier by supplier before contracting.</w:t>
      </w:r>
    </w:p>
    <w:bookmarkEnd w:id="117"/>
    <w:bookmarkStart w:id="118" w:name="X76a0388a0a75e5cd732825608b5174151bb52b1"/>
    <w:p>
      <w:pPr>
        <w:pStyle w:val="Heading2"/>
        <w:keepNext/>
        <w:keepLines/>
      </w:pPr>
      <w:r>
        <w:rPr>
          <w:color w:val="000000"/>
          <w:lang w:val="en-GB"/>
        </w:rPr>
        <w:t xml:space="preserve">5. Possible human access</w:t>
      </w:r>
    </w:p>
    <w:p>
      <w:pPr>
        <w:pStyle w:val="Compact"/>
        <w:numPr>
          <w:ilvl w:val="0"/>
          <w:numId w:val="1027"/>
        </w:numPr>
      </w:pPr>
      <w:r>
        <w:rPr>
          <w:b/>
          <w:bCs/>
          <w:lang w:val="en-GB"/>
        </w:rPr>
        <w:t xml:space="preserve">OHADJA </w:t>
      </w:r>
      <w:r>
        <w:rPr>
          <w:lang w:val="en-GB"/>
        </w:rPr>
        <w:t xml:space="preserve">side: </w:t>
      </w:r>
      <w:r>
        <w:rPr>
          <w:lang w:val="en-GB"/>
        </w:rPr>
        <w:t xml:space="preserve"/>
      </w:r>
      <w:r>
        <w:rPr>
          <w:lang w:val="en-GB"/>
        </w:rPr>
        <w:t xml:space="preserve"/>
      </w:r>
      <w:r>
        <w:rPr>
          <w:b/>
          <w:bCs/>
          <w:lang w:val="en-GB"/>
        </w:rPr>
        <w:t xml:space="preserve">no </w:t>
      </w:r>
      <w:r>
        <w:rPr>
          <w:lang w:val="en-GB"/>
        </w:rPr>
        <w:t xml:space="preserve"/>
      </w:r>
      <w:r>
        <w:rPr>
          <w:lang w:val="en-GB"/>
        </w:rPr>
        <w:t xml:space="preserve">human access to prompts. The prompts are created and transmitted automatically by the application.</w:t>
      </w:r>
    </w:p>
    <w:p>
      <w:pPr>
        <w:pStyle w:val="Compact"/>
        <w:numPr>
          <w:ilvl w:val="0"/>
          <w:numId w:val="1027"/>
        </w:numPr>
      </w:pPr>
      <w:r>
        <w:rPr>
          <w:b/>
          <w:bCs/>
          <w:lang w:val="en-GB"/>
        </w:rPr>
        <w:t xml:space="preserve">Supplier side: </w:t>
      </w:r>
      <w:r>
        <w:rPr>
          <w:lang w:val="en-GB"/>
        </w:rPr>
        <w:t xml:space="preserve"/>
      </w:r>
      <w:r>
        <w:rPr>
          <w:lang w:val="en-GB"/>
        </w:rPr>
        <w:t xml:space="preserve">regulated by the supplier's DPA (access limited to security/abuse purposes, without training).</w:t>
      </w:r>
    </w:p>
    <w:bookmarkEnd w:id="118"/>
    <w:bookmarkStart w:id="119" w:name="X2d6d1fb352eec63ee42824fb7c8bbef9df44f01"/>
    <w:p>
      <w:pPr>
        <w:pStyle w:val="Heading2"/>
        <w:keepNext/>
        <w:keepLines/>
      </w:pPr>
      <w:r>
        <w:rPr>
          <w:color w:val="000000"/>
          <w:lang w:val="en-GB"/>
        </w:rPr>
        <w:t xml:space="preserve">6. Guarantees of non-training and non-reuse</w:t>
      </w:r>
    </w:p>
    <w:p>
      <w:pPr>
        <w:pStyle w:val="Compact"/>
        <w:numPr>
          <w:ilvl w:val="0"/>
          <w:numId w:val="1028"/>
        </w:numPr>
      </w:pPr>
      <w:r>
        <w:rPr>
          <w:b/>
          <w:bCs/>
          <w:lang w:val="en-GB"/>
        </w:rPr>
        <w:t xml:space="preserve">Primary channel (EU </w:t>
      </w:r>
      <w:r>
        <w:rPr>
          <w:lang w:val="en-GB"/>
        </w:rPr>
        <w:t xml:space="preserve"/>
      </w:r>
      <w:r>
        <w:rPr>
          <w:lang w:val="en-GB"/>
        </w:rPr>
        <w:t xml:space="preserve">vLLM): </w:t>
      </w:r>
      <w:r>
        <w:rPr>
          <w:lang w:val="en-GB"/>
        </w:rPr>
        <w:t xml:space="preserve"/>
      </w:r>
      <w:r>
        <w:rPr>
          <w:b/>
          <w:bCs/>
          <w:lang w:val="en-GB"/>
        </w:rPr>
        <w:t xml:space="preserve">open-weight </w:t>
      </w:r>
      <w:r>
        <w:rPr>
          <w:lang w:val="en-GB"/>
        </w:rPr>
        <w:t xml:space="preserve"/>
      </w:r>
      <w:r>
        <w:rPr>
          <w:lang w:val="en-GB"/>
        </w:rPr>
        <w:t xml:space="preserve">models executed on controlled servers; Prompts are </w:t>
      </w:r>
      <w:r>
        <w:rPr>
          <w:lang w:val="en-GB"/>
        </w:rPr>
        <w:t xml:space="preserve">not </w:t>
      </w:r>
      <w:r>
        <w:rPr>
          <w:b/>
          <w:bCs/>
          <w:lang w:val="en-GB"/>
        </w:rPr>
        <w:t xml:space="preserve"/>
      </w:r>
      <w:r>
        <w:rPr>
          <w:lang w:val="en-GB"/>
        </w:rPr>
        <w:t xml:space="preserve"/>
      </w:r>
      <w:r>
        <w:rPr>
          <w:lang w:val="en-GB"/>
        </w:rPr>
        <w:t xml:space="preserve">used to train models and are not passed on to any </w:t>
      </w:r>
      <w:r>
        <w:rPr>
          <w:lang w:val="en-GB"/>
        </w:rPr>
        <w:t xml:space="preserve"/>
      </w:r>
      <w:r>
        <w:rPr>
          <w:b/>
          <w:bCs/>
          <w:lang w:val="en-GB"/>
        </w:rPr>
        <w:t xml:space="preserve">third </w:t>
      </w:r>
      <w:r>
        <w:rPr>
          <w:lang w:val="en-GB"/>
        </w:rPr>
        <w:t xml:space="preserve">parties.</w:t>
      </w:r>
    </w:p>
    <w:p>
      <w:pPr>
        <w:pStyle w:val="Compact"/>
        <w:numPr>
          <w:ilvl w:val="0"/>
          <w:numId w:val="1028"/>
        </w:numPr>
      </w:pPr>
      <w:r>
        <w:rPr>
          <w:b/>
          <w:bCs/>
          <w:lang w:val="en-GB"/>
        </w:rPr>
        <w:t xml:space="preserve">Emergency </w:t>
      </w:r>
      <w:r>
        <w:rPr>
          <w:lang w:val="en-GB"/>
        </w:rPr>
        <w:t xml:space="preserve">route: </w:t>
      </w:r>
      <w:r>
        <w:rPr>
          <w:lang w:val="en-GB"/>
        </w:rPr>
        <w:t xml:space="preserve"/>
      </w:r>
      <w:r>
        <w:rPr>
          <w:lang w:val="en-GB"/>
        </w:rPr>
        <w:t xml:space="preserve"/>
      </w:r>
      <w:r>
        <w:rPr>
          <w:b/>
          <w:bCs/>
          <w:lang w:val="en-GB"/>
        </w:rPr>
        <w:t xml:space="preserve">no-train </w:t>
      </w:r>
      <w:r>
        <w:rPr>
          <w:lang w:val="en-GB"/>
        </w:rPr>
        <w:t xml:space="preserve"/>
      </w:r>
      <w:r>
        <w:rPr>
          <w:lang w:val="en-GB"/>
        </w:rPr>
        <w:t xml:space="preserve">flag activated at the OpenRouter gateway.</w:t>
      </w:r>
    </w:p>
    <w:p>
      <w:pPr>
        <w:pStyle w:val="Compact"/>
        <w:numPr>
          <w:ilvl w:val="0"/>
          <w:numId w:val="1028"/>
        </w:numPr>
      </w:pPr>
      <w:r>
        <w:rPr>
          <w:lang w:val="en-GB"/>
        </w:rPr>
        <w:t xml:space="preserve">Contractual commitment to non-training included in </w:t>
      </w:r>
      <w:r>
        <w:rPr>
          <w:lang w:val="en-GB"/>
        </w:rPr>
        <w:t xml:space="preserve"/>
      </w:r>
      <w:r>
        <w:rPr>
          <w:b/>
          <w:bCs/>
          <w:lang w:val="en-GB"/>
        </w:rPr>
        <w:t xml:space="preserve">the DPA (Appendix </w:t>
      </w:r>
      <w:r>
        <w:rPr>
          <w:lang w:val="en-GB"/>
        </w:rPr>
        <w:t xml:space="preserve"/>
      </w:r>
      <w:r>
        <w:rPr>
          <w:lang w:val="en-GB"/>
        </w:rPr>
        <w:t xml:space="preserve">3 §8): the data transmitted to the processors IA are not used by OHADJA to train its own models, unless expressly and separately instructed by the Client.</w:t>
      </w:r>
    </w:p>
    <w:p>
      <w:pPr>
        <w:pStyle w:val="Compact"/>
        <w:numPr>
          <w:ilvl w:val="0"/>
          <w:numId w:val="1028"/>
        </w:numPr>
      </w:pPr>
      <w:r>
        <w:rPr>
          <w:lang w:val="en-GB"/>
        </w:rPr>
        <w:t xml:space="preserve">No reuse of content for purposes other than the execution of the Customer's request.</w:t>
      </w:r>
    </w:p>
    <w:bookmarkEnd w:id="119"/>
    <w:bookmarkStart w:id="120" w:name="Xbbcbe0aef55d7b3e216a9333077b0de9e5a8f3f"/>
    <w:p>
      <w:pPr>
        <w:pStyle w:val="Heading2"/>
        <w:keepNext/>
        <w:keepLines/>
      </w:pPr>
      <w:r>
        <w:rPr>
          <w:color w:val="000000"/>
          <w:lang w:val="en-GB"/>
        </w:rPr>
        <w:t xml:space="preserve">7. Modalities for changing model/supplier</w:t>
      </w:r>
    </w:p>
    <w:p>
      <w:pPr>
        <w:pStyle w:val="Compact"/>
        <w:numPr>
          <w:ilvl w:val="0"/>
          <w:numId w:val="1029"/>
        </w:numPr>
      </w:pPr>
      <w:r>
        <w:rPr>
          <w:lang w:val="en-GB"/>
        </w:rPr>
        <w:t xml:space="preserve">The change of model or supplier can be made by the </w:t>
      </w:r>
      <w:r>
        <w:rPr>
          <w:lang w:val="en-GB"/>
        </w:rPr>
        <w:t xml:space="preserve"/>
      </w:r>
      <w:r>
        <w:rPr>
          <w:b/>
          <w:bCs/>
          <w:lang w:val="en-GB"/>
        </w:rPr>
        <w:t xml:space="preserve">platform or by </w:t>
      </w:r>
      <w:r>
        <w:rPr>
          <w:lang w:val="en-GB"/>
        </w:rPr>
        <w:t xml:space="preserve"/>
      </w:r>
      <w:r>
        <w:rPr>
          <w:lang w:val="en-GB"/>
        </w:rPr>
        <w:t xml:space="preserve">the </w:t>
      </w:r>
      <w:r>
        <w:rPr>
          <w:lang w:val="en-GB"/>
        </w:rPr>
        <w:t xml:space="preserve"/>
      </w:r>
      <w:r>
        <w:rPr>
          <w:b/>
          <w:bCs/>
          <w:lang w:val="en-GB"/>
        </w:rPr>
        <w:t xml:space="preserve">organization (LLM </w:t>
      </w:r>
      <w:r>
        <w:rPr>
          <w:lang w:val="en-GB"/>
        </w:rPr>
        <w:t xml:space="preserve"/>
      </w:r>
      <w:r>
        <w:rPr>
          <w:lang w:val="en-GB"/>
        </w:rPr>
        <w:t xml:space="preserve">configuration by organization).</w:t>
      </w:r>
    </w:p>
    <w:p>
      <w:pPr>
        <w:pStyle w:val="Compact"/>
        <w:numPr>
          <w:ilvl w:val="0"/>
          <w:numId w:val="1029"/>
        </w:numPr>
      </w:pPr>
      <w:r>
        <w:rPr>
          <w:lang w:val="en-GB"/>
        </w:rPr>
        <w:t xml:space="preserve">Any </w:t>
      </w:r>
      <w:r>
        <w:rPr>
          <w:lang w:val="en-GB"/>
        </w:rPr>
        <w:t xml:space="preserve"/>
      </w:r>
      <w:r>
        <w:rPr>
          <w:b/>
          <w:bCs/>
          <w:lang w:val="en-GB"/>
        </w:rPr>
        <w:t xml:space="preserve">addition or replacement </w:t>
      </w:r>
      <w:r>
        <w:rPr>
          <w:lang w:val="en-GB"/>
        </w:rPr>
        <w:t xml:space="preserve"/>
      </w:r>
      <w:r>
        <w:rPr>
          <w:lang w:val="en-GB"/>
        </w:rPr>
        <w:t xml:space="preserve">of supplier at the platform level is subject to </w:t>
      </w:r>
      <w:r>
        <w:rPr>
          <w:lang w:val="en-GB"/>
        </w:rPr>
        <w:t xml:space="preserve"/>
      </w:r>
      <w:r>
        <w:rPr>
          <w:b/>
          <w:bCs/>
          <w:lang w:val="en-GB"/>
        </w:rPr>
        <w:t xml:space="preserve">30 days' notice + the Customer's right of </w:t>
      </w:r>
      <w:r>
        <w:rPr>
          <w:lang w:val="en-GB"/>
        </w:rPr>
        <w:t xml:space="preserve"/>
      </w:r>
      <w:r>
        <w:rPr>
          <w:lang w:val="en-GB"/>
        </w:rPr>
        <w:t xml:space="preserve">objection (DPA §6).</w:t>
      </w:r>
    </w:p>
    <w:p>
      <w:pPr>
        <w:pStyle w:val="Compact"/>
        <w:numPr>
          <w:ilvl w:val="0"/>
          <w:numId w:val="1029"/>
        </w:numPr>
      </w:pPr>
      <w:r>
        <w:rPr>
          <w:lang w:val="en-GB"/>
        </w:rPr>
        <w:t xml:space="preserve">The Client can, at any time, </w:t>
      </w:r>
      <w:r>
        <w:rPr>
          <w:lang w:val="en-GB"/>
        </w:rPr>
        <w:t xml:space="preserve"/>
      </w:r>
      <w:r>
        <w:rPr>
          <w:b/>
          <w:bCs/>
          <w:lang w:val="en-GB"/>
        </w:rPr>
        <w:t xml:space="preserve">choose their </w:t>
      </w:r>
      <w:r>
        <w:rPr>
          <w:lang w:val="en-GB"/>
        </w:rPr>
        <w:t xml:space="preserve"/>
      </w:r>
      <w:r>
        <w:rPr>
          <w:lang w:val="en-GB"/>
        </w:rPr>
        <w:t xml:space="preserve">own provider via configuration by organization, including a self-hosted LLM.</w:t>
      </w:r>
    </w:p>
    <w:bookmarkEnd w:id="120"/>
    <w:bookmarkStart w:id="121" w:name="Xd7f952ce444fe0cff542caac7e328f2beb9cd73"/>
    <w:p>
      <w:pPr>
        <w:pStyle w:val="Heading2"/>
        <w:keepNext/>
        <w:keepLines/>
      </w:pPr>
      <w:r>
        <w:rPr>
          <w:color w:val="000000"/>
          <w:lang w:val="en-GB"/>
        </w:rPr>
        <w:t xml:space="preserve">8. Output transparency</w:t>
      </w:r>
    </w:p>
    <w:p>
      <w:pPr>
        <w:pStyle w:val="Compact"/>
        <w:numPr>
          <w:ilvl w:val="0"/>
          <w:numId w:val="1030"/>
        </w:numPr>
      </w:pPr>
      <w:r>
        <w:rPr>
          <w:lang w:val="en-GB"/>
        </w:rPr>
        <w:t xml:space="preserve">AI outputs are </w:t>
      </w:r>
      <w:r>
        <w:rPr>
          <w:lang w:val="en-GB"/>
        </w:rPr>
        <w:t xml:space="preserve"/>
      </w:r>
      <w:r>
        <w:rPr>
          <w:b/>
          <w:bCs/>
          <w:lang w:val="en-GB"/>
        </w:rPr>
        <w:t xml:space="preserve">stored in the Client's </w:t>
      </w:r>
      <w:r>
        <w:rPr>
          <w:lang w:val="en-GB"/>
        </w:rPr>
        <w:t xml:space="preserve"/>
      </w:r>
      <w:r>
        <w:rPr>
          <w:lang w:val="en-GB"/>
        </w:rPr>
        <w:t xml:space="preserve">tenant.</w:t>
      </w:r>
    </w:p>
    <w:p>
      <w:pPr>
        <w:pStyle w:val="Compact"/>
        <w:numPr>
          <w:ilvl w:val="0"/>
          <w:numId w:val="1030"/>
        </w:numPr>
      </w:pPr>
      <w:r>
        <w:rPr>
          <w:lang w:val="en-GB"/>
        </w:rPr>
        <w:t xml:space="preserve">They can </w:t>
      </w:r>
      <w:r>
        <w:rPr>
          <w:lang w:val="en-GB"/>
        </w:rPr>
        <w:t xml:space="preserve"/>
      </w:r>
      <w:r>
        <w:rPr>
          <w:b/>
          <w:bCs/>
          <w:lang w:val="en-GB"/>
        </w:rPr>
        <w:t xml:space="preserve">be </w:t>
      </w:r>
      <w:r>
        <w:rPr>
          <w:lang w:val="en-GB"/>
        </w:rPr>
        <w:t xml:space="preserve">edited </w:t>
      </w:r>
      <w:r>
        <w:rPr>
          <w:lang w:val="en-GB"/>
        </w:rPr>
        <w:t xml:space="preserve">by authorized users.</w:t>
      </w:r>
    </w:p>
    <w:p>
      <w:pPr>
        <w:pStyle w:val="Compact"/>
        <w:numPr>
          <w:ilvl w:val="0"/>
          <w:numId w:val="1030"/>
        </w:numPr>
      </w:pPr>
      <w:r>
        <w:rPr>
          <w:lang w:val="en-GB"/>
        </w:rPr>
        <w:t xml:space="preserve">They are subject to </w:t>
      </w:r>
      <w:r>
        <w:rPr>
          <w:lang w:val="en-GB"/>
        </w:rPr>
        <w:t xml:space="preserve"/>
      </w:r>
      <w:r>
        <w:rPr>
          <w:b/>
          <w:bCs/>
          <w:lang w:val="en-GB"/>
        </w:rPr>
        <w:t xml:space="preserve">human validation </w:t>
      </w:r>
      <w:r>
        <w:rPr>
          <w:lang w:val="en-GB"/>
        </w:rPr>
        <w:t xml:space="preserve"/>
      </w:r>
      <w:r>
        <w:rPr>
          <w:lang w:val="en-GB"/>
        </w:rPr>
        <w:t xml:space="preserve">before being retained (in particular for speaker identification suggestions, see OHA-RGPD-07).</w:t>
      </w:r>
    </w:p>
    <w:p>
      <w:pPr>
        <w:pStyle w:val="Compact"/>
        <w:numPr>
          <w:ilvl w:val="0"/>
          <w:numId w:val="1030"/>
        </w:numPr>
      </w:pPr>
      <w:r>
        <w:rPr>
          <w:lang w:val="en-GB"/>
        </w:rPr>
        <w:t xml:space="preserve">No decision producing legal effects is taken in a fully automated manner by the platform.</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121"/>
    <w:bookmarkEnd w:id="122"/>
    <w:bookmarkStart w:id="139" w:name="X60112580242ccd233cbd012b1ec70b56adebcf6"/>
    <w:p>
      <w:pPr>
        <w:pStyle w:val="Heading1"/>
        <w:keepNext/>
        <w:keepLines/>
      </w:pPr>
      <w:r>
        <w:rPr>
          <w:color w:val="000000"/>
          <w:lang w:val="en-GB"/>
        </w:rPr>
        <w:t xml:space="preserve">Analysis Technical Note GDPR — Speaker Identification and Voice Correlation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OHA-RGPD-07</w:t>
            </w:r>
          </w:p>
        </w:tc>
      </w:tr>
      <w:tr>
        <w:trPr>
          <w:cantSplit/>
        </w:trPr>
        <w:tc>
          <w:tcPr/>
          <w:p>
            <w:pPr>
              <w:pStyle w:val="Compact"/>
            </w:pPr>
            <w:r>
              <w:rPr>
                <w:lang w:val="en-GB"/>
              </w:rPr>
              <w:t xml:space="preserve">Purpose</w:t>
            </w:r>
          </w:p>
        </w:tc>
        <w:tc>
          <w:tcPr/>
          <w:p>
            <w:pPr>
              <w:pStyle w:val="Compact"/>
            </w:pPr>
            <w:r>
              <w:rPr>
                <w:lang w:val="en-GB"/>
              </w:rPr>
              <w:t xml:space="preserve">GDPR analysis of diarization, manual attribution and ephemeral voice correlation</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123" w:name="sommaire"/>
    <w:p>
      <w:pPr>
        <w:pStyle w:val="Heading2"/>
        <w:keepNext/>
        <w:keepLines/>
      </w:pPr>
      <w:r>
        <w:rPr>
          <w:color w:val="000000"/>
          <w:lang w:val="en-GB"/>
        </w:rPr>
        <w:t xml:space="preserve">Summary</w:t>
      </w:r>
    </w:p>
    <w:p>
      <w:pPr>
        <w:pStyle w:val="Compact"/>
        <w:numPr>
          <w:ilvl w:val="0"/>
          <w:numId w:val="1031"/>
        </w:numPr>
      </w:pPr>
      <w:r>
        <w:rPr>
          <w:lang w:val="en-GB"/>
        </w:rPr>
        <w:t xml:space="preserve">Context and functionalities concerned</w:t>
      </w:r>
    </w:p>
    <w:p>
      <w:pPr>
        <w:pStyle w:val="Compact"/>
        <w:numPr>
          <w:ilvl w:val="0"/>
          <w:numId w:val="1031"/>
        </w:numPr>
      </w:pPr>
      <w:r>
        <w:rPr>
          <w:lang w:val="en-GB"/>
        </w:rPr>
        <w:t xml:space="preserve">Precise technical description</w:t>
      </w:r>
    </w:p>
    <w:p>
      <w:pPr>
        <w:pStyle w:val="Compact"/>
        <w:numPr>
          <w:ilvl w:val="0"/>
          <w:numId w:val="1031"/>
        </w:numPr>
      </w:pPr>
      <w:r>
        <w:rPr>
          <w:lang w:val="en-GB"/>
        </w:rPr>
        <w:t xml:space="preserve">Legal analysis (articles 4.14 and 9 GDPR)</w:t>
      </w:r>
    </w:p>
    <w:p>
      <w:pPr>
        <w:pStyle w:val="Compact"/>
        <w:numPr>
          <w:ilvl w:val="0"/>
          <w:numId w:val="1031"/>
        </w:numPr>
      </w:pPr>
      <w:r>
        <w:rPr>
          <w:lang w:val="en-GB"/>
        </w:rPr>
        <w:t xml:space="preserve">Framework put in place</w:t>
      </w:r>
    </w:p>
    <w:p>
      <w:pPr>
        <w:pStyle w:val="Compact"/>
        <w:numPr>
          <w:ilvl w:val="0"/>
          <w:numId w:val="1031"/>
        </w:numPr>
      </w:pPr>
      <w:r>
        <w:rPr>
          <w:lang w:val="en-GB"/>
        </w:rPr>
        <w:t xml:space="preserve">Dedicated technical and organizational measures</w:t>
      </w:r>
    </w:p>
    <w:p>
      <w:pPr>
        <w:pStyle w:val="Compact"/>
        <w:numPr>
          <w:ilvl w:val="0"/>
          <w:numId w:val="1031"/>
        </w:numPr>
      </w:pPr>
      <w:r>
        <w:rPr>
          <w:lang w:val="en-GB"/>
        </w:rPr>
        <w:t xml:space="preserve">Limitations and recommendations at controller</w:t>
      </w:r>
    </w:p>
    <w:p>
      <w:r>
        <w:pict>
          <v:rect style="width:0;height:1.5pt" o:hralign="center" o:hrstd="t" o:hr="t"/>
        </w:pict>
      </w:r>
    </w:p>
    <w:bookmarkEnd w:id="123"/>
    <w:bookmarkStart w:id="127" w:name="X2eef3329d32e5831a22b5ff6ee8d5d9ac74e61a"/>
    <w:p>
      <w:pPr>
        <w:pStyle w:val="Heading2"/>
        <w:keepNext/>
        <w:keepLines/>
      </w:pPr>
      <w:r>
        <w:rPr>
          <w:color w:val="000000"/>
          <w:lang w:val="en-GB"/>
        </w:rPr>
        <w:t xml:space="preserve">1. Context and affected functionalities</w:t>
      </w:r>
    </w:p>
    <w:p>
      <w:pPr>
        <w:pStyle w:val="FirstParagraph"/>
      </w:pPr>
      <w:r>
        <w:rPr>
          <w:lang w:val="en-GB"/>
        </w:rPr>
        <w:t xml:space="preserve">TranscribIA implements the identification of stakeholders by means </w:t>
      </w:r>
      <w:r>
        <w:rPr>
          <w:lang w:val="en-GB"/>
        </w:rPr>
        <w:t xml:space="preserve"/>
      </w:r>
      <w:r>
        <w:rPr>
          <w:b/>
          <w:bCs/>
          <w:lang w:val="en-GB"/>
        </w:rPr>
        <w:t xml:space="preserve">of three distinct processes, </w:t>
      </w:r>
      <w:r>
        <w:rPr>
          <w:lang w:val="en-GB"/>
        </w:rPr>
        <w:t xml:space="preserve">whose framework GDPR differs. It is essential not to confuse them.</w:t>
      </w:r>
    </w:p>
    <w:bookmarkStart w:id="124" w:name="Xfc860c796c8e649ab4456ed892617adad2d30ce"/>
    <w:p>
      <w:pPr>
        <w:pStyle w:val="Heading3"/>
        <w:keepNext/>
        <w:keepLines/>
      </w:pPr>
      <w:r>
        <w:rPr>
          <w:color w:val="000000"/>
          <w:lang w:val="en-GB"/>
        </w:rPr>
        <w:t xml:space="preserve">1.1 Automatic positional diarization</w:t>
      </w:r>
    </w:p>
    <w:p>
      <w:pPr>
        <w:pStyle w:val="FirstParagraph"/>
      </w:pPr>
      <w:r>
        <w:rPr>
          <w:lang w:val="en-GB"/>
        </w:rPr>
        <w:t xml:space="preserve">When an audio file arrives, diarisation by </w:t>
      </w:r>
      <w:r>
        <w:rPr>
          <w:lang w:val="en-GB"/>
        </w:rPr>
        <w:t xml:space="preserve"/>
      </w:r>
      <w:r>
        <w:rPr>
          <w:rStyle w:val="VerbatimChar"/>
          <w:lang w:val="en-GB"/>
        </w:rPr>
        <w:t xml:space="preserve">pyannote.audio</w:t>
      </w:r>
      <w:r>
        <w:rPr>
          <w:lang w:val="en-GB"/>
        </w:rPr>
        <w:t xml:space="preserve"> </w:t>
      </w:r>
      <w:r>
        <w:rPr>
          <w:lang w:val="en-GB"/>
        </w:rPr>
        <w:t xml:space="preserve">produces positional </w:t>
      </w:r>
      <w:r>
        <w:rPr>
          <w:lang w:val="en-GB"/>
        </w:rPr>
        <w:t xml:space="preserve"/>
      </w:r>
      <w:r>
        <w:rPr>
          <w:b/>
          <w:bCs/>
          <w:lang w:val="en-GB"/>
        </w:rPr>
        <w:t xml:space="preserve">labels (“Speaker 1”, “Speaker 2”…) </w:t>
      </w:r>
      <w:r>
        <w:rPr>
          <w:lang w:val="en-GB"/>
        </w:rPr>
        <w:t xml:space="preserve"/>
      </w:r>
      <w:r>
        <w:rPr>
          <w:lang w:val="en-GB"/>
        </w:rPr>
        <w:t xml:space="preserve">indicating segments assigned to the same speaker without displaying their name. These labels remain personal data if </w:t>
      </w:r>
      <w:r>
        <w:rPr>
          <w:lang w:val="en-GB"/>
        </w:rPr>
        <w:t xml:space="preserve"/>
      </w:r>
      <w:r>
        <w:rPr>
          <w:b/>
          <w:bCs/>
          <w:lang w:val="en-GB"/>
        </w:rPr>
        <w:t xml:space="preserve">the </w:t>
      </w:r>
      <w:r>
        <w:rPr>
          <w:lang w:val="en-GB"/>
        </w:rPr>
        <w:t xml:space="preserve"/>
      </w:r>
      <w:r>
        <w:rPr>
          <w:lang w:val="en-GB"/>
        </w:rPr>
        <w:t xml:space="preserve">speaker is identifiable. </w:t>
      </w:r>
      <w:r>
        <w:rPr>
          <w:lang w:val="en-GB"/>
        </w:rPr>
        <w:t xml:space="preserve"/>
      </w:r>
      <w:r>
        <w:rPr>
          <w:b/>
          <w:bCs/>
          <w:lang w:val="en-GB"/>
        </w:rPr>
        <w:t xml:space="preserve">No </w:t>
      </w:r>
      <w:r>
        <w:rPr>
          <w:lang w:val="en-GB"/>
        </w:rPr>
        <w:t xml:space="preserve"/>
      </w:r>
      <w:r>
        <w:rPr>
          <w:lang w:val="en-GB"/>
        </w:rPr>
        <w:t xml:space="preserve">voice template is retained beyond job processing according to the documented configuration.</w:t>
      </w:r>
    </w:p>
    <w:bookmarkEnd w:id="124"/>
    <w:bookmarkStart w:id="125" w:name="Xfe6b3bdac694c9f53024d943134b553687eec1a"/>
    <w:p>
      <w:pPr>
        <w:pStyle w:val="Heading3"/>
        <w:keepNext/>
        <w:keepLines/>
      </w:pPr>
      <w:r>
        <w:rPr>
          <w:color w:val="000000"/>
          <w:lang w:val="en-GB"/>
        </w:rPr>
        <w:t xml:space="preserve">1.2 Manual allocation and filling aids</w:t>
      </w:r>
    </w:p>
    <w:p>
      <w:pPr>
        <w:pStyle w:val="FirstParagraph"/>
      </w:pPr>
      <w:r>
        <w:rPr>
          <w:lang w:val="en-GB"/>
        </w:rPr>
        <w:t xml:space="preserve">An authorized operator of the Client opens the transcribed session and enters, for each “Speaker </w:t>
      </w:r>
      <w:r>
        <w:rPr>
          <w:lang w:val="en-GB"/>
        </w:rPr>
        <w:t xml:space="preserve"/>
      </w:r>
      <w:r>
        <w:rPr>
          <w:b/>
          <w:bCs/>
          <w:lang w:val="en-GB"/>
        </w:rPr>
        <w:t xml:space="preserve">N”, a </w:t>
      </w:r>
      <w:r>
        <w:rPr>
          <w:lang w:val="en-GB"/>
        </w:rPr>
        <w:t xml:space="preserve"/>
      </w:r>
      <w:r>
        <w:rPr>
          <w:lang w:val="en-GB"/>
        </w:rPr>
        <w:t xml:space="preserve">human name (“Marie Dupont”, “Mr. President”, “Rapporteur”…). This operation </w:t>
      </w:r>
      <w:r>
        <w:rPr>
          <w:lang w:val="en-GB"/>
        </w:rPr>
        <w:t xml:space="preserve"/>
      </w:r>
      <w:r>
        <w:rPr>
          <w:b/>
          <w:bCs/>
          <w:lang w:val="en-GB"/>
        </w:rPr>
        <w:t xml:space="preserve">is strictly manual. </w:t>
      </w:r>
      <w:r>
        <w:rPr>
          <w:lang w:val="en-GB"/>
        </w:rPr>
        <w:t xml:space="preserve">Aids speed up entry without </w:t>
      </w:r>
      <w:r>
        <w:rPr>
          <w:lang w:val="en-GB"/>
        </w:rPr>
        <w:t xml:space="preserve"/>
      </w:r>
      <w:r>
        <w:rPr>
          <w:b/>
          <w:bCs/>
          <w:lang w:val="en-GB"/>
        </w:rPr>
        <w:t xml:space="preserve">ever analyzing the voice: </w:t>
      </w:r>
      <w:r>
        <w:rPr>
          <w:lang w:val="en-GB"/>
        </w:rPr>
        <w:t xml:space="preserve"/>
      </w:r>
      <w:r>
        <w:rPr>
          <w:lang w:val="en-GB"/>
        </w:rPr>
        <w:t xml:space="preserve">detection of mentions of first names by text processing (NLP), autocompletion from the list of known members of the tenant, history of labels already entered.</w:t>
      </w:r>
    </w:p>
    <w:bookmarkEnd w:id="125"/>
    <w:bookmarkStart w:id="126" w:name="Xa8943c0f25401ec25616e1f35c33523ff19503a"/>
    <w:p>
      <w:pPr>
        <w:pStyle w:val="Heading3"/>
        <w:keepNext/>
        <w:keepLines/>
      </w:pPr>
      <w:r>
        <w:rPr>
          <w:color w:val="000000"/>
          <w:lang w:val="en-GB"/>
        </w:rPr>
        <w:t xml:space="preserve">1.3 Ephemeral voice correlation (“voice correlation”)</w:t>
      </w:r>
    </w:p>
    <w:p>
      <w:pPr>
        <w:pStyle w:val="FirstParagraph"/>
      </w:pPr>
      <w:r>
        <w:rPr>
          <w:lang w:val="en-GB"/>
        </w:rPr>
        <w:t xml:space="preserve">Since </w:t>
      </w:r>
      <w:r>
        <w:rPr>
          <w:lang w:val="en-GB"/>
        </w:rPr>
        <w:t xml:space="preserve">May </w:t>
      </w:r>
      <w:r>
        <w:rPr>
          <w:b/>
          <w:bCs/>
          <w:lang w:val="en-GB"/>
        </w:rPr>
        <w:t xml:space="preserve">18, 2026, </w:t>
      </w:r>
      <w:r>
        <w:rPr>
          <w:lang w:val="en-GB"/>
        </w:rPr>
        <w:t xml:space="preserve">TranscribIA offers a functionality </w:t>
      </w:r>
      <w:r>
        <w:rPr>
          <w:lang w:val="en-GB"/>
        </w:rPr>
        <w:t xml:space="preserve"/>
      </w:r>
      <w:r>
        <w:rPr>
          <w:b/>
          <w:bCs/>
          <w:lang w:val="en-GB"/>
        </w:rPr>
        <w:t xml:space="preserve">disabled by default </w:t>
      </w:r>
      <w:r>
        <w:rPr>
          <w:lang w:val="en-GB"/>
        </w:rPr>
        <w:t xml:space="preserve"/>
      </w:r>
      <w:r>
        <w:rPr>
          <w:lang w:val="en-GB"/>
        </w:rPr>
        <w:t xml:space="preserve">allowing, </w:t>
      </w:r>
      <w:r>
        <w:rPr>
          <w:lang w:val="en-GB"/>
        </w:rPr>
        <w:t xml:space="preserve">within </w:t>
      </w:r>
      <w:r>
        <w:rPr>
          <w:b/>
          <w:bCs/>
          <w:lang w:val="en-GB"/>
        </w:rPr>
        <w:t xml:space="preserve">the same tenant, an </w:t>
      </w:r>
      <w:r>
        <w:rPr>
          <w:lang w:val="en-GB"/>
        </w:rPr>
        <w:t xml:space="preserve">ephemeral voice </w:t>
      </w:r>
      <w:r>
        <w:rPr>
          <w:lang w:val="en-GB"/>
        </w:rPr>
        <w:t xml:space="preserve">comparison </w:t>
      </w:r>
      <w:r>
        <w:rPr>
          <w:b/>
          <w:bCs/>
          <w:lang w:val="en-GB"/>
        </w:rPr>
        <w:t xml:space="preserve"/>
      </w:r>
      <w:r>
        <w:rPr>
          <w:lang w:val="en-GB"/>
        </w:rPr>
        <w:t xml:space="preserve"/>
      </w:r>
      <w:r>
        <w:rPr>
          <w:lang w:val="en-GB"/>
        </w:rPr>
        <w:t xml:space="preserve">between segments (or even between sessions) </w:t>
      </w:r>
      <w:r>
        <w:rPr>
          <w:lang w:val="en-GB"/>
        </w:rPr>
        <w:t xml:space="preserve">in </w:t>
      </w:r>
      <w:r>
        <w:rPr>
          <w:b/>
          <w:bCs/>
          <w:lang w:val="en-GB"/>
        </w:rPr>
        <w:t xml:space="preserve">order </w:t>
      </w:r>
      <w:r>
        <w:rPr>
          <w:lang w:val="en-GB"/>
        </w:rPr>
        <w:t xml:space="preserve"/>
      </w:r>
      <w:r>
        <w:rPr>
          <w:lang w:val="en-GB"/>
        </w:rPr>
        <w:t xml:space="preserve">to propose a connection between a detected speaker and a speaker name already entered. This processing temporarily calculates vocal characteristics in </w:t>
      </w:r>
      <w:r>
        <w:rPr>
          <w:lang w:val="en-GB"/>
        </w:rPr>
        <w:t xml:space="preserve"/>
      </w:r>
      <w:r>
        <w:rPr>
          <w:b/>
          <w:bCs/>
          <w:lang w:val="en-GB"/>
        </w:rPr>
        <w:t xml:space="preserve">RAM, without creating a persistent biometric </w:t>
      </w:r>
      <w:r>
        <w:rPr>
          <w:lang w:val="en-GB"/>
        </w:rPr>
        <w:t xml:space="preserve">template. It can only be activated by controller, is strictly opt-in, and </w:t>
      </w:r>
      <w:r>
        <w:rPr>
          <w:lang w:val="en-GB"/>
        </w:rPr>
        <w:t xml:space="preserve"/>
      </w:r>
      <w:r>
        <w:rPr>
          <w:b/>
          <w:bCs/>
          <w:lang w:val="en-GB"/>
        </w:rPr>
        <w:t xml:space="preserve">requires </w:t>
      </w:r>
      <w:r>
        <w:rPr>
          <w:lang w:val="en-GB"/>
        </w:rPr>
        <w:t xml:space="preserve">the prior signature of a dedicated </w:t>
      </w:r>
      <w:r>
        <w:rPr>
          <w:lang w:val="en-GB"/>
        </w:rPr>
        <w:t xml:space="preserve"/>
      </w:r>
      <w:r>
        <w:rPr>
          <w:b/>
          <w:bCs/>
          <w:lang w:val="en-GB"/>
        </w:rPr>
        <w:t xml:space="preserve">DPA addendum and </w:t>
      </w:r>
      <w:r>
        <w:rPr>
          <w:lang w:val="en-GB"/>
        </w:rPr>
        <w:t xml:space="preserve"/>
      </w:r>
      <w:r>
        <w:rPr>
          <w:lang w:val="en-GB"/>
        </w:rPr>
        <w:t xml:space="preserve">the completion of an </w:t>
      </w:r>
      <w:r>
        <w:rPr>
          <w:lang w:val="en-GB"/>
        </w:rPr>
        <w:t xml:space="preserve"/>
      </w:r>
      <w:r>
        <w:rPr>
          <w:b/>
          <w:bCs/>
          <w:lang w:val="en-GB"/>
        </w:rPr>
        <w:t xml:space="preserve">DPIA </w:t>
      </w:r>
      <w:r>
        <w:rPr>
          <w:lang w:val="en-GB"/>
        </w:rPr>
        <w:t xml:space="preserve"/>
      </w:r>
      <w:r>
        <w:rPr>
          <w:lang w:val="en-GB"/>
        </w:rPr>
        <w:t xml:space="preserve">(article 35).</w:t>
      </w:r>
    </w:p>
    <w:p>
      <w:pPr>
        <w:pStyle w:val="BodyText"/>
      </w:pPr>
      <w:r>
        <w:rPr>
          <w:b/>
          <w:bCs/>
          <w:lang w:val="en-GB"/>
        </w:rPr>
        <w:t xml:space="preserve">These three processing operations must be distinguished by their purposes and means: positional diarisation, manual assignment without voice analysis, and optional voice comparison. The legal classification must be documented for each; no general exclusion from Article 9 follows merely from the absence of a persistent template.</w:t>
      </w:r>
    </w:p>
    <w:p>
      <w:r>
        <w:pict>
          <v:rect style="width:0;height:1.5pt" o:hralign="center" o:hrstd="t" o:hr="t"/>
        </w:pict>
      </w:r>
    </w:p>
    <w:bookmarkEnd w:id="126"/>
    <w:bookmarkEnd w:id="127"/>
    <w:bookmarkStart w:id="131" w:name="Xb589f5d8bbdf56a9351a5d7e25535f1fb8a904c"/>
    <w:p>
      <w:pPr>
        <w:pStyle w:val="Heading2"/>
        <w:keepNext/>
        <w:keepLines/>
      </w:pPr>
      <w:r>
        <w:rPr>
          <w:color w:val="000000"/>
          <w:lang w:val="en-GB"/>
        </w:rPr>
        <w:t xml:space="preserve">2. Precise technical description</w:t>
      </w:r>
    </w:p>
    <w:bookmarkStart w:id="128" w:name="X664890d8427c66974ee0053fac4e14594a425d7"/>
    <w:p>
      <w:pPr>
        <w:pStyle w:val="Heading3"/>
        <w:keepNext/>
        <w:keepLines/>
      </w:pPr>
      <w:r>
        <w:rPr>
          <w:color w:val="000000"/>
          <w:lang w:val="en-GB"/>
        </w:rPr>
        <w:t xml:space="preserve">2.1 Diarization chain</w:t>
      </w:r>
    </w:p>
    <w:p>
      <w:pPr>
        <w:pStyle w:val="Compact"/>
        <w:numPr>
          <w:ilvl w:val="0"/>
          <w:numId w:val="1032"/>
        </w:numPr>
      </w:pPr>
      <w:r>
        <w:rPr>
          <w:lang w:val="en-GB"/>
        </w:rPr>
        <w:t xml:space="preserve">Engine: </w:t>
      </w:r>
      <w:r>
        <w:rPr>
          <w:lang w:val="en-GB"/>
        </w:rPr>
        <w:t xml:space="preserve"/>
      </w:r>
      <w:r>
        <w:rPr>
          <w:rStyle w:val="VerbatimChar"/>
          <w:lang w:val="en-GB"/>
        </w:rPr>
        <w:t xml:space="preserve">pyannote.audio</w:t>
      </w:r>
      <w:r>
        <w:rPr>
          <w:lang w:val="en-GB"/>
        </w:rPr>
        <w:t xml:space="preserve">, executed on the transcription GPU server (EU when required; local GPU in Option B).</w:t>
      </w:r>
    </w:p>
    <w:p>
      <w:pPr>
        <w:pStyle w:val="Compact"/>
        <w:numPr>
          <w:ilvl w:val="0"/>
          <w:numId w:val="1032"/>
        </w:numPr>
      </w:pPr>
      <w:r>
        <w:rPr>
          <w:lang w:val="en-GB"/>
        </w:rPr>
        <w:t xml:space="preserve">Output: time-stamped segments with </w:t>
      </w:r>
      <w:r>
        <w:rPr>
          <w:lang w:val="en-GB"/>
        </w:rPr>
        <w:t xml:space="preserve"/>
      </w:r>
      <w:r>
        <w:rPr>
          <w:b/>
          <w:bCs/>
          <w:lang w:val="en-GB"/>
        </w:rPr>
        <w:t xml:space="preserve">a session-specific </w:t>
      </w:r>
      <w:r>
        <w:rPr>
          <w:lang w:val="en-GB"/>
        </w:rPr>
        <w:t xml:space="preserve"/>
      </w:r>
      <w:r>
        <w:rPr>
          <w:lang w:val="en-GB"/>
        </w:rPr>
        <w:t xml:space="preserve">“Speaker N” positional label.</w:t>
      </w:r>
    </w:p>
    <w:p>
      <w:pPr>
        <w:pStyle w:val="Compact"/>
        <w:numPr>
          <w:ilvl w:val="0"/>
          <w:numId w:val="1032"/>
        </w:numPr>
      </w:pPr>
      <w:r>
        <w:rPr>
          <w:lang w:val="en-GB"/>
        </w:rPr>
        <w:t xml:space="preserve">The embeddings calculated internally to distinguish the speakers of a session </w:t>
      </w:r>
      <w:r>
        <w:rPr>
          <w:lang w:val="en-GB"/>
        </w:rPr>
        <w:t xml:space="preserve">exist </w:t>
      </w:r>
      <w:r>
        <w:rPr>
          <w:b/>
          <w:bCs/>
          <w:lang w:val="en-GB"/>
        </w:rPr>
        <w:t xml:space="preserve">in RAM for </w:t>
      </w:r>
      <w:r>
        <w:rPr>
          <w:lang w:val="en-GB"/>
        </w:rPr>
        <w:t xml:space="preserve"/>
      </w:r>
      <w:r>
        <w:rPr>
          <w:lang w:val="en-GB"/>
        </w:rPr>
        <w:t xml:space="preserve">the duration of processing and </w:t>
      </w:r>
      <w:r>
        <w:rPr>
          <w:lang w:val="en-GB"/>
        </w:rPr>
        <w:t xml:space="preserve"/>
      </w:r>
      <w:r>
        <w:rPr>
          <w:b/>
          <w:bCs/>
          <w:lang w:val="en-GB"/>
        </w:rPr>
        <w:t xml:space="preserve">are released at the </w:t>
      </w:r>
      <w:r>
        <w:rPr>
          <w:lang w:val="en-GB"/>
        </w:rPr>
        <w:t xml:space="preserve">end of the job. No voiceprints are written to disk persistently.</w:t>
      </w:r>
    </w:p>
    <w:bookmarkEnd w:id="128"/>
    <w:bookmarkStart w:id="129" w:name="Xe0659354dd6c47a68f8590356d1261887329b03"/>
    <w:p>
      <w:pPr>
        <w:pStyle w:val="Heading3"/>
        <w:keepNext/>
        <w:keepLines/>
      </w:pPr>
      <w:r>
        <w:rPr>
          <w:color w:val="000000"/>
          <w:lang w:val="en-GB"/>
        </w:rPr>
        <w:t xml:space="preserve">2.2 Lifecycle of voice embeddings (voice correlation)</w:t>
      </w:r>
    </w:p>
    <w:p>
      <w:pPr>
        <w:pStyle w:val="SourceCode"/>
      </w:pPr>
      <w:r>
        <w:rPr>
          <w:rStyle w:val="VerbatimChar"/>
          <w:rFonts w:ascii="Courier New" w:hAnsi="Courier New" w:eastAsia="Courier New" w:cs="Courier New"/>
          <w:sz w:val="20"/>
          <w:szCs w:val="20"/>
        </w:rPr>
        <w:t xml:space="preserve">Voice correlation request (opt-in, tenant enabled)</w:t>
        <w:br/>
        <w:t xml:space="preserve">  |-- voice feature extraction -&gt; EMBEDDINGS IN RAM</w:t>
        <w:br/>
        <w:t xml:space="preserve">  |     (tmpfs where environment permits; swap disabled</w:t>
        <w:br/>
        <w:t xml:space="preserve">  |      for relevant workers where possible)</w:t>
        <w:br/>
        <w:t xml:space="preserve">  |-- ephemeral comparison -&gt; SUGGESTED association (score)</w:t>
        <w:br/>
        <w:t xml:space="preserve">  |-- HUMAN validation required before any assignment</w:t>
        <w:br/>
        <w:t xml:space="preserve">  \-- DESTRUCTION of embeddings and temporary files</w:t>
        <w:br/>
        <w:t xml:space="preserve">       at request end (`finally` block)</w:t>
        <w:br/>
        <w:t xml:space="preserve">       -&gt; no persistent template or reusable voiceprint retained</w:t>
      </w:r>
    </w:p>
    <w:bookmarkEnd w:id="129"/>
    <w:bookmarkStart w:id="130" w:name="Xf92b267a21904b6a5b828e759033baaed12a0f1"/>
    <w:p>
      <w:pPr>
        <w:pStyle w:val="Heading3"/>
        <w:keepNext/>
        <w:keepLines/>
      </w:pPr>
      <w:r>
        <w:rPr>
          <w:color w:val="000000"/>
          <w:lang w:val="en-GB"/>
        </w:rPr>
        <w:t xml:space="preserve">2.3 Key Features</w:t>
      </w:r>
    </w:p>
    <w:p>
      <w:pPr>
        <w:pStyle w:val="Compact"/>
        <w:numPr>
          <w:ilvl w:val="0"/>
          <w:numId w:val="1033"/>
        </w:numPr>
      </w:pPr>
      <w:r>
        <w:rPr>
          <w:b/>
          <w:bCs/>
          <w:lang w:val="en-GB"/>
        </w:rPr>
        <w:t xml:space="preserve">No persistent template: </w:t>
      </w:r>
      <w:r>
        <w:rPr>
          <w:lang w:val="en-GB"/>
        </w:rPr>
        <w:t xml:space="preserve"/>
      </w:r>
      <w:r>
        <w:rPr>
          <w:lang w:val="en-GB"/>
        </w:rPr>
        <w:t xml:space="preserve">no voiceprint database is created or maintained.</w:t>
      </w:r>
    </w:p>
    <w:p>
      <w:pPr>
        <w:pStyle w:val="Compact"/>
        <w:numPr>
          <w:ilvl w:val="0"/>
          <w:numId w:val="1033"/>
        </w:numPr>
      </w:pPr>
      <w:r>
        <w:rPr>
          <w:b/>
          <w:bCs/>
          <w:lang w:val="en-GB"/>
        </w:rPr>
        <w:t xml:space="preserve">RAM </w:t>
      </w:r>
      <w:r>
        <w:rPr>
          <w:lang w:val="en-GB"/>
        </w:rPr>
        <w:t xml:space="preserve"/>
      </w:r>
      <w:r>
        <w:rPr>
          <w:lang w:val="en-GB"/>
        </w:rPr>
        <w:t xml:space="preserve">/ </w:t>
      </w:r>
      <w:r>
        <w:rPr>
          <w:lang w:val="en-GB"/>
        </w:rPr>
        <w:t xml:space="preserve"/>
      </w:r>
      <w:r>
        <w:rPr>
          <w:rStyle w:val="VerbatimChar"/>
          <w:lang w:val="en-GB"/>
        </w:rPr>
        <w:t xml:space="preserve">tmpfs</w:t>
      </w:r>
      <w:r>
        <w:rPr>
          <w:lang w:val="en-GB"/>
        </w:rPr>
        <w:t xml:space="preserve">: </w:t>
      </w:r>
      <w:r>
        <w:rPr>
          <w:lang w:val="en-GB"/>
        </w:rPr>
        <w:t xml:space="preserve">embeddings are calculated in RAM; temporary spaces of type tmpfs are used when the environment allows it; swap is disabled for the affected workers when this is compatible with the stability of the infrastructure.</w:t>
      </w:r>
    </w:p>
    <w:p>
      <w:pPr>
        <w:pStyle w:val="Compact"/>
        <w:numPr>
          <w:ilvl w:val="0"/>
          <w:numId w:val="1033"/>
        </w:numPr>
      </w:pPr>
      <w:r>
        <w:rPr>
          <w:b/>
          <w:bCs/>
          <w:lang w:val="en-GB"/>
        </w:rPr>
        <w:t xml:space="preserve">Deterministic destruction: </w:t>
      </w:r>
      <w:r>
        <w:rPr>
          <w:lang w:val="en-GB"/>
        </w:rPr>
        <w:t xml:space="preserve"/>
      </w:r>
      <w:r>
        <w:rPr>
          <w:lang w:val="en-GB"/>
        </w:rPr>
        <w:t xml:space="preserve">cleaning in the end of processing blocks (</w:t>
      </w:r>
      <w:r>
        <w:rPr>
          <w:rStyle w:val="VerbatimChar"/>
          <w:lang w:val="en-GB"/>
        </w:rPr>
        <w:t xml:space="preserve">finally</w:t>
      </w:r>
      <w:r>
        <w:rPr>
          <w:lang w:val="en-GB"/>
        </w:rPr>
        <w:t xml:space="preserve">), including in the event of an error.</w:t>
      </w:r>
    </w:p>
    <w:p>
      <w:pPr>
        <w:pStyle w:val="Compact"/>
        <w:numPr>
          <w:ilvl w:val="0"/>
          <w:numId w:val="1033"/>
        </w:numPr>
      </w:pPr>
      <w:r>
        <w:rPr>
          <w:b/>
          <w:bCs/>
          <w:lang w:val="en-GB"/>
        </w:rPr>
        <w:t xml:space="preserve">Isolation by </w:t>
      </w:r>
      <w:r>
        <w:rPr>
          <w:lang w:val="en-GB"/>
        </w:rPr>
        <w:t xml:space="preserve">tenant: </w:t>
      </w:r>
      <w:r>
        <w:rPr>
          <w:lang w:val="en-GB"/>
        </w:rPr>
        <w:t xml:space="preserve">comparison never crosses the borders of an organization.</w:t>
      </w:r>
    </w:p>
    <w:p>
      <w:pPr>
        <w:pStyle w:val="Compact"/>
        <w:numPr>
          <w:ilvl w:val="0"/>
          <w:numId w:val="1033"/>
        </w:numPr>
      </w:pPr>
      <w:r>
        <w:rPr>
          <w:b/>
          <w:bCs/>
          <w:lang w:val="en-GB"/>
        </w:rPr>
        <w:t xml:space="preserve">No training: </w:t>
      </w:r>
      <w:r>
        <w:rPr>
          <w:lang w:val="en-GB"/>
        </w:rPr>
        <w:t xml:space="preserve"/>
      </w:r>
      <w:r>
        <w:rPr>
          <w:lang w:val="en-GB"/>
        </w:rPr>
        <w:t xml:space="preserve">embeddings are never used to train a model.</w:t>
      </w:r>
    </w:p>
    <w:p>
      <w:pPr>
        <w:pStyle w:val="Compact"/>
        <w:numPr>
          <w:ilvl w:val="0"/>
          <w:numId w:val="1033"/>
        </w:numPr>
      </w:pPr>
      <w:r>
        <w:rPr>
          <w:b/>
          <w:bCs/>
          <w:lang w:val="en-GB"/>
        </w:rPr>
        <w:t xml:space="preserve">Minimal logging: </w:t>
      </w:r>
      <w:r>
        <w:rPr>
          <w:lang w:val="en-GB"/>
        </w:rPr>
        <w:t xml:space="preserve">logs </w:t>
      </w:r>
      <w:r>
        <w:rPr>
          <w:lang w:val="en-GB"/>
        </w:rPr>
        <w:t xml:space="preserve">are limited to necessary technical events; they do not contain fingerprints, vectors or voice extracts.</w:t>
      </w:r>
    </w:p>
    <w:p>
      <w:r>
        <w:pict>
          <v:rect style="width:0;height:1.5pt" o:hralign="center" o:hrstd="t" o:hr="t"/>
        </w:pict>
      </w:r>
    </w:p>
    <w:bookmarkEnd w:id="130"/>
    <w:bookmarkEnd w:id="131"/>
    <w:bookmarkStart w:id="135" w:name="Xbbcb5772bf69e66207c72d41906a9a28473aea2"/>
    <w:p>
      <w:pPr>
        <w:pStyle w:val="Heading2"/>
        <w:keepNext/>
        <w:keepLines/>
      </w:pPr>
      <w:r>
        <w:rPr>
          <w:color w:val="000000"/>
          <w:lang w:val="en-GB"/>
        </w:rPr>
        <w:t xml:space="preserve">3. Legal analysis (articles 4.14 and 9 GDPR)</w:t>
      </w:r>
    </w:p>
    <w:bookmarkStart w:id="132" w:name="Xcc24839d29b6498a7812c1d11362bc190165131"/>
    <w:p>
      <w:pPr>
        <w:pStyle w:val="Heading3"/>
        <w:keepNext/>
        <w:keepLines/>
      </w:pPr>
      <w:r>
        <w:rPr>
          <w:color w:val="000000"/>
          <w:lang w:val="en-GB"/>
        </w:rPr>
        <w:t xml:space="preserve">3.1 Definition of biometric data</w:t>
      </w:r>
    </w:p>
    <w:p>
      <w:pPr>
        <w:pStyle w:val="FirstParagraph"/>
      </w:pPr>
      <w:r>
        <w:rPr>
          <w:lang w:val="en-GB"/>
        </w:rPr>
        <w:t xml:space="preserve">Article </w:t>
      </w:r>
      <w:r>
        <w:rPr>
          <w:lang w:val="en-GB"/>
        </w:rPr>
        <w:t xml:space="preserve"/>
      </w:r>
      <w:r>
        <w:rPr>
          <w:b/>
          <w:bCs/>
          <w:lang w:val="en-GB"/>
        </w:rPr>
        <w:t xml:space="preserve">4.14 </w:t>
      </w:r>
      <w:r>
        <w:rPr>
          <w:lang w:val="en-GB"/>
        </w:rPr>
        <w:t xml:space="preserve"/>
      </w:r>
      <w:r>
        <w:rPr>
          <w:lang w:val="en-GB"/>
        </w:rPr>
        <w:t xml:space="preserve">of GDPR defines biometric data as “personal data resulting from specific technical processing, relating to the physical, physiological or behavioral characteristics of a natural person, which allows or </w:t>
      </w:r>
      <w:r>
        <w:rPr>
          <w:lang w:val="en-GB"/>
        </w:rPr>
        <w:t xml:space="preserve"/>
      </w:r>
      <w:r>
        <w:rPr>
          <w:b/>
          <w:bCs/>
          <w:lang w:val="en-GB"/>
        </w:rPr>
        <w:t xml:space="preserve">confirms their unique identification”. Article 9 </w:t>
      </w:r>
      <w:r>
        <w:rPr>
          <w:lang w:val="en-GB"/>
        </w:rPr>
        <w:t xml:space="preserve"/>
      </w:r>
      <w:r>
        <w:rPr>
          <w:lang w:val="en-GB"/>
        </w:rPr>
        <w:t xml:space="preserve">prohibits, </w:t>
      </w:r>
      <w:r>
        <w:rPr>
          <w:lang w:val="en-GB"/>
        </w:rPr>
        <w:t xml:space="preserve">in </w:t>
      </w:r>
      <w:r>
        <w:rPr>
          <w:b/>
          <w:bCs/>
          <w:lang w:val="en-GB"/>
        </w:rPr>
        <w:t xml:space="preserve"/>
      </w:r>
      <w:r>
        <w:rPr>
          <w:lang w:val="en-GB"/>
        </w:rPr>
        <w:t xml:space="preserve"/>
      </w:r>
      <w:r>
        <w:rPr>
          <w:lang w:val="en-GB"/>
        </w:rPr>
        <w:t xml:space="preserve">principle, the processing of biometric data for the </w:t>
      </w:r>
      <w:r>
        <w:rPr>
          <w:lang w:val="en-GB"/>
        </w:rPr>
        <w:t xml:space="preserve"/>
      </w:r>
      <w:r>
        <w:rPr>
          <w:b/>
          <w:bCs/>
          <w:lang w:val="en-GB"/>
        </w:rPr>
        <w:t xml:space="preserve">purposes of uniquely identifying a natural person, subject </w:t>
      </w:r>
      <w:r>
        <w:rPr>
          <w:lang w:val="en-GB"/>
        </w:rPr>
        <w:t xml:space="preserve">to exceptions.</w:t>
      </w:r>
    </w:p>
    <w:bookmarkEnd w:id="132"/>
    <w:bookmarkStart w:id="133" w:name="X283329c369380fcd20427ac76dfaeceb715812a"/>
    <w:p>
      <w:pPr>
        <w:pStyle w:val="Heading3"/>
        <w:keepNext/>
        <w:keepLines/>
      </w:pPr>
      <w:r>
        <w:rPr>
          <w:color w:val="000000"/>
          <w:lang w:val="en-GB"/>
        </w:rPr>
        <w:t xml:space="preserve">3.2 Position retained</w:t>
      </w:r>
    </w:p>
    <w:p>
      <w:pPr>
        <w:pStyle w:val="FirstParagraph"/>
      </w:pPr>
      <w:r>
        <w:rPr>
          <w:lang w:val="en-GB"/>
        </w:rPr>
        <w:t xml:space="preserve">GDPR Article 4(14) defines biometric data by reference to technical processing of physical, physiological or behavioural characteristics that allow or confirm unique identification. Article 9 covers biometric data processed for the purpose of uniquely </w:t>
      </w:r>
      <w:r>
        <w:rPr>
          <w:lang w:val="en-GB"/>
        </w:rPr>
        <w:t xml:space="preserve"/>
      </w:r>
      <w:r>
        <w:rPr>
          <w:b/>
          <w:bCs/>
          <w:lang w:val="en-GB"/>
        </w:rPr>
        <w:t xml:space="preserve">identifying a person. The retention period of a template is not a </w:t>
      </w:r>
      <w:r>
        <w:rPr>
          <w:lang w:val="en-GB"/>
        </w:rPr>
        <w:t xml:space="preserve"/>
      </w:r>
      <w:r>
        <w:rPr>
          <w:lang w:val="en-GB"/>
        </w:rPr>
        <w:t xml:space="preserve">condition of these definitions; EDPB Guidelines 3/2019 show, in </w:t>
      </w:r>
      <w:r>
        <w:rPr>
          <w:lang w:val="en-GB"/>
        </w:rPr>
        <w:t xml:space="preserve"/>
      </w:r>
      <w:r>
        <w:rPr>
          <w:b/>
          <w:bCs/>
          <w:lang w:val="en-GB"/>
        </w:rPr>
        <w:t xml:space="preserve">particular, that temporary </w:t>
      </w:r>
      <w:r>
        <w:rPr>
          <w:lang w:val="en-GB"/>
        </w:rPr>
        <w:t xml:space="preserve"/>
      </w:r>
      <w:r>
        <w:rPr>
          <w:lang w:val="en-GB"/>
        </w:rPr>
        <w:t xml:space="preserve">templates may fall under Article 9.</w:t>
      </w:r>
    </w:p>
    <w:p>
      <w:pPr>
        <w:pStyle w:val="Compact"/>
        <w:numPr>
          <w:ilvl w:val="0"/>
          <w:numId w:val="1034"/>
        </w:numPr>
      </w:pPr>
      <w:r>
        <w:rPr>
          <w:b/>
          <w:bCs/>
          <w:lang w:val="en-GB"/>
        </w:rPr>
        <w:t xml:space="preserve">Positional diarisation (1.1): assigning unnamed labels </w:t>
      </w:r>
      <w:r>
        <w:rPr>
          <w:lang w:val="en-GB"/>
        </w:rPr>
        <w:t xml:space="preserve"/>
      </w:r>
      <w:r>
        <w:rPr>
          <w:lang w:val="en-GB"/>
        </w:rPr>
        <w:t xml:space="preserve">does not, by itself, establish anonymity or the absence of biometric </w:t>
      </w:r>
      <w:r>
        <w:rPr>
          <w:lang w:val="en-GB"/>
        </w:rPr>
        <w:t xml:space="preserve"/>
      </w:r>
      <w:r>
        <w:rPr>
          <w:b/>
          <w:bCs/>
          <w:lang w:val="en-GB"/>
        </w:rPr>
        <w:t xml:space="preserve">processing. It must be documented whether </w:t>
      </w:r>
      <w:r>
        <w:rPr>
          <w:lang w:val="en-GB"/>
        </w:rPr>
        <w:t xml:space="preserve">the </w:t>
      </w:r>
      <w:r>
        <w:rPr>
          <w:lang w:val="en-GB"/>
        </w:rPr>
        <w:t xml:space="preserve">processed characteristics allow or confirm unique identification </w:t>
      </w:r>
      <w:r>
        <w:rPr>
          <w:lang w:val="en-GB"/>
        </w:rPr>
        <w:t xml:space="preserve">and </w:t>
      </w:r>
      <w:r>
        <w:rPr>
          <w:b/>
          <w:bCs/>
          <w:lang w:val="en-GB"/>
        </w:rPr>
        <w:t xml:space="preserve">whether that is </w:t>
      </w:r>
      <w:r>
        <w:rPr>
          <w:lang w:val="en-GB"/>
        </w:rPr>
        <w:t xml:space="preserve"/>
      </w:r>
      <w:r>
        <w:rPr>
          <w:lang w:val="en-GB"/>
        </w:rPr>
        <w:t xml:space="preserve">the purpose of the processing; Article 9 may also apply to the recordings' content.</w:t>
      </w:r>
    </w:p>
    <w:p>
      <w:pPr>
        <w:pStyle w:val="Compact"/>
        <w:numPr>
          <w:ilvl w:val="0"/>
          <w:numId w:val="1034"/>
        </w:numPr>
      </w:pPr>
      <w:r>
        <w:rPr>
          <w:b/>
          <w:bCs/>
          <w:lang w:val="en-GB"/>
        </w:rPr>
        <w:t xml:space="preserve">Manual attribution (1.2): </w:t>
      </w:r>
      <w:r>
        <w:rPr>
          <w:lang w:val="en-GB"/>
        </w:rPr>
        <w:t xml:space="preserve"/>
      </w:r>
      <w:r>
        <w:rPr>
          <w:lang w:val="en-GB"/>
        </w:rPr>
        <w:t xml:space="preserve">it does not analyze the voice; it is not biometric.</w:t>
      </w:r>
    </w:p>
    <w:p>
      <w:pPr>
        <w:pStyle w:val="Compact"/>
        <w:numPr>
          <w:ilvl w:val="0"/>
          <w:numId w:val="1034"/>
        </w:numPr>
      </w:pPr>
      <w:r>
        <w:rPr>
          <w:b/>
          <w:bCs/>
          <w:lang w:val="en-GB"/>
        </w:rPr>
        <w:t xml:space="preserve">Ephemeral voice correlation (1.3): </w:t>
      </w:r>
      <w:r>
        <w:rPr>
          <w:lang w:val="en-GB"/>
        </w:rPr>
        <w:t xml:space="preserve"/>
      </w:r>
      <w:r>
        <w:rPr>
          <w:lang w:val="en-GB"/>
        </w:rPr>
        <w:t xml:space="preserve">comparing voice characteristics to suggest a speaker's </w:t>
      </w:r>
      <w:r>
        <w:rPr>
          <w:lang w:val="en-GB"/>
        </w:rPr>
        <w:t xml:space="preserve"/>
      </w:r>
      <w:r>
        <w:rPr>
          <w:b/>
          <w:bCs/>
          <w:lang w:val="en-GB"/>
        </w:rPr>
        <w:t xml:space="preserve">name may constitute biometric processing for unique </w:t>
      </w:r>
      <w:r>
        <w:rPr>
          <w:lang w:val="en-GB"/>
        </w:rPr>
        <w:t xml:space="preserve"/>
      </w:r>
      <w:r>
        <w:rPr>
          <w:lang w:val="en-GB"/>
        </w:rPr>
        <w:t xml:space="preserve">identification. Immediate deletion of representations and human validation do not rule out this </w:t>
      </w:r>
      <w:r>
        <w:rPr>
          <w:lang w:val="en-GB"/>
        </w:rPr>
        <w:t xml:space="preserve"/>
      </w:r>
      <w:r>
        <w:rPr>
          <w:b/>
          <w:bCs/>
          <w:lang w:val="en-GB"/>
        </w:rPr>
        <w:t xml:space="preserve">classification. An applicable Article 9 exception must be documented </w:t>
      </w:r>
      <w:r>
        <w:rPr>
          <w:lang w:val="en-GB"/>
        </w:rPr>
        <w:t xml:space="preserve"/>
      </w:r>
      <w:r>
        <w:rPr>
          <w:lang w:val="en-GB"/>
        </w:rPr>
        <w:t xml:space="preserve">in addition to the Article 6 lawful basis.</w:t>
      </w:r>
    </w:p>
    <w:bookmarkEnd w:id="133"/>
    <w:bookmarkStart w:id="134" w:name="X470b402a547457927122d4841351e7a4d626738"/>
    <w:p>
      <w:pPr>
        <w:pStyle w:val="Heading3"/>
        <w:keepNext/>
        <w:keepLines/>
      </w:pPr>
      <w:r>
        <w:rPr>
          <w:color w:val="000000"/>
          <w:lang w:val="en-GB"/>
        </w:rPr>
        <w:t xml:space="preserve">3.3 Qualification retained out of caution</w:t>
      </w:r>
    </w:p>
    <w:p>
      <w:pPr>
        <w:pStyle w:val="FirstParagraph"/>
      </w:pPr>
      <w:r>
        <w:rPr>
          <w:lang w:val="en-GB"/>
        </w:rPr>
        <w:t xml:space="preserve">Biometric classification depends on the technical processing and its purpose of unique identification, rather than on long-term retention of a template. The absence </w:t>
      </w:r>
      <w:r>
        <w:rPr>
          <w:lang w:val="en-GB"/>
        </w:rPr>
        <w:t xml:space="preserve"/>
      </w:r>
      <w:r>
        <w:rPr>
          <w:b/>
          <w:bCs/>
          <w:lang w:val="en-GB"/>
        </w:rPr>
        <w:t xml:space="preserve">of a persistent template and human validation are </w:t>
      </w:r>
      <w:r>
        <w:rPr>
          <w:lang w:val="en-GB"/>
        </w:rPr>
        <w:t xml:space="preserve"/>
      </w:r>
      <w:r>
        <w:rPr>
          <w:lang w:val="en-GB"/>
        </w:rPr>
        <w:t xml:space="preserve">data minimisation </w:t>
      </w:r>
      <w:r>
        <w:rPr>
          <w:b/>
          <w:bCs/>
          <w:lang w:val="en-GB"/>
        </w:rPr>
        <w:t xml:space="preserve">safeguards; </w:t>
      </w:r>
      <w:r>
        <w:rPr>
          <w:lang w:val="en-GB"/>
        </w:rPr>
        <w:t xml:space="preserve"/>
      </w:r>
      <w:r>
        <w:rPr>
          <w:lang w:val="en-GB"/>
        </w:rPr>
        <w:t xml:space="preserve">they do not constitute an exemption. Before enabling any comparison intended to uniquely identify a person, the controller must document an Article 6 lawful basis and an </w:t>
      </w:r>
      <w:r>
        <w:rPr>
          <w:lang w:val="en-GB"/>
        </w:rPr>
        <w:t xml:space="preserve"/>
      </w:r>
      <w:r>
        <w:rPr>
          <w:b/>
          <w:bCs/>
          <w:lang w:val="en-GB"/>
        </w:rPr>
        <w:t xml:space="preserve">applicable Article 9 exception, together with </w:t>
      </w:r>
      <w:r>
        <w:rPr>
          <w:lang w:val="en-GB"/>
        </w:rPr>
        <w:t xml:space="preserve"/>
      </w:r>
      <w:r>
        <w:rPr>
          <w:lang w:val="en-GB"/>
        </w:rPr>
        <w:t xml:space="preserve">relevant national requirements. A DPIA and DPA addendum alone do not authorise the processing.</w:t>
      </w:r>
    </w:p>
    <w:p>
      <w:r>
        <w:pict>
          <v:rect style="width:0;height:1.5pt" o:hralign="center" o:hrstd="t" o:hr="t"/>
        </w:pict>
      </w:r>
    </w:p>
    <w:bookmarkEnd w:id="134"/>
    <w:bookmarkEnd w:id="135"/>
    <w:bookmarkStart w:id="136" w:name="X874bb38eabf3ca55151ad884c45ce5790670e42"/>
    <w:p>
      <w:pPr>
        <w:pStyle w:val="Heading2"/>
        <w:keepNext/>
        <w:keepLines/>
      </w:pPr>
      <w:r>
        <w:rPr>
          <w:color w:val="000000"/>
          <w:lang w:val="en-GB"/>
        </w:rPr>
        <w:t xml:space="preserve">4. Framework put in place</w:t>
      </w:r>
    </w:p>
    <w:p>
      <w:pPr>
        <w:pStyle w:val="Compact"/>
        <w:numPr>
          <w:ilvl w:val="0"/>
          <w:numId w:val="1035"/>
        </w:numPr>
      </w:pPr>
      <w:r>
        <w:rPr>
          <w:b/>
          <w:bCs/>
          <w:lang w:val="en-GB"/>
        </w:rPr>
        <w:t xml:space="preserve">Disabled by default: </w:t>
      </w:r>
      <w:r>
        <w:rPr>
          <w:lang w:val="en-GB"/>
        </w:rPr>
        <w:t xml:space="preserve"/>
      </w:r>
      <w:r>
        <w:rPr>
          <w:lang w:val="en-GB"/>
        </w:rPr>
        <w:t xml:space="preserve">voice correlation is never active without an explicit decision.</w:t>
      </w:r>
    </w:p>
    <w:p>
      <w:pPr>
        <w:pStyle w:val="Compact"/>
        <w:numPr>
          <w:ilvl w:val="0"/>
          <w:numId w:val="1035"/>
        </w:numPr>
      </w:pPr>
      <w:r>
        <w:rPr>
          <w:b/>
          <w:bCs/>
          <w:lang w:val="en-GB"/>
        </w:rPr>
        <w:t xml:space="preserve">controller opt-in: only the </w:t>
      </w:r>
      <w:r>
        <w:rPr>
          <w:lang w:val="en-GB"/>
        </w:rPr>
        <w:t xml:space="preserve"/>
      </w:r>
      <w:r>
        <w:rPr>
          <w:lang w:val="en-GB"/>
        </w:rPr>
        <w:t xml:space="preserve">client organization can activate it.</w:t>
      </w:r>
    </w:p>
    <w:p>
      <w:pPr>
        <w:pStyle w:val="Compact"/>
        <w:numPr>
          <w:ilvl w:val="0"/>
          <w:numId w:val="1035"/>
        </w:numPr>
      </w:pPr>
      <w:r>
        <w:rPr>
          <w:b/>
          <w:bCs/>
          <w:lang w:val="en-GB"/>
        </w:rPr>
        <w:t xml:space="preserve">Dedicated DPA </w:t>
      </w:r>
      <w:r>
        <w:rPr>
          <w:lang w:val="en-GB"/>
        </w:rPr>
        <w:t xml:space="preserve"/>
      </w:r>
      <w:r>
        <w:rPr>
          <w:lang w:val="en-GB"/>
        </w:rPr>
        <w:t xml:space="preserve">amendment: its activation requires the prior signature of a specific amendment.</w:t>
      </w:r>
    </w:p>
    <w:p>
      <w:pPr>
        <w:pStyle w:val="Compact"/>
        <w:numPr>
          <w:ilvl w:val="0"/>
          <w:numId w:val="1035"/>
        </w:numPr>
      </w:pPr>
      <w:r>
        <w:rPr>
          <w:b/>
          <w:bCs/>
          <w:lang w:val="en-GB"/>
        </w:rPr>
        <w:t xml:space="preserve">Prior DPIA: </w:t>
      </w:r>
      <w:r>
        <w:rPr>
          <w:lang w:val="en-GB"/>
        </w:rPr>
        <w:t xml:space="preserve">an </w:t>
      </w:r>
      <w:r>
        <w:rPr>
          <w:lang w:val="en-GB"/>
        </w:rPr>
        <w:t xml:space="preserve">impact analysis (article 35) is required before activation.</w:t>
      </w:r>
    </w:p>
    <w:p>
      <w:pPr>
        <w:pStyle w:val="Compact"/>
        <w:numPr>
          <w:ilvl w:val="0"/>
          <w:numId w:val="1035"/>
        </w:numPr>
      </w:pPr>
      <w:r>
        <w:rPr>
          <w:b/>
          <w:bCs/>
          <w:lang w:val="en-GB"/>
        </w:rPr>
        <w:t xml:space="preserve">Human validation: </w:t>
      </w:r>
      <w:r>
        <w:rPr>
          <w:lang w:val="en-GB"/>
        </w:rPr>
        <w:t xml:space="preserve"/>
      </w:r>
      <w:r>
        <w:rPr>
          <w:lang w:val="en-GB"/>
        </w:rPr>
        <w:t xml:space="preserve">suggestions are never definitive automatic decisions; a valid Customer authorized user prior to any assignment.</w:t>
      </w:r>
    </w:p>
    <w:p>
      <w:pPr>
        <w:pStyle w:val="Compact"/>
        <w:numPr>
          <w:ilvl w:val="0"/>
          <w:numId w:val="1035"/>
        </w:numPr>
      </w:pPr>
      <w:r>
        <w:rPr>
          <w:b/>
          <w:bCs/>
          <w:lang w:val="en-GB"/>
        </w:rPr>
        <w:t xml:space="preserve">Commitment to non-development: </w:t>
      </w:r>
      <w:r>
        <w:rPr>
          <w:lang w:val="en-GB"/>
        </w:rPr>
        <w:t xml:space="preserve"/>
      </w:r>
      <w:r>
        <w:rPr>
          <w:lang w:val="en-GB"/>
        </w:rPr>
        <w:t xml:space="preserve">OHADJA undertakes </w:t>
      </w:r>
      <w:r>
        <w:rPr>
          <w:lang w:val="en-GB"/>
        </w:rPr>
        <w:t xml:space="preserve"/>
      </w:r>
      <w:r>
        <w:rPr>
          <w:b/>
          <w:bCs/>
          <w:lang w:val="en-GB"/>
        </w:rPr>
        <w:t xml:space="preserve">never </w:t>
      </w:r>
      <w:r>
        <w:rPr>
          <w:lang w:val="en-GB"/>
        </w:rPr>
        <w:t xml:space="preserve"/>
      </w:r>
      <w:r>
        <w:rPr>
          <w:lang w:val="en-GB"/>
        </w:rPr>
        <w:t xml:space="preserve">to introduce persistent automatic biometric </w:t>
      </w:r>
      <w:r>
        <w:rPr>
          <w:lang w:val="en-GB"/>
        </w:rPr>
        <w:t xml:space="preserve"/>
      </w:r>
      <w:r>
        <w:rPr>
          <w:b/>
          <w:bCs/>
          <w:lang w:val="en-GB"/>
        </w:rPr>
        <w:t xml:space="preserve">processing </w:t>
      </w:r>
      <w:r>
        <w:rPr>
          <w:lang w:val="en-GB"/>
        </w:rPr>
        <w:t xml:space="preserve"/>
      </w:r>
      <w:r>
        <w:rPr>
          <w:lang w:val="en-GB"/>
        </w:rPr>
        <w:t xml:space="preserve">(voice recognition with voiceprint base) without </w:t>
      </w:r>
      <w:r>
        <w:rPr>
          <w:lang w:val="en-GB"/>
        </w:rPr>
        <w:t xml:space="preserve"/>
      </w:r>
      <w:r>
        <w:rPr>
          <w:b/>
          <w:bCs/>
          <w:lang w:val="en-GB"/>
        </w:rPr>
        <w:t xml:space="preserve">explicit updating of the DPA </w:t>
      </w:r>
      <w:r>
        <w:rPr>
          <w:lang w:val="en-GB"/>
        </w:rPr>
        <w:t xml:space="preserve"/>
      </w:r>
      <w:r>
        <w:rPr>
          <w:lang w:val="en-GB"/>
        </w:rPr>
        <w:t xml:space="preserve">subject to prior acceptance by the Customer, with </w:t>
      </w:r>
      <w:r>
        <w:rPr>
          <w:lang w:val="en-GB"/>
        </w:rPr>
        <w:t xml:space="preserve"/>
      </w:r>
      <w:r>
        <w:rPr>
          <w:b/>
          <w:bCs/>
          <w:lang w:val="en-GB"/>
        </w:rPr>
        <w:t xml:space="preserve">a minimum notice of 60 </w:t>
      </w:r>
      <w:r>
        <w:rPr>
          <w:lang w:val="en-GB"/>
        </w:rPr>
        <w:t xml:space="preserve">days.</w:t>
      </w:r>
    </w:p>
    <w:p>
      <w:r>
        <w:pict>
          <v:rect style="width:0;height:1.5pt" o:hralign="center" o:hrstd="t" o:hr="t"/>
        </w:pict>
      </w:r>
    </w:p>
    <w:bookmarkEnd w:id="136"/>
    <w:bookmarkStart w:id="137" w:name="X5cb896f79fde2817fdfc340537e1d6f68249cb8"/>
    <w:p>
      <w:pPr>
        <w:pStyle w:val="Heading2"/>
        <w:keepNext/>
        <w:keepLines/>
      </w:pPr>
      <w:r>
        <w:rPr>
          <w:color w:val="000000"/>
          <w:lang w:val="en-GB"/>
        </w:rPr>
        <w:t xml:space="preserve">5. Dedicated technical and organizational measures</w:t>
      </w:r>
    </w:p>
    <w:p>
      <w:pPr>
        <w:pStyle w:val="FirstParagraph"/>
      </w:pPr>
      <w:r>
        <w:rPr>
          <w:lang w:val="en-GB"/>
        </w:rPr>
        <w:t xml:space="preserve">The MTOs dedicated to voice correlation (DPA Annex 3 §9) are as follows:</w:t>
      </w:r>
    </w:p>
    <w:p>
      <w:pPr>
        <w:pStyle w:val="Compact"/>
        <w:numPr>
          <w:ilvl w:val="0"/>
          <w:numId w:val="1036"/>
        </w:numPr>
      </w:pPr>
      <w:r>
        <w:rPr>
          <w:lang w:val="en-GB"/>
        </w:rPr>
        <w:t xml:space="preserve">activation at tenant level or by customer configuration when available;</w:t>
      </w:r>
    </w:p>
    <w:p>
      <w:pPr>
        <w:pStyle w:val="Compact"/>
        <w:numPr>
          <w:ilvl w:val="0"/>
          <w:numId w:val="1036"/>
        </w:numPr>
      </w:pPr>
      <w:r>
        <w:rPr>
          <w:lang w:val="en-GB"/>
        </w:rPr>
        <w:t xml:space="preserve">absence of creation of persistent voice profile by default;</w:t>
      </w:r>
    </w:p>
    <w:p>
      <w:pPr>
        <w:pStyle w:val="Compact"/>
        <w:numPr>
          <w:ilvl w:val="0"/>
          <w:numId w:val="1036"/>
        </w:numPr>
      </w:pPr>
      <w:r>
        <w:rPr>
          <w:lang w:val="en-GB"/>
        </w:rPr>
        <w:t xml:space="preserve">calculation of embeddings temporarily in RAM when technically possible;</w:t>
      </w:r>
    </w:p>
    <w:p>
      <w:pPr>
        <w:pStyle w:val="Compact"/>
        <w:numPr>
          <w:ilvl w:val="0"/>
          <w:numId w:val="1036"/>
        </w:numPr>
      </w:pPr>
      <w:r>
        <w:rPr>
          <w:lang w:val="en-GB"/>
        </w:rPr>
        <w:t xml:space="preserve">use of </w:t>
      </w:r>
      <w:r>
        <w:rPr>
          <w:lang w:val="en-GB"/>
        </w:rPr>
        <w:t xml:space="preserve"/>
      </w:r>
      <w:r>
        <w:rPr>
          <w:rStyle w:val="VerbatimChar"/>
          <w:lang w:val="en-GB"/>
        </w:rPr>
        <w:t xml:space="preserve">tmpfs</w:t>
      </w:r>
      <w:r>
        <w:rPr>
          <w:lang w:val="en-GB"/>
        </w:rPr>
        <w:t xml:space="preserve"> </w:t>
      </w:r>
      <w:r>
        <w:rPr>
          <w:lang w:val="en-GB"/>
        </w:rPr>
        <w:t xml:space="preserve">type temporary spaces when the environment allows it;</w:t>
      </w:r>
    </w:p>
    <w:p>
      <w:pPr>
        <w:pStyle w:val="Compact"/>
        <w:numPr>
          <w:ilvl w:val="0"/>
          <w:numId w:val="1036"/>
        </w:numPr>
      </w:pPr>
      <w:r>
        <w:rPr>
          <w:lang w:val="en-GB"/>
        </w:rPr>
        <w:t xml:space="preserve">disabling swap for affected workers when the environment and stability permits it;</w:t>
      </w:r>
    </w:p>
    <w:p>
      <w:pPr>
        <w:pStyle w:val="Compact"/>
        <w:numPr>
          <w:ilvl w:val="0"/>
          <w:numId w:val="1036"/>
        </w:numPr>
      </w:pPr>
      <w:r>
        <w:rPr>
          <w:lang w:val="en-GB"/>
        </w:rPr>
        <w:t xml:space="preserve">deletion of temporary files and embeddings at the end of the request;</w:t>
      </w:r>
    </w:p>
    <w:p>
      <w:pPr>
        <w:pStyle w:val="Compact"/>
        <w:numPr>
          <w:ilvl w:val="0"/>
          <w:numId w:val="1036"/>
        </w:numPr>
      </w:pPr>
      <w:r>
        <w:rPr>
          <w:lang w:val="en-GB"/>
        </w:rPr>
        <w:t xml:space="preserve">cleanup in end-of-processing blocks, including </w:t>
      </w:r>
      <w:r>
        <w:rPr>
          <w:lang w:val="en-GB"/>
        </w:rPr>
        <w:t xml:space="preserve"/>
      </w:r>
      <w:r>
        <w:rPr>
          <w:rStyle w:val="VerbatimChar"/>
          <w:lang w:val="en-GB"/>
        </w:rPr>
        <w:t xml:space="preserve">finally</w:t>
      </w:r>
      <w:r>
        <w:rPr>
          <w:lang w:val="en-GB"/>
        </w:rPr>
        <w:t xml:space="preserve"> </w:t>
      </w:r>
      <w:r>
        <w:rPr>
          <w:lang w:val="en-GB"/>
        </w:rPr>
        <w:t xml:space="preserve">mechanisms;</w:t>
      </w:r>
    </w:p>
    <w:p>
      <w:pPr>
        <w:pStyle w:val="Compact"/>
        <w:numPr>
          <w:ilvl w:val="0"/>
          <w:numId w:val="1036"/>
        </w:numPr>
      </w:pPr>
      <w:r>
        <w:rPr>
          <w:lang w:val="en-GB"/>
        </w:rPr>
        <w:t xml:space="preserve">no use of embeddings to train OHADJA’s own models;</w:t>
      </w:r>
    </w:p>
    <w:p>
      <w:pPr>
        <w:pStyle w:val="Compact"/>
        <w:numPr>
          <w:ilvl w:val="0"/>
          <w:numId w:val="1036"/>
        </w:numPr>
      </w:pPr>
      <w:r>
        <w:rPr>
          <w:lang w:val="en-GB"/>
        </w:rPr>
        <w:t xml:space="preserve">mandatory human validation of suggestions before final attribution;</w:t>
      </w:r>
    </w:p>
    <w:p>
      <w:pPr>
        <w:pStyle w:val="Compact"/>
        <w:numPr>
          <w:ilvl w:val="0"/>
          <w:numId w:val="1036"/>
        </w:numPr>
      </w:pPr>
      <w:r>
        <w:rPr>
          <w:lang w:val="en-GB"/>
        </w:rPr>
        <w:t xml:space="preserve">logging limited to necessary technical events;</w:t>
      </w:r>
    </w:p>
    <w:p>
      <w:pPr>
        <w:pStyle w:val="Compact"/>
        <w:numPr>
          <w:ilvl w:val="0"/>
          <w:numId w:val="1036"/>
        </w:numPr>
      </w:pPr>
      <w:r>
        <w:rPr>
          <w:lang w:val="en-GB"/>
        </w:rPr>
        <w:t xml:space="preserve">cleaning/reducing logs to avoid recording unnecessary fingerprints, vectors or voice extracts;</w:t>
      </w:r>
    </w:p>
    <w:p>
      <w:pPr>
        <w:pStyle w:val="Compact"/>
        <w:numPr>
          <w:ilvl w:val="0"/>
          <w:numId w:val="1036"/>
        </w:numPr>
      </w:pPr>
      <w:r>
        <w:rPr>
          <w:lang w:val="en-GB"/>
        </w:rPr>
        <w:t xml:space="preserve">separation of processing by tenant;</w:t>
      </w:r>
    </w:p>
    <w:p>
      <w:pPr>
        <w:pStyle w:val="Compact"/>
        <w:numPr>
          <w:ilvl w:val="0"/>
          <w:numId w:val="1036"/>
        </w:numPr>
      </w:pPr>
      <w:r>
        <w:rPr>
          <w:lang w:val="en-GB"/>
        </w:rPr>
        <w:t xml:space="preserve">restriction of access to workers and technical exits;</w:t>
      </w:r>
    </w:p>
    <w:p>
      <w:pPr>
        <w:pStyle w:val="Compact"/>
        <w:numPr>
          <w:ilvl w:val="0"/>
          <w:numId w:val="1036"/>
        </w:numPr>
      </w:pPr>
      <w:r>
        <w:rPr>
          <w:lang w:val="en-GB"/>
        </w:rPr>
        <w:t xml:space="preserve">possibility of deactivating the functionality at the customer's request or by contractual clause;</w:t>
      </w:r>
    </w:p>
    <w:p>
      <w:pPr>
        <w:pStyle w:val="Compact"/>
        <w:numPr>
          <w:ilvl w:val="0"/>
          <w:numId w:val="1036"/>
        </w:numPr>
      </w:pPr>
      <w:r>
        <w:rPr>
          <w:lang w:val="en-GB"/>
        </w:rPr>
        <w:t xml:space="preserve">selection of GPU resources located in EU/EEA when required.</w:t>
      </w:r>
    </w:p>
    <w:p>
      <w:r>
        <w:pict>
          <v:rect style="width:0;height:1.5pt" o:hralign="center" o:hrstd="t" o:hr="t"/>
        </w:pict>
      </w:r>
    </w:p>
    <w:bookmarkEnd w:id="137"/>
    <w:bookmarkStart w:id="138" w:name="X78fc07a469ca6699f328a51971f58213a3ffac5"/>
    <w:p>
      <w:pPr>
        <w:pStyle w:val="Heading2"/>
        <w:keepNext/>
        <w:keepLines/>
      </w:pPr>
      <w:r>
        <w:rPr>
          <w:color w:val="000000"/>
          <w:lang w:val="en-GB"/>
        </w:rPr>
        <w:t xml:space="preserve">6. Limitations and recommendations to controller</w:t>
      </w:r>
    </w:p>
    <w:p>
      <w:pPr>
        <w:pStyle w:val="FirstParagraph"/>
      </w:pPr>
      <w:r>
        <w:rPr>
          <w:lang w:val="en-GB"/>
        </w:rPr>
        <w:t xml:space="preserve">As controller, the Customer retains control and responsibility for the following elements, whether voice correlation is activated or not:</w:t>
      </w:r>
    </w:p>
    <w:p>
      <w:pPr>
        <w:pStyle w:val="Compact"/>
        <w:numPr>
          <w:ilvl w:val="0"/>
          <w:numId w:val="1037"/>
        </w:numPr>
      </w:pPr>
      <w:r>
        <w:rPr>
          <w:b/>
          <w:bCs/>
          <w:lang w:val="en-GB"/>
        </w:rPr>
        <w:t xml:space="preserve">Information of the persons concerned: </w:t>
      </w:r>
      <w:r>
        <w:rPr>
          <w:lang w:val="en-GB"/>
        </w:rPr>
        <w:t xml:space="preserve"/>
      </w:r>
      <w:r>
        <w:rPr>
          <w:lang w:val="en-GB"/>
        </w:rPr>
        <w:t xml:space="preserve">inform those involved of the implementation of diarization and, where applicable, voice correlation (articles 12 to 14).</w:t>
      </w:r>
    </w:p>
    <w:p>
      <w:pPr>
        <w:pStyle w:val="Compact"/>
        <w:numPr>
          <w:ilvl w:val="0"/>
          <w:numId w:val="1037"/>
        </w:numPr>
      </w:pPr>
      <w:r>
        <w:rPr>
          <w:b/>
          <w:bCs/>
          <w:lang w:val="en-GB"/>
        </w:rPr>
        <w:t xml:space="preserve">Lawful basis: document the </w:t>
      </w:r>
      <w:r>
        <w:rPr>
          <w:lang w:val="en-GB"/>
        </w:rPr>
        <w:t xml:space="preserve">Article </w:t>
      </w:r>
      <w:r>
        <w:rPr>
          <w:lang w:val="en-GB"/>
        </w:rPr>
        <w:t xml:space="preserve">6 basis and, if special categories are processed, an applicable Article 9 condition. In employment relationships, consent cannot be presumed to be freely given because of the subordinate relationship; it is appropriate only where the choice is genuine, without disadvantage, and withdrawable. Approval by the employer or representatives does not replace this assessment.</w:t>
      </w:r>
    </w:p>
    <w:p>
      <w:pPr>
        <w:pStyle w:val="Compact"/>
        <w:numPr>
          <w:ilvl w:val="0"/>
          <w:numId w:val="1037"/>
        </w:numPr>
      </w:pPr>
      <w:r>
        <w:rPr>
          <w:b/>
          <w:bCs/>
          <w:lang w:val="en-GB"/>
        </w:rPr>
        <w:t xml:space="preserve">Proportionality and necessity: </w:t>
      </w:r>
      <w:r>
        <w:rPr>
          <w:lang w:val="en-GB"/>
        </w:rPr>
        <w:t xml:space="preserve"/>
      </w:r>
      <w:r>
        <w:rPr>
          <w:lang w:val="en-GB"/>
        </w:rPr>
        <w:t xml:space="preserve">only activate voice correlation if it is necessary and proportionate to the intended purpose; failing that, stick to positional diarization and manual attribution.</w:t>
      </w:r>
    </w:p>
    <w:p>
      <w:pPr>
        <w:pStyle w:val="Compact"/>
        <w:numPr>
          <w:ilvl w:val="0"/>
          <w:numId w:val="1037"/>
        </w:numPr>
      </w:pPr>
      <w:r>
        <w:rPr>
          <w:b/>
          <w:bCs/>
          <w:lang w:val="en-GB"/>
        </w:rPr>
        <w:t xml:space="preserve">DPIA: </w:t>
      </w:r>
      <w:r>
        <w:rPr>
          <w:lang w:val="en-GB"/>
        </w:rPr>
        <w:t xml:space="preserve"/>
      </w:r>
      <w:r>
        <w:rPr>
          <w:lang w:val="en-GB"/>
        </w:rPr>
        <w:t xml:space="preserve">carry out the impact analysis prior to any activation of voice correlation; OHADJA provides the necessary support and technical documentation (architecture, MTO, non-persistence guarantees).</w:t>
      </w:r>
    </w:p>
    <w:p>
      <w:pPr>
        <w:pStyle w:val="Compact"/>
        <w:numPr>
          <w:ilvl w:val="0"/>
          <w:numId w:val="1037"/>
        </w:numPr>
      </w:pPr>
      <w:r>
        <w:rPr>
          <w:b/>
          <w:bCs/>
          <w:lang w:val="en-GB"/>
        </w:rPr>
        <w:t xml:space="preserve">Human validation: </w:t>
      </w:r>
      <w:r>
        <w:rPr>
          <w:lang w:val="en-GB"/>
        </w:rPr>
        <w:t xml:space="preserve"/>
      </w:r>
      <w:r>
        <w:rPr>
          <w:lang w:val="en-GB"/>
        </w:rPr>
        <w:t xml:space="preserve">maintain a systematic human review of suggestions before attribution.</w:t>
      </w:r>
    </w:p>
    <w:p>
      <w:pPr>
        <w:pStyle w:val="FirstParagraph"/>
      </w:pPr>
      <w:r>
        <w:rPr>
          <w:b/>
          <w:bCs/>
          <w:lang w:val="en-GB"/>
        </w:rPr>
        <w:t xml:space="preserve">OHADJA's recommendation: </w:t>
      </w:r>
      <w:r>
        <w:rPr>
          <w:lang w:val="en-GB"/>
        </w:rPr>
        <w:t xml:space="preserve"/>
      </w:r>
      <w:r>
        <w:rPr>
          <w:lang w:val="en-GB"/>
        </w:rPr>
        <w:t xml:space="preserve">prefer the least intrusive solution that meets the documented need. Even diarisation and manual assignment require a risk </w:t>
      </w:r>
      <w:r>
        <w:rPr>
          <w:lang w:val="en-GB"/>
        </w:rPr>
        <w:t xml:space="preserve"/>
      </w:r>
      <w:r>
        <w:rPr>
          <w:b/>
          <w:bCs/>
          <w:lang w:val="en-GB"/>
        </w:rPr>
        <w:t xml:space="preserve">assessment relating to the recording and its content. Voice </w:t>
      </w:r>
      <w:r>
        <w:rPr>
          <w:lang w:val="en-GB"/>
        </w:rPr>
        <w:t xml:space="preserve"/>
      </w:r>
      <w:r>
        <w:rPr>
          <w:lang w:val="en-GB"/>
        </w:rPr>
        <w:t xml:space="preserve">correlation should be considered only after its necessity has been justified, Articles 6 and 9 have been examined, and a prior DPIA and dedicated addendum have been completed.</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138"/>
    <w:bookmarkEnd w:id="139"/>
    <w:bookmarkStart w:id="147" w:name="Xbb174e7fcc237e3b8817e4a78ba18c05179a16d"/>
    <w:p>
      <w:pPr>
        <w:pStyle w:val="Heading1"/>
        <w:keepNext/>
        <w:keepLines/>
      </w:pPr>
      <w:r>
        <w:rPr>
          <w:color w:val="000000"/>
          <w:lang w:val="en-GB"/>
        </w:rPr>
        <w:t xml:space="preserve">GDPR Customer Support Procedures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OHA-RGPD-08</w:t>
            </w:r>
          </w:p>
        </w:tc>
      </w:tr>
      <w:tr>
        <w:trPr>
          <w:cantSplit/>
        </w:trPr>
        <w:tc>
          <w:tcPr/>
          <w:p>
            <w:pPr>
              <w:pStyle w:val="Compact"/>
            </w:pPr>
            <w:r>
              <w:rPr>
                <w:lang w:val="en-GB"/>
              </w:rPr>
              <w:t xml:space="preserve">Purpose</w:t>
            </w:r>
          </w:p>
        </w:tc>
        <w:tc>
          <w:tcPr/>
          <w:p>
            <w:pPr>
              <w:pStyle w:val="Compact"/>
            </w:pPr>
            <w:r>
              <w:rPr>
                <w:lang w:val="en-GB"/>
              </w:rPr>
              <w:t xml:space="preserve">Operational assistance procedure sheets GDPR (rights, violations, restitution, DPIA, audit)</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140" w:name="objet"/>
    <w:p>
      <w:pPr>
        <w:pStyle w:val="Heading2"/>
        <w:keepNext/>
        <w:keepLines/>
      </w:pPr>
      <w:r>
        <w:rPr>
          <w:color w:val="000000"/>
          <w:lang w:val="en-GB"/>
        </w:rPr>
        <w:t xml:space="preserve">Purpose</w:t>
      </w:r>
    </w:p>
    <w:p>
      <w:pPr>
        <w:pStyle w:val="FirstParagraph"/>
      </w:pPr>
      <w:r>
        <w:rPr>
          <w:lang w:val="en-GB"/>
        </w:rPr>
        <w:t xml:space="preserve">This document describes, in the form of sheets, the operational procedures by which OHADJA assists the Client in complying with its GDPR obligations. The Client remains controller; OHADJA acts in support, within the limits of the DPA.</w:t>
      </w:r>
    </w:p>
    <w:p>
      <w:pPr>
        <w:pStyle w:val="BodyText"/>
      </w:pPr>
      <w:r>
        <w:rPr>
          <w:b/>
          <w:bCs/>
          <w:lang w:val="en-GB"/>
        </w:rPr>
        <w:t xml:space="preserve">Single contact: </w:t>
      </w:r>
      <w:r>
        <w:rPr>
          <w:lang w:val="en-GB"/>
        </w:rPr>
        <w:t xml:space="preserve"/>
      </w:r>
      <w:hyperlink r:id="rId9">
        <w:r>
          <w:rPr>
            <w:rStyle w:val="Hyperlink"/>
            <w:lang w:val="en-GB"/>
          </w:rPr>
          <w:t xml:space="preserve">privacy@transcribia.eu</w:t>
        </w:r>
      </w:hyperlink>
      <w:r>
        <w:rPr>
          <w:lang w:val="en-GB"/>
        </w:rPr>
        <w:t xml:space="preserve">.</w:t>
      </w:r>
    </w:p>
    <w:p>
      <w:r>
        <w:pict>
          <v:rect style="width:0;height:1.5pt" o:hralign="center" o:hrstd="t" o:hr="t"/>
        </w:pict>
      </w:r>
    </w:p>
    <w:bookmarkEnd w:id="140"/>
    <w:bookmarkStart w:id="141" w:name="Xd4924d66601c499ace1dd22e56ade19d3c4cae9"/>
    <w:p>
      <w:pPr>
        <w:pStyle w:val="Heading2"/>
        <w:keepNext/>
        <w:keepLines/>
      </w:pPr>
      <w:r>
        <w:rPr>
          <w:color w:val="000000"/>
          <w:lang w:val="en-GB"/>
        </w:rPr>
        <w:t xml:space="preserve">PROC-01 — Requests to exercise individual rights</w:t>
      </w:r>
    </w:p>
    <w:p>
      <w:pPr>
        <w:pStyle w:val="FirstParagraph"/>
      </w:pPr>
      <w:r>
        <w:rPr>
          <w:b/>
          <w:bCs/>
          <w:lang w:val="en-GB"/>
        </w:rPr>
        <w:t xml:space="preserve">Reception channel. </w:t>
      </w:r>
      <w:r>
        <w:rPr>
          <w:lang w:val="en-GB"/>
        </w:rPr>
        <w:t xml:space="preserve"/>
      </w:r>
      <w:r>
        <w:rPr>
          <w:lang w:val="en-GB"/>
        </w:rPr>
        <w:t xml:space="preserve">The Customer's requests are sent in writing to </w:t>
      </w:r>
      <w:r>
        <w:rPr>
          <w:lang w:val="en-GB"/>
        </w:rPr>
        <w:t xml:space="preserve"/>
      </w:r>
      <w:hyperlink r:id="rId9">
        <w:r>
          <w:rPr>
            <w:rStyle w:val="Hyperlink"/>
            <w:lang w:val="en-GB"/>
          </w:rPr>
          <w:t xml:space="preserve">privacy@transcribia.eu</w:t>
        </w:r>
      </w:hyperlink>
      <w:r>
        <w:rPr>
          <w:lang w:val="en-GB"/>
        </w:rPr>
        <w:t xml:space="preserve">.</w:t>
      </w:r>
    </w:p>
    <w:p>
      <w:pPr>
        <w:pStyle w:val="BodyText"/>
      </w:pPr>
      <w:r>
        <w:rPr>
          <w:b/>
          <w:bCs/>
          <w:lang w:val="en-GB"/>
        </w:rPr>
        <w:t xml:space="preserve">Support time. </w:t>
      </w:r>
      <w:r>
        <w:rPr>
          <w:lang w:val="en-GB"/>
        </w:rPr>
        <w:t xml:space="preserve">OHADJA </w:t>
      </w:r>
      <w:r>
        <w:rPr>
          <w:lang w:val="en-GB"/>
        </w:rPr>
        <w:t xml:space="preserve">assists the Client within 7 working </w:t>
      </w:r>
      <w:r>
        <w:rPr>
          <w:lang w:val="en-GB"/>
        </w:rPr>
        <w:t xml:space="preserve"/>
      </w:r>
      <w:r>
        <w:rPr>
          <w:b/>
          <w:bCs/>
          <w:lang w:val="en-GB"/>
        </w:rPr>
        <w:t xml:space="preserve">days from a </w:t>
      </w:r>
      <w:r>
        <w:rPr>
          <w:lang w:val="en-GB"/>
        </w:rPr>
        <w:t xml:space="preserve"/>
      </w:r>
      <w:r>
        <w:rPr>
          <w:lang w:val="en-GB"/>
        </w:rPr>
        <w:t xml:space="preserve">complete written request (except for a justified emergency or complexity justifying a reasonable additional period).</w:t>
      </w:r>
    </w:p>
    <w:p>
      <w:pPr>
        <w:pStyle w:val="BodyText"/>
      </w:pPr>
      <w:r>
        <w:rPr>
          <w:b/>
          <w:bCs/>
          <w:lang w:val="en-GB"/>
        </w:rPr>
        <w:t xml:space="preserve">Principle. </w:t>
      </w:r>
      <w:r>
        <w:rPr>
          <w:lang w:val="en-GB"/>
        </w:rPr>
        <w:t xml:space="preserve"/>
      </w:r>
      <w:r>
        <w:rPr>
          <w:lang w:val="en-GB"/>
        </w:rPr>
        <w:t xml:space="preserve">OHADJA </w:t>
      </w:r>
      <w:r>
        <w:rPr>
          <w:lang w:val="en-GB"/>
        </w:rPr>
        <w:t xml:space="preserve"/>
      </w:r>
      <w:r>
        <w:rPr>
          <w:b/>
          <w:bCs/>
          <w:lang w:val="en-GB"/>
        </w:rPr>
        <w:t xml:space="preserve">does not respond directly </w:t>
      </w:r>
      <w:r>
        <w:rPr>
          <w:lang w:val="en-GB"/>
        </w:rPr>
        <w:t xml:space="preserve"/>
      </w:r>
      <w:r>
        <w:rPr>
          <w:lang w:val="en-GB"/>
        </w:rPr>
        <w:t xml:space="preserve">to the data subject; it assists the Client, who assesses the action to be taken. If OHADJA directly receives a request from a person, it forwards it to the Client.</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Right</w:t>
            </w:r>
          </w:p>
        </w:tc>
        <w:tc>
          <w:tcPr/>
          <w:p>
            <w:pPr>
              <w:pStyle w:val="Compact"/>
            </w:pPr>
            <w:r>
              <w:rPr>
                <w:lang w:val="en-GB"/>
              </w:rPr>
              <w:t xml:space="preserve">Operation possible</w:t>
            </w:r>
          </w:p>
        </w:tc>
        <w:tc>
          <w:tcPr/>
          <w:p>
            <w:pPr>
              <w:pStyle w:val="Compact"/>
            </w:pPr>
            <w:r>
              <w:rPr>
                <w:lang w:val="en-GB"/>
              </w:rPr>
              <w:t xml:space="preserve">Who does what</w:t>
            </w:r>
          </w:p>
        </w:tc>
      </w:tr>
      <w:tr>
        <w:trPr>
          <w:cantSplit/>
        </w:trPr>
        <w:tc>
          <w:tcPr/>
          <w:p>
            <w:pPr>
              <w:pStyle w:val="Compact"/>
            </w:pPr>
            <w:r>
              <w:rPr>
                <w:lang w:val="en-GB"/>
              </w:rPr>
              <w:t xml:space="preserve">Access (art. 15)</w:t>
            </w:r>
          </w:p>
        </w:tc>
        <w:tc>
          <w:tcPr/>
          <w:p>
            <w:pPr>
              <w:pStyle w:val="Compact"/>
            </w:pPr>
            <w:r>
              <w:rPr>
                <w:lang w:val="en-GB"/>
              </w:rPr>
              <w:t xml:space="preserve">Export / search of sessions and content</w:t>
            </w:r>
          </w:p>
        </w:tc>
        <w:tc>
          <w:tcPr/>
          <w:p>
            <w:pPr>
              <w:pStyle w:val="Compact"/>
            </w:pPr>
            <w:r>
              <w:rPr>
                <w:lang w:val="en-GB"/>
              </w:rPr>
              <w:t xml:space="preserve">Customer via app; OHADJA in technical support</w:t>
            </w:r>
          </w:p>
        </w:tc>
      </w:tr>
      <w:tr>
        <w:trPr>
          <w:cantSplit/>
        </w:trPr>
        <w:tc>
          <w:tcPr/>
          <w:p>
            <w:pPr>
              <w:pStyle w:val="Compact"/>
            </w:pPr>
            <w:r>
              <w:rPr>
                <w:lang w:val="en-GB"/>
              </w:rPr>
              <w:t xml:space="preserve">Rectification (art. 16)</w:t>
            </w:r>
          </w:p>
        </w:tc>
        <w:tc>
          <w:tcPr/>
          <w:p>
            <w:pPr>
              <w:pStyle w:val="Compact"/>
            </w:pPr>
            <w:r>
              <w:rPr>
                <w:lang w:val="en-GB"/>
              </w:rPr>
              <w:t xml:space="preserve">Free editing of transcriptions and content</w:t>
            </w:r>
          </w:p>
        </w:tc>
        <w:tc>
          <w:tcPr/>
          <w:p>
            <w:pPr>
              <w:pStyle w:val="Compact"/>
            </w:pPr>
            <w:r>
              <w:rPr>
                <w:lang w:val="en-GB"/>
              </w:rPr>
              <w:t xml:space="preserve">Customer (self-service)</w:t>
            </w:r>
          </w:p>
        </w:tc>
      </w:tr>
      <w:tr>
        <w:trPr>
          <w:cantSplit/>
        </w:trPr>
        <w:tc>
          <w:tcPr/>
          <w:p>
            <w:pPr>
              <w:pStyle w:val="Compact"/>
            </w:pPr>
            <w:r>
              <w:rPr>
                <w:lang w:val="en-GB"/>
              </w:rPr>
              <w:t xml:space="preserve">Erasure (art. 17)</w:t>
            </w:r>
          </w:p>
        </w:tc>
        <w:tc>
          <w:tcPr/>
          <w:p>
            <w:pPr>
              <w:pStyle w:val="Compact"/>
            </w:pPr>
            <w:r>
              <w:rPr>
                <w:lang w:val="en-GB"/>
              </w:rPr>
              <w:t xml:space="preserve">Certified deletion traced + certificate</w:t>
            </w:r>
          </w:p>
        </w:tc>
        <w:tc>
          <w:tcPr/>
          <w:p>
            <w:pPr>
              <w:pStyle w:val="Compact"/>
            </w:pPr>
            <w:r>
              <w:rPr>
                <w:lang w:val="en-GB"/>
              </w:rPr>
              <w:t xml:space="preserve">Client triggers (Settings → Portability); OHADJA support / purge backups</w:t>
            </w:r>
          </w:p>
        </w:tc>
      </w:tr>
      <w:tr>
        <w:trPr>
          <w:cantSplit/>
        </w:trPr>
        <w:tc>
          <w:tcPr/>
          <w:p>
            <w:pPr>
              <w:pStyle w:val="Compact"/>
            </w:pPr>
            <w:r>
              <w:rPr>
                <w:lang w:val="en-GB"/>
              </w:rPr>
              <w:t xml:space="preserve">Portability (art. 20)</w:t>
            </w:r>
          </w:p>
        </w:tc>
        <w:tc>
          <w:tcPr/>
          <w:p>
            <w:pPr>
              <w:pStyle w:val="Compact"/>
            </w:pPr>
            <w:r>
              <w:rPr>
                <w:lang w:val="en-GB"/>
              </w:rPr>
              <w:t xml:space="preserve">Export </w:t>
            </w:r>
            <w:r>
              <w:rPr>
                <w:lang w:val="en-GB"/>
              </w:rPr>
              <w:t xml:space="preserve"/>
            </w:r>
            <w:r>
              <w:rPr>
                <w:rStyle w:val="VerbatimChar"/>
                <w:lang w:val="en-GB"/>
              </w:rPr>
              <w:t xml:space="preserve">.tar.gz</w:t>
            </w:r>
            <w:r>
              <w:rPr>
                <w:lang w:val="en-GB"/>
              </w:rPr>
              <w:t xml:space="preserve"> </w:t>
            </w:r>
            <w:r>
              <w:rPr>
                <w:lang w:val="en-GB"/>
              </w:rPr>
              <w:t xml:space="preserve">signed SHA-256 by tenant</w:t>
            </w:r>
          </w:p>
        </w:tc>
        <w:tc>
          <w:tcPr/>
          <w:p>
            <w:pPr>
              <w:pStyle w:val="Compact"/>
            </w:pPr>
            <w:r>
              <w:rPr>
                <w:lang w:val="en-GB"/>
              </w:rPr>
              <w:t xml:space="preserve">Customer (self-service)</w:t>
            </w:r>
          </w:p>
        </w:tc>
      </w:tr>
      <w:tr>
        <w:trPr>
          <w:cantSplit/>
        </w:trPr>
        <w:tc>
          <w:tcPr/>
          <w:p>
            <w:pPr>
              <w:pStyle w:val="Compact"/>
            </w:pPr>
            <w:r>
              <w:rPr>
                <w:lang w:val="en-GB"/>
              </w:rPr>
              <w:t xml:space="preserve">Limitation (art. 18)</w:t>
            </w:r>
          </w:p>
        </w:tc>
        <w:tc>
          <w:tcPr/>
          <w:p>
            <w:pPr>
              <w:pStyle w:val="Compact"/>
            </w:pPr>
            <w:r>
              <w:rPr>
                <w:lang w:val="en-GB"/>
              </w:rPr>
              <w:t xml:space="preserve">Restriction of access/processing of targeted content</w:t>
            </w:r>
          </w:p>
        </w:tc>
        <w:tc>
          <w:tcPr/>
          <w:p>
            <w:pPr>
              <w:pStyle w:val="Compact"/>
            </w:pPr>
            <w:r>
              <w:rPr>
                <w:lang w:val="en-GB"/>
              </w:rPr>
              <w:t xml:space="preserve">Customer; OHADJA in technical support</w:t>
            </w:r>
          </w:p>
        </w:tc>
      </w:tr>
      <w:tr>
        <w:trPr>
          <w:cantSplit/>
        </w:trPr>
        <w:tc>
          <w:tcPr/>
          <w:p>
            <w:pPr>
              <w:pStyle w:val="Compact"/>
            </w:pPr>
            <w:r>
              <w:rPr>
                <w:lang w:val="en-GB"/>
              </w:rPr>
              <w:t xml:space="preserve">Opposition (art. 21)</w:t>
            </w:r>
          </w:p>
        </w:tc>
        <w:tc>
          <w:tcPr/>
          <w:p>
            <w:pPr>
              <w:pStyle w:val="Compact"/>
            </w:pPr>
            <w:r>
              <w:rPr>
                <w:lang w:val="en-GB"/>
              </w:rPr>
              <w:t xml:space="preserve">Cessation of the processing concerned according to the Customer's decision</w:t>
            </w:r>
          </w:p>
        </w:tc>
        <w:tc>
          <w:tcPr/>
          <w:p>
            <w:pPr>
              <w:pStyle w:val="Compact"/>
            </w:pPr>
            <w:r>
              <w:rPr>
                <w:lang w:val="en-GB"/>
              </w:rPr>
              <w:t xml:space="preserve">Customer appreciates; OHADJA executes technical operations</w:t>
            </w:r>
          </w:p>
        </w:tc>
      </w:tr>
    </w:tbl>
    <w:p>
      <w:r>
        <w:pict>
          <v:rect style="width:0;height:1.5pt" o:hralign="center" o:hrstd="t" o:hr="t"/>
        </w:pict>
      </w:r>
    </w:p>
    <w:bookmarkEnd w:id="141"/>
    <w:bookmarkStart w:id="142" w:name="Xf2dfb29b41ebd5e3b0b22ee6a749e96ee0a58c3"/>
    <w:p>
      <w:pPr>
        <w:pStyle w:val="Heading2"/>
        <w:keepNext/>
        <w:keepLines/>
      </w:pPr>
      <w:r>
        <w:rPr>
          <w:color w:val="000000"/>
          <w:lang w:val="en-GB"/>
        </w:rPr>
        <w:t xml:space="preserve">PROC-02 — Data Breach Notification</w:t>
      </w:r>
    </w:p>
    <w:p>
      <w:pPr>
        <w:pStyle w:val="FirstParagraph"/>
      </w:pPr>
      <w:r>
        <w:rPr>
          <w:b/>
          <w:bCs/>
          <w:lang w:val="en-GB"/>
        </w:rPr>
        <w:t xml:space="preserve">Detection. </w:t>
      </w:r>
      <w:r>
        <w:rPr>
          <w:lang w:val="en-GB"/>
        </w:rPr>
        <w:t xml:space="preserve"/>
      </w:r>
      <w:r>
        <w:rPr>
          <w:lang w:val="en-GB"/>
        </w:rPr>
        <w:t xml:space="preserve">24/7 supervision (queue, disk, certificates, dependencies), audit trail, alerts (ClamAV, security).</w:t>
      </w:r>
    </w:p>
    <w:p>
      <w:pPr>
        <w:pStyle w:val="BodyText"/>
      </w:pPr>
      <w:r>
        <w:rPr>
          <w:b/>
          <w:bCs/>
          <w:lang w:val="en-GB"/>
        </w:rPr>
        <w:t xml:space="preserve">Qualification. </w:t>
      </w:r>
      <w:r>
        <w:rPr>
          <w:lang w:val="en-GB"/>
        </w:rPr>
        <w:t xml:space="preserve"/>
      </w:r>
      <w:r>
        <w:rPr>
          <w:lang w:val="en-GB"/>
        </w:rPr>
        <w:t xml:space="preserve">OHADJA analyzes the event, limits its effects, restores security and preserves the investigation elements.</w:t>
      </w:r>
    </w:p>
    <w:p>
      <w:pPr>
        <w:pStyle w:val="BodyText"/>
      </w:pPr>
      <w:r>
        <w:rPr>
          <w:b/>
          <w:bCs/>
          <w:lang w:val="en-GB"/>
        </w:rPr>
        <w:t xml:space="preserve">Notification to the Customer. In </w:t>
      </w:r>
      <w:r>
        <w:rPr>
          <w:lang w:val="en-GB"/>
        </w:rPr>
        <w:t xml:space="preserve"/>
      </w:r>
      <w:r>
        <w:rPr>
          <w:lang w:val="en-GB"/>
        </w:rPr>
        <w:t xml:space="preserve">the event of a breach affecting the Customer's data, OHADJA informs it without undue delay </w:t>
      </w:r>
      <w:r>
        <w:rPr>
          <w:lang w:val="en-GB"/>
        </w:rPr>
        <w:t xml:space="preserve"/>
      </w:r>
      <w:r>
        <w:rPr>
          <w:b/>
          <w:bCs/>
          <w:lang w:val="en-GB"/>
        </w:rPr>
        <w:t xml:space="preserve">after becoming aware, including outside working days (DPA §8), with the available Article </w:t>
      </w:r>
      <w:r>
        <w:rPr>
          <w:lang w:val="en-GB"/>
        </w:rPr>
        <w:t xml:space="preserve">33(3) </w:t>
      </w:r>
      <w:r>
        <w:rPr>
          <w:lang w:val="en-GB"/>
        </w:rPr>
        <w:t xml:space="preserve">information; further information follows without undue delay:</w:t>
      </w:r>
    </w:p>
    <w:p>
      <w:pPr>
        <w:pStyle w:val="Compact"/>
        <w:numPr>
          <w:ilvl w:val="0"/>
          <w:numId w:val="1038"/>
        </w:numPr>
      </w:pPr>
      <w:r>
        <w:rPr>
          <w:lang w:val="en-GB"/>
        </w:rPr>
        <w:t xml:space="preserve">nature of the violation;</w:t>
      </w:r>
    </w:p>
    <w:p>
      <w:pPr>
        <w:pStyle w:val="Compact"/>
        <w:numPr>
          <w:ilvl w:val="0"/>
          <w:numId w:val="1038"/>
        </w:numPr>
      </w:pPr>
      <w:r>
        <w:rPr>
          <w:lang w:val="en-GB"/>
        </w:rPr>
        <w:t xml:space="preserve">categories of data concerned;</w:t>
      </w:r>
    </w:p>
    <w:p>
      <w:pPr>
        <w:pStyle w:val="Compact"/>
        <w:numPr>
          <w:ilvl w:val="0"/>
          <w:numId w:val="1038"/>
        </w:numPr>
      </w:pPr>
      <w:r>
        <w:rPr>
          <w:lang w:val="en-GB"/>
        </w:rPr>
        <w:t xml:space="preserve">categories and approximate number of persons concerned (if available);</w:t>
      </w:r>
    </w:p>
    <w:p>
      <w:pPr>
        <w:pStyle w:val="Compact"/>
        <w:numPr>
          <w:ilvl w:val="0"/>
          <w:numId w:val="1038"/>
        </w:numPr>
      </w:pPr>
      <w:r>
        <w:rPr>
          <w:lang w:val="en-GB"/>
        </w:rPr>
        <w:t xml:space="preserve">categories and approximate number of records affected (if available);</w:t>
      </w:r>
    </w:p>
    <w:p>
      <w:pPr>
        <w:pStyle w:val="Compact"/>
        <w:numPr>
          <w:ilvl w:val="0"/>
          <w:numId w:val="1038"/>
        </w:numPr>
      </w:pPr>
      <w:r>
        <w:rPr>
          <w:lang w:val="en-GB"/>
        </w:rPr>
        <w:t xml:space="preserve">probable consequences;</w:t>
      </w:r>
    </w:p>
    <w:p>
      <w:pPr>
        <w:pStyle w:val="Compact"/>
        <w:numPr>
          <w:ilvl w:val="0"/>
          <w:numId w:val="1038"/>
        </w:numPr>
      </w:pPr>
      <w:r>
        <w:rPr>
          <w:lang w:val="en-GB"/>
        </w:rPr>
        <w:t xml:space="preserve">measures taken or proposed to remedy and mitigate;</w:t>
      </w:r>
    </w:p>
    <w:p>
      <w:pPr>
        <w:pStyle w:val="Compact"/>
        <w:numPr>
          <w:ilvl w:val="0"/>
          <w:numId w:val="1038"/>
        </w:numPr>
      </w:pPr>
      <w:r>
        <w:rPr>
          <w:lang w:val="en-GB"/>
        </w:rPr>
        <w:t xml:space="preserve">point of contact for further information.</w:t>
      </w:r>
    </w:p>
    <w:p>
      <w:pPr>
        <w:pStyle w:val="FirstParagraph"/>
      </w:pPr>
      <w:r>
        <w:rPr>
          <w:b/>
          <w:bCs/>
          <w:lang w:val="en-GB"/>
        </w:rPr>
        <w:t xml:space="preserve">Staggered information. </w:t>
      </w:r>
      <w:r>
        <w:rPr>
          <w:lang w:val="en-GB"/>
        </w:rPr>
        <w:t xml:space="preserve"/>
      </w:r>
      <w:r>
        <w:rPr>
          <w:lang w:val="en-GB"/>
        </w:rPr>
        <w:t xml:space="preserve">When all information is not available simultaneously, it is communicated in a staggered manner, without undue delay (art. 33.4).</w:t>
      </w:r>
    </w:p>
    <w:p>
      <w:pPr>
        <w:pStyle w:val="BodyText"/>
      </w:pPr>
      <w:r>
        <w:rPr>
          <w:b/>
          <w:bCs/>
          <w:lang w:val="en-GB"/>
        </w:rPr>
        <w:t xml:space="preserve">Allocation. The Customer, as </w:t>
      </w:r>
      <w:r>
        <w:rPr>
          <w:lang w:val="en-GB"/>
        </w:rPr>
        <w:t xml:space="preserve"/>
      </w:r>
      <w:r>
        <w:rPr>
          <w:lang w:val="en-GB"/>
        </w:rPr>
        <w:t xml:space="preserve">controller, assesses whether notification to the competent supervisory authority is required under GDPR Article 33; where required, it notifies without undue delay and, where </w:t>
      </w:r>
      <w:r>
        <w:rPr>
          <w:b/>
          <w:bCs/>
          <w:lang w:val="en-GB"/>
        </w:rPr>
        <w:t xml:space="preserve">feasible, within </w:t>
      </w:r>
      <w:r>
        <w:rPr>
          <w:lang w:val="en-GB"/>
        </w:rPr>
        <w:t xml:space="preserve">72 hours of becoming aware. The authority is not determined by the document's language; the CNIL is the French authority. It separately assesses communication to individuals where the risk is high, subject to Article 34 conditions.</w:t>
      </w:r>
    </w:p>
    <w:p>
      <w:pPr>
        <w:pStyle w:val="BodyText"/>
      </w:pPr>
      <w:r>
        <w:rPr>
          <w:b/>
          <w:bCs/>
          <w:lang w:val="en-GB"/>
        </w:rPr>
        <w:t xml:space="preserve">Register. </w:t>
      </w:r>
      <w:r>
        <w:rPr>
          <w:lang w:val="en-GB"/>
        </w:rPr>
        <w:t xml:space="preserve"/>
      </w:r>
      <w:r>
        <w:rPr>
          <w:lang w:val="en-GB"/>
        </w:rPr>
        <w:t xml:space="preserve">OHADJA keeps track of violations concerning the Customer.</w:t>
      </w:r>
    </w:p>
    <w:p>
      <w:pPr>
        <w:pStyle w:val="SourceCode"/>
      </w:pPr>
      <w:r>
        <w:rPr>
          <w:rStyle w:val="VerbatimChar"/>
          <w:rFonts w:ascii="Courier New" w:hAnsi="Courier New" w:eastAsia="Courier New" w:cs="Courier New"/>
          <w:sz w:val="20"/>
          <w:szCs w:val="20"/>
        </w:rPr>
        <w:t xml:space="preserve">Detection -&gt; Assessment (containment, preservation)</w:t>
        <w:br/>
        <w:t xml:space="preserve">  -&gt; Notify Customer without undue delay (Art. 33.3 content)</w:t>
        <w:br/>
        <w:t xml:space="preserve">  -&gt; [Customer] notify competent supervisory authority</w:t>
        <w:br/>
        <w:t xml:space="preserve">     &lt;= 72 h after becoming aware, where required (Art. 33)</w:t>
        <w:br/>
        <w:t xml:space="preserve">  -&gt; Phased information where necessary -&gt; Register</w:t>
      </w:r>
    </w:p>
    <w:p>
      <w:r>
        <w:pict>
          <v:rect style="width:0;height:1.5pt" o:hralign="center" o:hrstd="t" o:hr="t"/>
        </w:pict>
      </w:r>
    </w:p>
    <w:bookmarkEnd w:id="142"/>
    <w:bookmarkStart w:id="143" w:name="X792fea81bfb021da122d0633eac6cb82ef8ab0f"/>
    <w:p>
      <w:pPr>
        <w:pStyle w:val="Heading2"/>
        <w:keepNext/>
        <w:keepLines/>
      </w:pPr>
      <w:r>
        <w:rPr>
          <w:color w:val="000000"/>
          <w:lang w:val="en-GB"/>
        </w:rPr>
        <w:t xml:space="preserve">PROC-03 — Return/deletion at end of contract</w:t>
      </w:r>
    </w:p>
    <w:p>
      <w:pPr>
        <w:pStyle w:val="FirstParagraph"/>
      </w:pPr>
      <w:r>
        <w:rPr>
          <w:lang w:val="en-GB"/>
        </w:rPr>
        <w:t xml:space="preserve">In accordance with DPA §11, at the end of the contract the </w:t>
      </w:r>
      <w:r>
        <w:rPr>
          <w:lang w:val="en-GB"/>
        </w:rPr>
        <w:t xml:space="preserve">Client </w:t>
      </w:r>
      <w:r>
        <w:rPr>
          <w:b/>
          <w:bCs/>
          <w:lang w:val="en-GB"/>
        </w:rPr>
        <w:t xml:space="preserve">chooses in </w:t>
      </w:r>
      <w:r>
        <w:rPr>
          <w:lang w:val="en-GB"/>
        </w:rPr>
        <w:t xml:space="preserve"/>
      </w:r>
      <w:r>
        <w:rPr>
          <w:lang w:val="en-GB"/>
        </w:rPr>
        <w:t xml:space="preserve">writing:</w:t>
      </w:r>
    </w:p>
    <w:p>
      <w:pPr>
        <w:pStyle w:val="Compact"/>
        <w:numPr>
          <w:ilvl w:val="0"/>
          <w:numId w:val="1039"/>
        </w:numPr>
      </w:pPr>
      <w:r>
        <w:rPr>
          <w:b/>
          <w:bCs/>
          <w:lang w:val="en-GB"/>
        </w:rPr>
        <w:t xml:space="preserve">Restitution: </w:t>
      </w:r>
      <w:r>
        <w:rPr>
          <w:lang w:val="en-GB"/>
        </w:rPr>
        <w:t xml:space="preserve"/>
      </w:r>
      <w:r>
        <w:rPr>
          <w:lang w:val="en-GB"/>
        </w:rPr>
        <w:t xml:space="preserve">standard export </w:t>
      </w:r>
      <w:r>
        <w:rPr>
          <w:lang w:val="en-GB"/>
        </w:rPr>
        <w:t xml:space="preserve"/>
      </w:r>
      <w:r>
        <w:rPr>
          <w:rStyle w:val="VerbatimChar"/>
          <w:lang w:val="en-GB"/>
        </w:rPr>
        <w:t xml:space="preserve">.tar.gz</w:t>
      </w:r>
      <w:r>
        <w:rPr>
          <w:lang w:val="en-GB"/>
        </w:rPr>
        <w:t xml:space="preserve"> </w:t>
      </w:r>
      <w:r>
        <w:rPr>
          <w:lang w:val="en-GB"/>
        </w:rPr>
        <w:t xml:space="preserve">signed SHA-256 by tenant.</w:t>
      </w:r>
    </w:p>
    <w:p>
      <w:pPr>
        <w:pStyle w:val="Compact"/>
        <w:numPr>
          <w:ilvl w:val="0"/>
          <w:numId w:val="1039"/>
        </w:numPr>
      </w:pPr>
      <w:r>
        <w:rPr>
          <w:b/>
          <w:bCs/>
          <w:lang w:val="en-GB"/>
        </w:rPr>
        <w:t xml:space="preserve">Deletion: </w:t>
      </w:r>
      <w:r>
        <w:rPr>
          <w:lang w:val="en-GB"/>
        </w:rPr>
        <w:t xml:space="preserve"/>
      </w:r>
      <w:r>
        <w:rPr>
          <w:lang w:val="en-GB"/>
        </w:rPr>
        <w:t xml:space="preserve">production deleted </w:t>
      </w:r>
      <w:r>
        <w:rPr>
          <w:lang w:val="en-GB"/>
        </w:rPr>
        <w:t xml:space="preserve"/>
      </w:r>
      <w:r>
        <w:rPr>
          <w:b/>
          <w:bCs/>
          <w:lang w:val="en-GB"/>
        </w:rPr>
        <w:t xml:space="preserve">≤ 30 </w:t>
      </w:r>
      <w:r>
        <w:rPr>
          <w:lang w:val="en-GB"/>
        </w:rPr>
        <w:t xml:space="preserve">days; </w:t>
      </w:r>
      <w:r>
        <w:rPr>
          <w:lang w:val="en-GB"/>
        </w:rPr>
        <w:t xml:space="preserve">purged backups </w:t>
      </w:r>
      <w:r>
        <w:rPr>
          <w:lang w:val="en-GB"/>
        </w:rPr>
        <w:t xml:space="preserve"/>
      </w:r>
      <w:r>
        <w:rPr>
          <w:b/>
          <w:bCs/>
          <w:lang w:val="en-GB"/>
        </w:rPr>
        <w:t xml:space="preserve">≤ 90 </w:t>
      </w:r>
      <w:r>
        <w:rPr>
          <w:lang w:val="en-GB"/>
        </w:rPr>
        <w:t xml:space="preserve">days.</w:t>
      </w:r>
    </w:p>
    <w:p>
      <w:pPr>
        <w:pStyle w:val="Compact"/>
        <w:numPr>
          <w:ilvl w:val="0"/>
          <w:numId w:val="1039"/>
        </w:numPr>
      </w:pPr>
      <w:r>
        <w:rPr>
          <w:b/>
          <w:bCs/>
          <w:lang w:val="en-GB"/>
        </w:rPr>
        <w:t xml:space="preserve">Certificate </w:t>
      </w:r>
      <w:r>
        <w:rPr>
          <w:lang w:val="en-GB"/>
        </w:rPr>
        <w:t xml:space="preserve"/>
      </w:r>
      <w:r>
        <w:rPr>
          <w:lang w:val="en-GB"/>
        </w:rPr>
        <w:t xml:space="preserve">of removal or return provided </w:t>
      </w:r>
      <w:r>
        <w:rPr>
          <w:lang w:val="en-GB"/>
        </w:rPr>
        <w:t xml:space="preserve"/>
      </w:r>
      <w:r>
        <w:rPr>
          <w:b/>
          <w:bCs/>
          <w:lang w:val="en-GB"/>
        </w:rPr>
        <w:t xml:space="preserve">≤ 30 days </w:t>
      </w:r>
      <w:r>
        <w:rPr>
          <w:lang w:val="en-GB"/>
        </w:rPr>
        <w:t xml:space="preserve"/>
      </w:r>
      <w:r>
        <w:rPr>
          <w:lang w:val="en-GB"/>
        </w:rPr>
        <w:t xml:space="preserve">after completion.</w:t>
      </w:r>
    </w:p>
    <w:p>
      <w:r>
        <w:pict>
          <v:rect style="width:0;height:1.5pt" o:hralign="center" o:hrstd="t" o:hr="t"/>
        </w:pict>
      </w:r>
    </w:p>
    <w:bookmarkEnd w:id="143"/>
    <w:bookmarkStart w:id="144" w:name="X6001a8d9102cccbb3e345d0a66583a05f743cff"/>
    <w:p>
      <w:pPr>
        <w:pStyle w:val="Heading2"/>
        <w:keepNext/>
        <w:keepLines/>
      </w:pPr>
      <w:r>
        <w:rPr>
          <w:color w:val="000000"/>
          <w:lang w:val="en-GB"/>
        </w:rPr>
        <w:t xml:space="preserve">PROC-04 — Assistance with impact analysis (DPIA)</w:t>
      </w:r>
    </w:p>
    <w:p>
      <w:pPr>
        <w:pStyle w:val="FirstParagraph"/>
      </w:pPr>
      <w:r>
        <w:rPr>
          <w:b/>
          <w:bCs/>
          <w:lang w:val="en-GB"/>
        </w:rPr>
        <w:t xml:space="preserve">Information provided by </w:t>
      </w:r>
      <w:r>
        <w:rPr>
          <w:lang w:val="en-GB"/>
        </w:rPr>
        <w:t xml:space="preserve"/>
      </w:r>
      <w:r>
        <w:rPr>
          <w:lang w:val="en-GB"/>
        </w:rPr>
        <w:t xml:space="preserve">OHADJA: service architecture, technical and organizational measures (MTO), list of subprocessors, flow mapping, guarantees specific to voice correlation.</w:t>
      </w:r>
    </w:p>
    <w:p>
      <w:pPr>
        <w:pStyle w:val="BodyText"/>
      </w:pPr>
      <w:r>
        <w:rPr>
          <w:b/>
          <w:bCs/>
          <w:lang w:val="en-GB"/>
        </w:rPr>
        <w:t xml:space="preserve">Deliverables: </w:t>
      </w:r>
      <w:r>
        <w:rPr>
          <w:lang w:val="en-GB"/>
        </w:rPr>
        <w:t xml:space="preserve"/>
      </w:r>
      <w:r>
        <w:rPr>
          <w:lang w:val="en-GB"/>
        </w:rPr>
        <w:t xml:space="preserve"/>
      </w:r>
      <w:r>
        <w:rPr>
          <w:lang w:val="en-GB"/>
        </w:rPr>
        <w:t xml:space="preserve"/>
      </w:r>
      <w:r>
        <w:rPr>
          <w:b/>
          <w:bCs/>
          <w:lang w:val="en-GB"/>
        </w:rPr>
        <w:t xml:space="preserve">a generic DPIA/DPIA </w:t>
      </w:r>
      <w:r>
        <w:rPr>
          <w:lang w:val="en-GB"/>
        </w:rPr>
        <w:t xml:space="preserve"/>
      </w:r>
      <w:r>
        <w:rPr>
          <w:lang w:val="en-GB"/>
        </w:rPr>
        <w:t xml:space="preserve">is available upon request, for support; DPIA remains the responsibility of the Client (controller). </w:t>
      </w:r>
      <w:r>
        <w:rPr>
          <w:lang w:val="en-GB"/>
        </w:rPr>
        <w:t xml:space="preserve"/>
      </w:r>
      <w:r>
        <w:rPr>
          <w:b/>
          <w:bCs/>
          <w:lang w:val="en-GB"/>
        </w:rPr>
        <w:t xml:space="preserve">A </w:t>
      </w:r>
      <w:r>
        <w:rPr>
          <w:lang w:val="en-GB"/>
        </w:rPr>
        <w:t xml:space="preserve"/>
      </w:r>
      <w:r>
        <w:rPr>
          <w:lang w:val="en-GB"/>
        </w:rPr>
        <w:t xml:space="preserve">support workshop can be organized.</w:t>
      </w:r>
    </w:p>
    <w:p>
      <w:pPr>
        <w:pStyle w:val="BodyText"/>
      </w:pPr>
      <w:r>
        <w:rPr>
          <w:b/>
          <w:bCs/>
          <w:lang w:val="en-GB"/>
        </w:rPr>
        <w:t xml:space="preserve">Case of voice correlation: </w:t>
      </w:r>
      <w:r>
        <w:rPr>
          <w:lang w:val="en-GB"/>
        </w:rPr>
        <w:t xml:space="preserve"/>
      </w:r>
      <w:r>
        <w:rPr>
          <w:lang w:val="en-GB"/>
        </w:rPr>
        <w:t xml:space="preserve"/>
      </w:r>
      <w:r>
        <w:rPr>
          <w:lang w:val="en-GB"/>
        </w:rPr>
        <w:t xml:space="preserve"/>
      </w:r>
      <w:r>
        <w:rPr>
          <w:b/>
          <w:bCs/>
          <w:lang w:val="en-GB"/>
        </w:rPr>
        <w:t xml:space="preserve">mandatory prior DPIA </w:t>
      </w:r>
      <w:r>
        <w:rPr>
          <w:lang w:val="en-GB"/>
        </w:rPr>
        <w:t xml:space="preserve">before </w:t>
      </w:r>
      <w:r>
        <w:rPr>
          <w:lang w:val="en-GB"/>
        </w:rPr>
        <w:t xml:space="preserve">activation (see OHA-RGPD-07).</w:t>
      </w:r>
    </w:p>
    <w:p>
      <w:r>
        <w:pict>
          <v:rect style="width:0;height:1.5pt" o:hralign="center" o:hrstd="t" o:hr="t"/>
        </w:pict>
      </w:r>
    </w:p>
    <w:bookmarkEnd w:id="144"/>
    <w:bookmarkStart w:id="145" w:name="proc-05--assistance-à-laudit"/>
    <w:p>
      <w:pPr>
        <w:pStyle w:val="Heading2"/>
        <w:keepNext/>
        <w:keepLines/>
      </w:pPr>
      <w:r>
        <w:rPr>
          <w:color w:val="000000"/>
          <w:lang w:val="en-GB"/>
        </w:rPr>
        <w:t xml:space="preserve">PROC-05 — Audit assistance</w:t>
      </w:r>
    </w:p>
    <w:p>
      <w:pPr>
        <w:pStyle w:val="Compact"/>
        <w:numPr>
          <w:ilvl w:val="0"/>
          <w:numId w:val="1040"/>
        </w:numPr>
      </w:pPr>
      <w:r>
        <w:rPr>
          <w:lang w:val="en-GB"/>
        </w:rPr>
        <w:t xml:space="preserve">Client's right to audit: </w:t>
      </w:r>
      <w:r>
        <w:rPr>
          <w:lang w:val="en-GB"/>
        </w:rPr>
        <w:t xml:space="preserve">1 </w:t>
      </w:r>
      <w:r>
        <w:rPr>
          <w:b/>
          <w:bCs/>
          <w:lang w:val="en-GB"/>
        </w:rPr>
        <w:t xml:space="preserve">audit per calendar year, </w:t>
      </w:r>
      <w:r>
        <w:rPr>
          <w:lang w:val="en-GB"/>
        </w:rPr>
        <w:t xml:space="preserve">written notice ≥ </w:t>
      </w:r>
      <w:r>
        <w:rPr>
          <w:lang w:val="en-GB"/>
        </w:rPr>
        <w:t xml:space="preserve"/>
      </w:r>
      <w:r>
        <w:rPr>
          <w:b/>
          <w:bCs/>
          <w:lang w:val="en-GB"/>
        </w:rPr>
        <w:t xml:space="preserve">30 days </w:t>
      </w:r>
      <w:r>
        <w:rPr>
          <w:lang w:val="en-GB"/>
        </w:rPr>
        <w:t xml:space="preserve"/>
      </w:r>
      <w:r>
        <w:rPr>
          <w:lang w:val="en-GB"/>
        </w:rPr>
        <w:t xml:space="preserve">(except serious incident or request from an authority).</w:t>
      </w:r>
    </w:p>
    <w:p>
      <w:pPr>
        <w:pStyle w:val="Compact"/>
        <w:numPr>
          <w:ilvl w:val="0"/>
          <w:numId w:val="1040"/>
        </w:numPr>
      </w:pPr>
      <w:r>
        <w:rPr>
          <w:lang w:val="en-GB"/>
        </w:rPr>
        <w:t xml:space="preserve">Carried out during business days/hours, without compromising the security, availability, or confidentiality of other customers' data.</w:t>
      </w:r>
    </w:p>
    <w:p>
      <w:pPr>
        <w:pStyle w:val="Compact"/>
        <w:numPr>
          <w:ilvl w:val="0"/>
          <w:numId w:val="1040"/>
        </w:numPr>
      </w:pPr>
      <w:r>
        <w:rPr>
          <w:lang w:val="en-GB"/>
        </w:rPr>
        <w:t xml:space="preserve">Possible third-party auditor (subject to confidentiality, non-competing).</w:t>
      </w:r>
    </w:p>
    <w:p>
      <w:pPr>
        <w:pStyle w:val="Compact"/>
        <w:numPr>
          <w:ilvl w:val="0"/>
          <w:numId w:val="1040"/>
        </w:numPr>
      </w:pPr>
      <w:r>
        <w:rPr>
          <w:lang w:val="en-GB"/>
        </w:rPr>
        <w:t xml:space="preserve">Scope: compliance with article 28 and the DPA; exclusion of data from other customers, business secrets, unlicensed source code.</w:t>
      </w:r>
    </w:p>
    <w:p>
      <w:pPr>
        <w:pStyle w:val="Compact"/>
        <w:numPr>
          <w:ilvl w:val="0"/>
          <w:numId w:val="1040"/>
        </w:numPr>
      </w:pPr>
      <w:r>
        <w:rPr>
          <w:lang w:val="en-GB"/>
        </w:rPr>
        <w:t xml:space="preserve">In the event of substantial non-compliance: proportionate remediation plan.</w:t>
      </w:r>
    </w:p>
    <w:p>
      <w:r>
        <w:pict>
          <v:rect style="width:0;height:1.5pt" o:hralign="center" o:hrstd="t" o:hr="t"/>
        </w:pict>
      </w:r>
    </w:p>
    <w:bookmarkEnd w:id="145"/>
    <w:bookmarkStart w:id="146" w:name="proc-06--escalade-et-contacts"/>
    <w:p>
      <w:pPr>
        <w:pStyle w:val="Heading2"/>
        <w:keepNext/>
        <w:keepLines/>
      </w:pPr>
      <w:r>
        <w:rPr>
          <w:color w:val="000000"/>
          <w:lang w:val="en-GB"/>
        </w:rPr>
        <w:t xml:space="preserve">PROC-06 — Escalation and contacts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Subject</w:t>
            </w:r>
          </w:p>
        </w:tc>
        <w:tc>
          <w:tcPr/>
          <w:p>
            <w:pPr>
              <w:pStyle w:val="Compact"/>
            </w:pPr>
            <w:r>
              <w:rPr>
                <w:lang w:val="en-GB"/>
              </w:rPr>
              <w:t xml:space="preserve">Contact</w:t>
            </w:r>
          </w:p>
        </w:tc>
        <w:tc>
          <w:tcPr/>
          <w:p>
            <w:pPr>
              <w:pStyle w:val="Compact"/>
            </w:pPr>
            <w:r>
              <w:rPr>
                <w:lang w:val="en-GB"/>
              </w:rPr>
              <w:t xml:space="preserve">Target deadline</w:t>
            </w:r>
          </w:p>
        </w:tc>
      </w:tr>
      <w:tr>
        <w:trPr>
          <w:cantSplit/>
        </w:trPr>
        <w:tc>
          <w:tcPr/>
          <w:p>
            <w:pPr>
              <w:pStyle w:val="Compact"/>
            </w:pPr>
            <w:r>
              <w:rPr>
                <w:lang w:val="en-GB"/>
              </w:rPr>
              <w:t xml:space="preserve">Exercise of rights</w:t>
            </w:r>
          </w:p>
        </w:tc>
        <w:tc>
          <w:tcPr/>
          <w:p>
            <w:pPr>
              <w:pStyle w:val="Compact"/>
            </w:pPr>
            <w:hyperlink r:id="rId9">
              <w:r>
                <w:rPr>
                  <w:rStyle w:val="Hyperlink"/>
                  <w:lang w:val="en-GB"/>
                </w:rPr>
                <w:t xml:space="preserve">privacy@transcribia.eu</w:t>
              </w:r>
            </w:hyperlink>
          </w:p>
        </w:tc>
        <w:tc>
          <w:tcPr/>
          <w:p>
            <w:pPr>
              <w:pStyle w:val="Compact"/>
            </w:pPr>
            <w:r>
              <w:rPr>
                <w:lang w:val="en-GB"/>
              </w:rPr>
              <w:t xml:space="preserve">Assistance ≤ 7 working days</w:t>
            </w:r>
          </w:p>
        </w:tc>
      </w:tr>
      <w:tr>
        <w:trPr>
          <w:cantSplit/>
        </w:trPr>
        <w:tc>
          <w:tcPr/>
          <w:p>
            <w:pPr>
              <w:pStyle w:val="Compact"/>
            </w:pPr>
            <w:r>
              <w:rPr>
                <w:lang w:val="en-GB"/>
              </w:rPr>
              <w:t xml:space="preserve">Data breach</w:t>
            </w:r>
          </w:p>
        </w:tc>
        <w:tc>
          <w:tcPr/>
          <w:p>
            <w:pPr>
              <w:pStyle w:val="Compact"/>
            </w:pPr>
            <w:hyperlink r:id="rId9">
              <w:r>
                <w:rPr>
                  <w:rStyle w:val="Hyperlink"/>
                  <w:lang w:val="en-GB"/>
                </w:rPr>
                <w:t xml:space="preserve">privacy@transcribia.eu</w:t>
              </w:r>
            </w:hyperlink>
          </w:p>
        </w:tc>
        <w:tc>
          <w:tcPr/>
          <w:p>
            <w:pPr>
              <w:pStyle w:val="Compact"/>
            </w:pPr>
            <w:r>
              <w:rPr>
                <w:lang w:val="en-GB"/>
              </w:rPr>
              <w:t xml:space="preserve">Notification without undue delay after awareness, including outside working days</w:t>
            </w:r>
          </w:p>
        </w:tc>
      </w:tr>
      <w:tr>
        <w:trPr>
          <w:cantSplit/>
        </w:trPr>
        <w:tc>
          <w:tcPr/>
          <w:p>
            <w:pPr>
              <w:pStyle w:val="Compact"/>
            </w:pPr>
            <w:r>
              <w:rPr>
                <w:lang w:val="en-GB"/>
              </w:rPr>
              <w:t xml:space="preserve">Restitution / deletion</w:t>
            </w:r>
          </w:p>
        </w:tc>
        <w:tc>
          <w:tcPr/>
          <w:p>
            <w:pPr>
              <w:pStyle w:val="Compact"/>
            </w:pPr>
            <w:hyperlink r:id="rId9">
              <w:r>
                <w:rPr>
                  <w:rStyle w:val="Hyperlink"/>
                  <w:lang w:val="en-GB"/>
                </w:rPr>
                <w:t xml:space="preserve">privacy@transcribia.eu</w:t>
              </w:r>
            </w:hyperlink>
          </w:p>
        </w:tc>
        <w:tc>
          <w:tcPr/>
          <w:p>
            <w:pPr>
              <w:pStyle w:val="Compact"/>
            </w:pPr>
            <w:r>
              <w:rPr>
                <w:lang w:val="en-GB"/>
              </w:rPr>
              <w:t xml:space="preserve">Deletion ≤ 30 days / certificate ≤ 30 days</w:t>
            </w:r>
          </w:p>
        </w:tc>
      </w:tr>
      <w:tr>
        <w:trPr>
          <w:cantSplit/>
        </w:trPr>
        <w:tc>
          <w:tcPr/>
          <w:p>
            <w:pPr>
              <w:pStyle w:val="Compact"/>
            </w:pPr>
            <w:r>
              <w:rPr>
                <w:lang w:val="en-GB"/>
              </w:rPr>
              <w:t xml:space="preserve">DPIA / documentation</w:t>
            </w:r>
          </w:p>
        </w:tc>
        <w:tc>
          <w:tcPr/>
          <w:p>
            <w:pPr>
              <w:pStyle w:val="Compact"/>
            </w:pPr>
            <w:hyperlink r:id="rId9">
              <w:r>
                <w:rPr>
                  <w:rStyle w:val="Hyperlink"/>
                  <w:lang w:val="en-GB"/>
                </w:rPr>
                <w:t xml:space="preserve">privacy@transcribia.eu</w:t>
              </w:r>
            </w:hyperlink>
          </w:p>
        </w:tc>
        <w:tc>
          <w:tcPr/>
          <w:p>
            <w:pPr>
              <w:pStyle w:val="Compact"/>
            </w:pPr>
            <w:r>
              <w:rPr>
                <w:lang w:val="en-GB"/>
              </w:rPr>
              <w:t xml:space="preserve">On request</w:t>
            </w:r>
          </w:p>
        </w:tc>
      </w:tr>
      <w:tr>
        <w:trPr>
          <w:cantSplit/>
        </w:trPr>
        <w:tc>
          <w:tcPr/>
          <w:p>
            <w:pPr>
              <w:pStyle w:val="Compact"/>
            </w:pPr>
            <w:r>
              <w:rPr>
                <w:lang w:val="en-GB"/>
              </w:rPr>
              <w:t xml:space="preserve">Audit</w:t>
            </w:r>
          </w:p>
        </w:tc>
        <w:tc>
          <w:tcPr/>
          <w:p>
            <w:pPr>
              <w:pStyle w:val="Compact"/>
            </w:pPr>
            <w:hyperlink r:id="rId9">
              <w:r>
                <w:rPr>
                  <w:rStyle w:val="Hyperlink"/>
                  <w:lang w:val="en-GB"/>
                </w:rPr>
                <w:t xml:space="preserve">privacy@transcribia.eu</w:t>
              </w:r>
            </w:hyperlink>
          </w:p>
        </w:tc>
        <w:tc>
          <w:tcPr/>
          <w:p>
            <w:pPr>
              <w:pStyle w:val="Compact"/>
            </w:pPr>
            <w:r>
              <w:rPr>
                <w:lang w:val="en-GB"/>
              </w:rPr>
              <w:t xml:space="preserve">Notice ≥ 30 days</w:t>
            </w:r>
          </w:p>
        </w:tc>
      </w:tr>
    </w:tbl>
    <w:p>
      <w:pPr>
        <w:pStyle w:val="BlockText"/>
      </w:pPr>
      <w:r>
        <w:rPr>
          <w:lang w:val="en-GB"/>
        </w:rPr>
        <w:t xml:space="preserve">The contact details of the Client-side contact person (contact person, DPO) must be completed by the Client — see OHA-RGPD-09.</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146"/>
    <w:bookmarkEnd w:id="147"/>
    <w:bookmarkStart w:id="152" w:name="Xd09627a6906f0cfd013e0f21fecf00b43a25682"/>
    <w:p>
      <w:pPr>
        <w:pStyle w:val="Heading1"/>
        <w:keepNext/>
        <w:keepLines/>
      </w:pPr>
      <w:r>
        <w:rPr>
          <w:color w:val="000000"/>
          <w:lang w:val="en-GB"/>
        </w:rPr>
        <w:t xml:space="preserve">Data protection contact and coordinator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OHA-RGPD-09</w:t>
            </w:r>
          </w:p>
        </w:tc>
      </w:tr>
      <w:tr>
        <w:trPr>
          <w:cantSplit/>
        </w:trPr>
        <w:tc>
          <w:tcPr/>
          <w:p>
            <w:pPr>
              <w:pStyle w:val="Compact"/>
            </w:pPr>
            <w:r>
              <w:rPr>
                <w:lang w:val="en-GB"/>
              </w:rPr>
              <w:t xml:space="preserve">Purpose</w:t>
            </w:r>
          </w:p>
        </w:tc>
        <w:tc>
          <w:tcPr/>
          <w:p>
            <w:pPr>
              <w:pStyle w:val="Compact"/>
            </w:pPr>
            <w:r>
              <w:rPr>
                <w:lang w:val="en-GB"/>
              </w:rPr>
              <w:t xml:space="preserve">OHADJA data protection coordinator and contacts</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Recipient</w:t>
            </w:r>
          </w:p>
        </w:tc>
        <w:tc>
          <w:tcPr/>
          <w:p>
            <w:pPr>
              <w:pStyle w:val="Compact"/>
            </w:pPr>
            <w:r>
              <w:rPr>
                <w:lang w:val="en-GB"/>
              </w:rPr>
              <w:t xml:space="preserve">Client organization (standard document)</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bookmarkStart w:id="148" w:name="Xd7a3ca93746dcf1d0f8d53c63f17d63b80b17bf"/>
    <w:p>
      <w:pPr>
        <w:pStyle w:val="Heading2"/>
        <w:keepNext/>
        <w:keepLines/>
      </w:pPr>
      <w:r>
        <w:rPr>
          <w:color w:val="000000"/>
          <w:lang w:val="en-GB"/>
        </w:rPr>
        <w:t xml:space="preserve">1. Absence of DPO within the meaning of Article 37</w:t>
      </w:r>
    </w:p>
    <w:p>
      <w:pPr>
        <w:pStyle w:val="FirstParagraph"/>
      </w:pPr>
      <w:r>
        <w:rPr>
          <w:lang w:val="en-GB"/>
        </w:rPr>
        <w:t xml:space="preserve">OHADJA has not appointed a data protection officer (DPO) as at the </w:t>
      </w:r>
      <w:r>
        <w:rPr>
          <w:lang w:val="en-GB"/>
        </w:rPr>
        <w:t xml:space="preserve">date </w:t>
      </w:r>
      <w:r>
        <w:rPr>
          <w:b/>
          <w:bCs/>
          <w:lang w:val="en-GB"/>
        </w:rPr>
        <w:t xml:space="preserve">of this document. The need for appointment must </w:t>
      </w:r>
      <w:r>
        <w:rPr>
          <w:lang w:val="en-GB"/>
        </w:rPr>
        <w:t xml:space="preserve">be </w:t>
      </w:r>
      <w:r>
        <w:rPr>
          <w:lang w:val="en-GB"/>
        </w:rPr>
        <w:t xml:space="preserve">assessed and documented under Article 37, including for processing carried out as a processor: the nature of core activities, large-scale regular and systematic monitoring, </w:t>
      </w:r>
      <w:r>
        <w:rPr>
          <w:lang w:val="en-GB"/>
        </w:rPr>
        <w:t xml:space="preserve"/>
      </w:r>
      <w:r>
        <w:rPr>
          <w:b/>
          <w:bCs/>
          <w:lang w:val="en-GB"/>
        </w:rPr>
        <w:t xml:space="preserve">and large-scale processing of special </w:t>
      </w:r>
      <w:r>
        <w:rPr>
          <w:lang w:val="en-GB"/>
        </w:rPr>
        <w:t xml:space="preserve"/>
      </w:r>
      <w:r>
        <w:rPr>
          <w:lang w:val="en-GB"/>
        </w:rPr>
        <w:t xml:space="preserve">categories or criminal-offence data. Merely acting on customers' behalf does not constitute </w:t>
      </w:r>
      <w:r>
        <w:rPr>
          <w:lang w:val="en-GB"/>
        </w:rPr>
        <w:t xml:space="preserve"/>
      </w:r>
      <w:r>
        <w:rPr>
          <w:b/>
          <w:bCs/>
          <w:lang w:val="en-GB"/>
        </w:rPr>
        <w:t xml:space="preserve">an exemption. The assessment </w:t>
      </w:r>
      <w:r>
        <w:rPr>
          <w:lang w:val="en-GB"/>
        </w:rPr>
        <w:t xml:space="preserve"/>
      </w:r>
      <w:r>
        <w:rPr>
          <w:lang w:val="en-GB"/>
        </w:rPr>
        <w:t xml:space="preserve">and, where </w:t>
      </w:r>
      <w:r>
        <w:rPr>
          <w:lang w:val="en-GB"/>
        </w:rPr>
        <w:t xml:space="preserve"/>
      </w:r>
      <w:r>
        <w:rPr>
          <w:b/>
          <w:bCs/>
          <w:lang w:val="en-GB"/>
        </w:rPr>
        <w:t xml:space="preserve">necessary, </w:t>
      </w:r>
      <w:r>
        <w:rPr>
          <w:lang w:val="en-GB"/>
        </w:rPr>
        <w:t xml:space="preserve"/>
      </w:r>
      <w:r>
        <w:rPr>
          <w:lang w:val="en-GB"/>
        </w:rPr>
        <w:t xml:space="preserve">appointment must be updated when the scope changes.</w:t>
      </w:r>
    </w:p>
    <w:bookmarkEnd w:id="148"/>
    <w:bookmarkStart w:id="149" w:name="Xd48118d6a794f15c0faa6b011a9f0f3df2cd5dc"/>
    <w:p>
      <w:pPr>
        <w:pStyle w:val="Heading2"/>
        <w:keepNext/>
        <w:keepLines/>
      </w:pPr>
      <w:r>
        <w:rPr>
          <w:color w:val="000000"/>
          <w:lang w:val="en-GB"/>
        </w:rPr>
        <w:t xml:space="preserve">2. Data protection coordinator</w:t>
      </w:r>
    </w:p>
    <w:p>
      <w:pPr>
        <w:pStyle w:val="FirstParagraph"/>
      </w:pPr>
      <w:r>
        <w:rPr>
          <w:lang w:val="en-GB"/>
        </w:rPr>
        <w:t xml:space="preserve">In the absence of an obligation to appoint a DPO, OHADJA </w:t>
      </w:r>
      <w:r>
        <w:rPr>
          <w:lang w:val="en-GB"/>
        </w:rPr>
        <w:t xml:space="preserve"/>
      </w:r>
      <w:r>
        <w:rPr>
          <w:b/>
          <w:bCs/>
          <w:lang w:val="en-GB"/>
        </w:rPr>
        <w:t xml:space="preserve">has designated a data protection </w:t>
      </w:r>
      <w:r>
        <w:rPr>
          <w:lang w:val="en-GB"/>
        </w:rPr>
        <w:t xml:space="preserve">coordinator as the single contact for all compliance matters: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Name</w:t>
            </w:r>
          </w:p>
        </w:tc>
        <w:tc>
          <w:tcPr/>
          <w:p>
            <w:pPr>
              <w:pStyle w:val="Compact"/>
            </w:pPr>
            <w:r>
              <w:rPr>
                <w:lang w:val="en-GB"/>
              </w:rPr>
              <w:t xml:space="preserve">Olivier Dupont</w:t>
            </w:r>
          </w:p>
        </w:tc>
      </w:tr>
      <w:tr>
        <w:trPr>
          <w:cantSplit/>
        </w:trPr>
        <w:tc>
          <w:tcPr/>
          <w:p>
            <w:pPr>
              <w:pStyle w:val="Compact"/>
            </w:pPr>
            <w:r>
              <w:rPr>
                <w:lang w:val="en-GB"/>
              </w:rPr>
              <w:t xml:space="preserve">Function</w:t>
            </w:r>
          </w:p>
        </w:tc>
        <w:tc>
          <w:tcPr/>
          <w:p>
            <w:pPr>
              <w:pStyle w:val="Compact"/>
            </w:pPr>
            <w:r>
              <w:rPr>
                <w:lang w:val="en-GB"/>
              </w:rPr>
              <w:t xml:space="preserve">CTO, co-founder of OHADJA</w:t>
            </w:r>
          </w:p>
        </w:tc>
      </w:tr>
      <w:tr>
        <w:trPr>
          <w:cantSplit/>
        </w:trPr>
        <w:tc>
          <w:tcPr/>
          <w:p>
            <w:pPr>
              <w:pStyle w:val="Compact"/>
            </w:pPr>
            <w:r>
              <w:rPr>
                <w:lang w:val="en-GB"/>
              </w:rPr>
              <w:t xml:space="preserve">Positioning</w:t>
            </w:r>
          </w:p>
        </w:tc>
        <w:tc>
          <w:tcPr/>
          <w:p>
            <w:pPr>
              <w:pStyle w:val="Compact"/>
            </w:pPr>
            <w:r>
              <w:rPr>
                <w:lang w:val="en-GB"/>
              </w:rPr>
              <w:t xml:space="preserve">Technical management — decision-maker</w:t>
            </w:r>
          </w:p>
        </w:tc>
      </w:tr>
      <w:tr>
        <w:trPr>
          <w:cantSplit/>
        </w:trPr>
        <w:tc>
          <w:tcPr/>
          <w:p>
            <w:pPr>
              <w:pStyle w:val="Compact"/>
            </w:pPr>
            <w:r>
              <w:rPr>
                <w:lang w:val="en-GB"/>
              </w:rPr>
              <w:t xml:space="preserve">Address</w:t>
            </w:r>
          </w:p>
        </w:tc>
        <w:tc>
          <w:tcPr/>
          <w:p>
            <w:pPr>
              <w:pStyle w:val="Compact"/>
            </w:pPr>
            <w:hyperlink r:id="rId9">
              <w:r>
                <w:rPr>
                  <w:rStyle w:val="Hyperlink"/>
                  <w:lang w:val="en-GB"/>
                </w:rPr>
                <w:t xml:space="preserve">privacy@transcribia.eu</w:t>
              </w:r>
            </w:hyperlink>
          </w:p>
        </w:tc>
      </w:tr>
    </w:tbl>
    <w:p>
      <w:pPr>
        <w:pStyle w:val="BodyText"/>
      </w:pPr>
      <w:r>
        <w:rPr>
          <w:b/>
          <w:bCs/>
          <w:lang w:val="en-GB"/>
        </w:rPr>
        <w:t xml:space="preserve">Missions of the referent:</w:t>
      </w:r>
    </w:p>
    <w:p>
      <w:pPr>
        <w:pStyle w:val="Compact"/>
        <w:numPr>
          <w:ilvl w:val="0"/>
          <w:numId w:val="1041"/>
        </w:numPr>
      </w:pPr>
      <w:r>
        <w:rPr>
          <w:lang w:val="en-GB"/>
        </w:rPr>
        <w:t xml:space="preserve">single point of contact for the Client on subjects GDPR;</w:t>
      </w:r>
    </w:p>
    <w:p>
      <w:pPr>
        <w:pStyle w:val="Compact"/>
        <w:numPr>
          <w:ilvl w:val="0"/>
          <w:numId w:val="1041"/>
        </w:numPr>
      </w:pPr>
      <w:r>
        <w:rPr>
          <w:lang w:val="en-GB"/>
        </w:rPr>
        <w:t xml:space="preserve">processing of requests for assistance (individual rights, DPIA, audit);</w:t>
      </w:r>
    </w:p>
    <w:p>
      <w:pPr>
        <w:pStyle w:val="Compact"/>
        <w:numPr>
          <w:ilvl w:val="0"/>
          <w:numId w:val="1041"/>
        </w:numPr>
      </w:pPr>
      <w:r>
        <w:rPr>
          <w:lang w:val="en-GB"/>
        </w:rPr>
        <w:t xml:space="preserve">handling data breach notifications;</w:t>
      </w:r>
    </w:p>
    <w:p>
      <w:pPr>
        <w:pStyle w:val="Compact"/>
        <w:numPr>
          <w:ilvl w:val="0"/>
          <w:numId w:val="1041"/>
        </w:numPr>
      </w:pPr>
      <w:r>
        <w:rPr>
          <w:lang w:val="en-GB"/>
        </w:rPr>
        <w:t xml:space="preserve">monitoring of subprocessors and changes to the list;</w:t>
      </w:r>
    </w:p>
    <w:p>
      <w:pPr>
        <w:pStyle w:val="Compact"/>
        <w:numPr>
          <w:ilvl w:val="0"/>
          <w:numId w:val="1041"/>
        </w:numPr>
      </w:pPr>
      <w:r>
        <w:rPr>
          <w:lang w:val="en-GB"/>
        </w:rPr>
        <w:t xml:space="preserve">management of security and data protection commitments.</w:t>
      </w:r>
    </w:p>
    <w:p>
      <w:pPr>
        <w:pStyle w:val="BlockText"/>
      </w:pPr>
      <w:r>
        <w:rPr>
          <w:lang w:val="en-GB"/>
        </w:rPr>
        <w:t xml:space="preserve">Reminder: </w:t>
      </w:r>
      <w:r>
        <w:rPr>
          <w:lang w:val="en-GB"/>
        </w:rPr>
        <w:t xml:space="preserve"/>
      </w:r>
      <w:r>
        <w:rPr>
          <w:b/>
          <w:bCs/>
          <w:lang w:val="en-GB"/>
        </w:rPr>
        <w:t xml:space="preserve">AMBASSADIA </w:t>
      </w:r>
      <w:r>
        <w:rPr>
          <w:lang w:val="en-GB"/>
        </w:rPr>
        <w:t xml:space="preserve"/>
      </w:r>
      <w:r>
        <w:rPr>
          <w:lang w:val="en-GB"/>
        </w:rPr>
        <w:t xml:space="preserve">SARL only acts as a </w:t>
      </w:r>
      <w:r>
        <w:rPr>
          <w:lang w:val="en-GB"/>
        </w:rPr>
        <w:t xml:space="preserve"/>
      </w:r>
      <w:r>
        <w:rPr>
          <w:b/>
          <w:bCs/>
          <w:lang w:val="en-GB"/>
        </w:rPr>
        <w:t xml:space="preserve">commercial reseller/distributor </w:t>
      </w:r>
      <w:r>
        <w:rPr>
          <w:lang w:val="en-GB"/>
        </w:rPr>
        <w:t xml:space="preserve"/>
      </w:r>
      <w:r>
        <w:rPr>
          <w:lang w:val="en-GB"/>
        </w:rPr>
        <w:t xml:space="preserve">(Monaco and France) and has no role in processing production data (see OHA-RGPD-01). The data protection contact is that of OHADJA above.</w:t>
      </w:r>
    </w:p>
    <w:bookmarkEnd w:id="149"/>
    <w:bookmarkStart w:id="150" w:name="Xd27d2de919086e13e632c8f876706769bd7cd44"/>
    <w:p>
      <w:pPr>
        <w:pStyle w:val="Heading2"/>
        <w:keepNext/>
        <w:keepLines/>
      </w:pPr>
      <w:r>
        <w:rPr>
          <w:color w:val="000000"/>
          <w:lang w:val="en-GB"/>
        </w:rPr>
        <w:t xml:space="preserve">3. Commitment to development</w:t>
      </w:r>
    </w:p>
    <w:p>
      <w:pPr>
        <w:pStyle w:val="FirstParagraph"/>
      </w:pPr>
      <w:r>
        <w:rPr>
          <w:lang w:val="en-GB"/>
        </w:rPr>
        <w:t xml:space="preserve">OHADJA undertakes </w:t>
      </w:r>
      <w:r>
        <w:rPr>
          <w:lang w:val="en-GB"/>
        </w:rPr>
        <w:t xml:space="preserve"/>
      </w:r>
      <w:r>
        <w:rPr>
          <w:b/>
          <w:bCs/>
          <w:lang w:val="en-GB"/>
        </w:rPr>
        <w:t xml:space="preserve">to appoint an external </w:t>
      </w:r>
      <w:r>
        <w:rPr>
          <w:lang w:val="en-GB"/>
        </w:rPr>
        <w:t xml:space="preserve"/>
      </w:r>
      <w:r>
        <w:rPr>
          <w:lang w:val="en-GB"/>
        </w:rPr>
        <w:t xml:space="preserve">DPO if the evolution of its activity creates the obligation or opportunity (growth in volume, nature of processing). Decision </w:t>
      </w:r>
      <w:r>
        <w:rPr>
          <w:lang w:val="en-GB"/>
        </w:rPr>
        <w:t xml:space="preserve"/>
      </w:r>
      <w:r>
        <w:rPr>
          <w:b/>
          <w:bCs/>
          <w:lang w:val="en-GB"/>
        </w:rPr>
        <w:t xml:space="preserve">[TO BE CONFIRMED]. The </w:t>
      </w:r>
      <w:r>
        <w:rPr>
          <w:lang w:val="en-GB"/>
        </w:rPr>
        <w:t xml:space="preserve"/>
      </w:r>
      <w:r>
        <w:rPr>
          <w:lang w:val="en-GB"/>
        </w:rPr>
        <w:t xml:space="preserve">Customer would be informed.</w:t>
      </w:r>
    </w:p>
    <w:bookmarkEnd w:id="150"/>
    <w:bookmarkStart w:id="151" w:name="X287af0f67808bd24f67c60b7531ef259dcc71bf"/>
    <w:p>
      <w:pPr>
        <w:pStyle w:val="Heading2"/>
        <w:keepNext/>
        <w:keepLines/>
      </w:pPr>
      <w:r>
        <w:rPr>
          <w:color w:val="000000"/>
          <w:lang w:val="en-GB"/>
        </w:rPr>
        <w:t xml:space="preserve">4. Customer-side contacts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Controller</w:t>
            </w:r>
          </w:p>
        </w:tc>
        <w:tc>
          <w:tcPr/>
          <w:p>
            <w:pPr>
              <w:pStyle w:val="Compact"/>
            </w:pPr>
            <w:r>
              <w:rPr>
                <w:lang w:val="en-GB"/>
              </w:rPr>
              <w:t xml:space="preserve">the Customer</w:t>
            </w:r>
          </w:p>
        </w:tc>
      </w:tr>
      <w:tr>
        <w:trPr>
          <w:cantSplit/>
        </w:trPr>
        <w:tc>
          <w:tcPr/>
          <w:p>
            <w:pPr>
              <w:pStyle w:val="Compact"/>
            </w:pPr>
            <w:r>
              <w:rPr>
                <w:lang w:val="en-GB"/>
              </w:rPr>
              <w:t xml:space="preserve">Representative</w:t>
            </w:r>
          </w:p>
        </w:tc>
        <w:tc>
          <w:tcPr/>
          <w:p>
            <w:pPr>
              <w:pStyle w:val="Compact"/>
            </w:pPr>
            <w:r>
              <w:rPr>
                <w:lang w:val="en-GB"/>
              </w:rPr>
              <w:t xml:space="preserve">[TO BE COMPLETED by the customer]</w:t>
            </w:r>
          </w:p>
        </w:tc>
      </w:tr>
      <w:tr>
        <w:trPr>
          <w:cantSplit/>
        </w:trPr>
        <w:tc>
          <w:tcPr/>
          <w:p>
            <w:pPr>
              <w:pStyle w:val="Compact"/>
            </w:pPr>
            <w:r>
              <w:rPr>
                <w:lang w:val="en-GB"/>
              </w:rPr>
              <w:t xml:space="preserve">Data Protection Officer (DPO)</w:t>
            </w:r>
          </w:p>
        </w:tc>
        <w:tc>
          <w:tcPr/>
          <w:p>
            <w:pPr>
              <w:pStyle w:val="Compact"/>
            </w:pPr>
            <w:r>
              <w:rPr>
                <w:lang w:val="en-GB"/>
              </w:rPr>
              <w:t xml:space="preserve">[TO BE COMPLETED by the customer: name, email]</w:t>
            </w:r>
          </w:p>
        </w:tc>
      </w:tr>
      <w:tr>
        <w:trPr>
          <w:cantSplit/>
        </w:trPr>
        <w:tc>
          <w:tcPr/>
          <w:p>
            <w:pPr>
              <w:pStyle w:val="Compact"/>
            </w:pPr>
            <w:r>
              <w:rPr>
                <w:lang w:val="en-GB"/>
              </w:rPr>
              <w:t xml:space="preserve">Referral business service</w:t>
            </w:r>
          </w:p>
        </w:tc>
        <w:tc>
          <w:tcPr/>
          <w:p>
            <w:pPr>
              <w:pStyle w:val="Compact"/>
            </w:pPr>
            <w:r>
              <w:rPr>
                <w:lang w:val="en-GB"/>
              </w:rPr>
              <w:t xml:space="preserve">[TO BE COMPLETED by the customer]</w:t>
            </w:r>
          </w:p>
        </w:tc>
      </w:tr>
    </w:tbl>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p>
      <w:r>
        <w:br w:type="page"/>
      </w:r>
    </w:p>
    <w:bookmarkEnd w:id="151"/>
    <w:bookmarkEnd w:id="152"/>
    <w:bookmarkStart w:id="161" w:name="Xa0817e5cfd9d4fab3462efccc36c0418bca3f2a"/>
    <w:p>
      <w:pPr>
        <w:pStyle w:val="Heading1"/>
        <w:keepNext/>
        <w:keepLines/>
      </w:pPr>
      <w:r>
        <w:rPr>
          <w:color w:val="000000"/>
          <w:lang w:val="en-GB"/>
        </w:rPr>
        <w:t xml:space="preserve">TranscribIA — Status of certifications and compliance approach</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n-GB"/>
              </w:rPr>
              <w:t xml:space="preserve">Reference</w:t>
            </w:r>
          </w:p>
        </w:tc>
        <w:tc>
          <w:tcPr/>
          <w:p>
            <w:pPr>
              <w:pStyle w:val="Compact"/>
            </w:pPr>
            <w:r>
              <w:rPr>
                <w:lang w:val="en-GB"/>
              </w:rPr>
              <w:t xml:space="preserve">CERT-TRANSCRIBIA-2026-01</w:t>
            </w:r>
          </w:p>
        </w:tc>
      </w:tr>
      <w:tr>
        <w:trPr>
          <w:cantSplit/>
        </w:trPr>
        <w:tc>
          <w:tcPr/>
          <w:p>
            <w:pPr>
              <w:pStyle w:val="Compact"/>
            </w:pPr>
            <w:r>
              <w:rPr>
                <w:b/>
                <w:bCs/>
                <w:lang w:val="en-GB"/>
              </w:rPr>
              <w:t xml:space="preserve">Version</w:t>
            </w:r>
          </w:p>
        </w:tc>
        <w:tc>
          <w:tcPr/>
          <w:p>
            <w:pPr>
              <w:pStyle w:val="Compact"/>
            </w:pPr>
            <w:r>
              <w:rPr>
                <w:lang w:val="en-GB"/>
              </w:rPr>
              <w:t xml:space="preserve">1.0</w:t>
            </w:r>
          </w:p>
        </w:tc>
      </w:tr>
      <w:tr>
        <w:trPr>
          <w:cantSplit/>
        </w:trPr>
        <w:tc>
          <w:tcPr/>
          <w:p>
            <w:pPr>
              <w:pStyle w:val="Compact"/>
            </w:pPr>
            <w:r>
              <w:rPr>
                <w:b/>
                <w:bCs/>
                <w:lang w:val="en-GB"/>
              </w:rPr>
              <w:t xml:space="preserve">Date</w:t>
            </w:r>
          </w:p>
        </w:tc>
        <w:tc>
          <w:tcPr/>
          <w:p>
            <w:pPr>
              <w:pStyle w:val="Compact"/>
            </w:pPr>
            <w:r>
              <w:rPr>
                <w:lang w:val="en-GB"/>
              </w:rPr>
              <w:t xml:space="preserve">2026-07-24</w:t>
            </w:r>
          </w:p>
        </w:tc>
      </w:tr>
      <w:tr>
        <w:trPr>
          <w:cantSplit/>
        </w:trPr>
        <w:tc>
          <w:tcPr/>
          <w:p>
            <w:pPr>
              <w:pStyle w:val="Compact"/>
            </w:pPr>
            <w:r>
              <w:rPr>
                <w:b/>
                <w:bCs/>
                <w:lang w:val="en-GB"/>
              </w:rPr>
              <w:t xml:space="preserve">Editor</w:t>
            </w:r>
          </w:p>
        </w:tc>
        <w:tc>
          <w:tcPr/>
          <w:p>
            <w:pPr>
              <w:pStyle w:val="Compact"/>
            </w:pPr>
            <w:r>
              <w:rPr>
                <w:lang w:val="en-GB"/>
              </w:rPr>
              <w:t xml:space="preserve">OHADJA</w:t>
            </w:r>
          </w:p>
        </w:tc>
      </w:tr>
      <w:tr>
        <w:trPr>
          <w:cantSplit/>
        </w:trPr>
        <w:tc>
          <w:tcPr/>
          <w:p>
            <w:pPr>
              <w:pStyle w:val="Compact"/>
            </w:pPr>
            <w:r>
              <w:rPr>
                <w:b/>
                <w:bCs/>
                <w:lang w:val="en-GB"/>
              </w:rPr>
              <w:t xml:space="preserve">Classification</w:t>
            </w:r>
          </w:p>
        </w:tc>
        <w:tc>
          <w:tcPr/>
          <w:p>
            <w:pPr>
              <w:pStyle w:val="Compact"/>
            </w:pPr>
            <w:r>
              <w:rPr>
                <w:lang w:val="en-GB"/>
              </w:rPr>
              <w:t xml:space="preserve">Public</w:t>
            </w:r>
          </w:p>
        </w:tc>
      </w:tr>
    </w:tbl>
    <w:p>
      <w:r>
        <w:pict>
          <v:rect style="width:0;height:1.5pt" o:hralign="center" o:hrstd="t" o:hr="t"/>
        </w:pict>
      </w:r>
    </w:p>
    <w:bookmarkStart w:id="153" w:name="avertissement-liminaire"/>
    <w:p>
      <w:pPr>
        <w:pStyle w:val="Heading2"/>
        <w:keepNext/>
        <w:keepLines/>
      </w:pPr>
      <w:r>
        <w:rPr>
          <w:color w:val="000000"/>
          <w:lang w:val="en-GB"/>
        </w:rPr>
        <w:t xml:space="preserve">Preliminary warning</w:t>
      </w:r>
    </w:p>
    <w:p>
      <w:pPr>
        <w:pStyle w:val="FirstParagraph"/>
      </w:pPr>
      <w:r>
        <w:rPr>
          <w:lang w:val="en-GB"/>
        </w:rPr>
        <w:t xml:space="preserve">This document honestly </w:t>
      </w:r>
      <w:r>
        <w:rPr>
          <w:lang w:val="en-GB"/>
        </w:rPr>
        <w:t xml:space="preserve"/>
      </w:r>
      <w:r>
        <w:rPr>
          <w:b/>
          <w:bCs/>
          <w:lang w:val="en-GB"/>
        </w:rPr>
        <w:t xml:space="preserve">describes </w:t>
      </w:r>
      <w:r>
        <w:rPr>
          <w:lang w:val="en-GB"/>
        </w:rPr>
        <w:t xml:space="preserve">the </w:t>
      </w:r>
      <w:r>
        <w:rPr>
          <w:lang w:val="en-GB"/>
        </w:rPr>
        <w:t xml:space="preserve">status of the certification and compliance work of OHADJA, publisher of TranscribIA, as of 2026-07-24.</w:t>
      </w:r>
    </w:p>
    <w:p>
      <w:pPr>
        <w:pStyle w:val="BodyText"/>
      </w:pPr>
      <w:r>
        <w:rPr>
          <w:b/>
          <w:bCs/>
          <w:lang w:val="en-GB"/>
        </w:rPr>
        <w:t xml:space="preserve">No certification has been obtained to </w:t>
      </w:r>
      <w:r>
        <w:rPr>
          <w:lang w:val="en-GB"/>
        </w:rPr>
        <w:t xml:space="preserve">date. </w:t>
      </w:r>
      <w:r>
        <w:rPr>
          <w:lang w:val="en-GB"/>
        </w:rPr>
        <w:t xml:space="preserve">Current processes are presented as such, without anticipating their outcome. Nothing contained in this document should be construed as an assertion of acquired certification.</w:t>
      </w:r>
    </w:p>
    <w:p>
      <w:r>
        <w:pict>
          <v:rect style="width:0;height:1.5pt" o:hralign="center" o:hrstd="t" o:hr="t"/>
        </w:pict>
      </w:r>
    </w:p>
    <w:bookmarkEnd w:id="153"/>
    <w:bookmarkStart w:id="154" w:name="Xa679f6b55037bda2ffd42c65cf46be439bdcc24"/>
    <w:p>
      <w:pPr>
        <w:pStyle w:val="Heading2"/>
        <w:keepNext/>
        <w:keepLines/>
      </w:pPr>
      <w:r>
        <w:rPr>
          <w:color w:val="000000"/>
          <w:lang w:val="en-GB"/>
        </w:rPr>
        <w:t xml:space="preserve">1. Certification status table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Repository</w:t>
            </w:r>
          </w:p>
        </w:tc>
        <w:tc>
          <w:tcPr>
            <w:tcW w:type="dxa" w:w="2340"/>
            <w:tcMar>
              <w:left w:type="dxa" w:w="80"/>
              <w:right w:type="dxa" w:w="80"/>
            </w:tcMar>
          </w:tcPr>
          <w:p>
            <w:pPr>
              <w:pStyle w:val="Compact"/>
            </w:pPr>
            <w:r>
              <w:rPr>
                <w:sz w:val="19"/>
                <w:szCs w:val="19"/>
                <w:lang w:val="en-GB"/>
              </w:rPr>
              <w:t xml:space="preserve">Nature</w:t>
            </w:r>
          </w:p>
        </w:tc>
        <w:tc>
          <w:tcPr>
            <w:tcW w:type="dxa" w:w="2340"/>
            <w:tcMar>
              <w:left w:type="dxa" w:w="80"/>
              <w:right w:type="dxa" w:w="80"/>
            </w:tcMar>
          </w:tcPr>
          <w:p>
            <w:pPr>
              <w:pStyle w:val="Compact"/>
            </w:pPr>
            <w:r>
              <w:rPr>
                <w:sz w:val="19"/>
                <w:szCs w:val="19"/>
                <w:lang w:val="en-GB"/>
              </w:rPr>
              <w:t xml:space="preserve">Status as of 2026-07-24</w:t>
            </w:r>
          </w:p>
        </w:tc>
        <w:tc>
          <w:tcPr>
            <w:tcW w:type="dxa" w:w="2340"/>
            <w:tcMar>
              <w:left w:type="dxa" w:w="80"/>
              <w:right w:type="dxa" w:w="80"/>
            </w:tcMar>
          </w:tcPr>
          <w:p>
            <w:pPr>
              <w:pStyle w:val="Compact"/>
            </w:pPr>
            <w:r>
              <w:rPr>
                <w:sz w:val="19"/>
                <w:szCs w:val="19"/>
                <w:lang w:val="en-GB"/>
              </w:rPr>
              <w:t xml:space="preserve">Target horizon</w:t>
            </w:r>
          </w:p>
        </w:tc>
      </w:tr>
      <w:tr>
        <w:trPr>
          <w:cantSplit/>
        </w:trPr>
        <w:tc>
          <w:tcPr>
            <w:tcW w:type="dxa" w:w="2340"/>
            <w:tcMar>
              <w:left w:type="dxa" w:w="80"/>
              <w:right w:type="dxa" w:w="80"/>
            </w:tcMar>
          </w:tcPr>
          <w:p>
            <w:pPr>
              <w:pStyle w:val="Compact"/>
            </w:pPr>
            <w:r>
              <w:rPr>
                <w:sz w:val="19"/>
                <w:szCs w:val="19"/>
                <w:lang w:val="en-GB"/>
              </w:rPr>
              <w:t xml:space="preserve">ISO/IEC 27001 (information security management)</w:t>
            </w:r>
          </w:p>
        </w:tc>
        <w:tc>
          <w:tcPr>
            <w:tcW w:type="dxa" w:w="2340"/>
            <w:tcMar>
              <w:left w:type="dxa" w:w="80"/>
              <w:right w:type="dxa" w:w="80"/>
            </w:tcMar>
          </w:tcPr>
          <w:p>
            <w:pPr>
              <w:pStyle w:val="Compact"/>
            </w:pPr>
            <w:r>
              <w:rPr>
                <w:sz w:val="19"/>
                <w:szCs w:val="19"/>
                <w:lang w:val="en-GB"/>
              </w:rPr>
              <w:t xml:space="preserve">Management system certification</w:t>
            </w:r>
          </w:p>
        </w:tc>
        <w:tc>
          <w:tcPr>
            <w:tcW w:type="dxa" w:w="2340"/>
            <w:tcMar>
              <w:left w:type="dxa" w:w="80"/>
              <w:right w:type="dxa" w:w="80"/>
            </w:tcMar>
          </w:tcPr>
          <w:p>
            <w:pPr>
              <w:pStyle w:val="Compact"/>
            </w:pPr>
            <w:r>
              <w:rPr>
                <w:b/>
                <w:bCs/>
                <w:sz w:val="19"/>
                <w:szCs w:val="19"/>
                <w:lang w:val="en-GB"/>
              </w:rPr>
              <w:t xml:space="preserve">Committed approach </w:t>
            </w:r>
            <w:r>
              <w:rPr>
                <w:sz w:val="19"/>
                <w:szCs w:val="19"/>
                <w:lang w:val="en-GB"/>
              </w:rPr>
              <w:t xml:space="preserve"/>
            </w:r>
            <w:r>
              <w:rPr>
                <w:sz w:val="19"/>
                <w:szCs w:val="19"/>
                <w:lang w:val="en-GB"/>
              </w:rPr>
              <w:t xml:space="preserve">— ISMS documentary base in place (16 formalized policies); </w:t>
            </w:r>
            <w:r>
              <w:rPr>
                <w:sz w:val="19"/>
                <w:szCs w:val="19"/>
                <w:lang w:val="en-GB"/>
              </w:rPr>
              <w:t xml:space="preserve"/>
            </w:r>
            <w:r>
              <w:rPr>
                <w:b/>
                <w:bCs/>
                <w:sz w:val="19"/>
                <w:szCs w:val="19"/>
                <w:lang w:val="en-GB"/>
              </w:rPr>
              <w:t xml:space="preserve">not certified</w:t>
            </w:r>
          </w:p>
        </w:tc>
        <w:tc>
          <w:tcPr>
            <w:tcW w:type="dxa" w:w="2340"/>
            <w:tcMar>
              <w:left w:type="dxa" w:w="80"/>
              <w:right w:type="dxa" w:w="80"/>
            </w:tcMar>
          </w:tcPr>
          <w:p>
            <w:pPr>
              <w:pStyle w:val="Compact"/>
            </w:pPr>
            <w:r>
              <w:rPr>
                <w:sz w:val="19"/>
                <w:szCs w:val="19"/>
                <w:lang w:val="en-GB"/>
              </w:rPr>
              <w:t xml:space="preserve">Certification audit targeted </w:t>
            </w:r>
            <w:r>
              <w:rPr>
                <w:sz w:val="19"/>
                <w:szCs w:val="19"/>
                <w:lang w:val="en-GB"/>
              </w:rPr>
              <w:t xml:space="preserve"/>
            </w:r>
            <w:r>
              <w:rPr>
                <w:b/>
                <w:bCs/>
                <w:sz w:val="19"/>
                <w:szCs w:val="19"/>
                <w:lang w:val="en-GB"/>
              </w:rPr>
              <w:t xml:space="preserve">for early 2027</w:t>
            </w:r>
          </w:p>
        </w:tc>
      </w:tr>
      <w:tr>
        <w:trPr>
          <w:cantSplit/>
        </w:trPr>
        <w:tc>
          <w:tcPr>
            <w:tcW w:type="dxa" w:w="2340"/>
            <w:tcMar>
              <w:left w:type="dxa" w:w="80"/>
              <w:right w:type="dxa" w:w="80"/>
            </w:tcMar>
          </w:tcPr>
          <w:p>
            <w:pPr>
              <w:pStyle w:val="Compact"/>
            </w:pPr>
            <w:r>
              <w:rPr>
                <w:sz w:val="19"/>
                <w:szCs w:val="19"/>
                <w:lang w:val="en-GB"/>
              </w:rPr>
              <w:t xml:space="preserve">SOC 2 Type I</w:t>
            </w:r>
          </w:p>
        </w:tc>
        <w:tc>
          <w:tcPr>
            <w:tcW w:type="dxa" w:w="2340"/>
            <w:tcMar>
              <w:left w:type="dxa" w:w="80"/>
              <w:right w:type="dxa" w:w="80"/>
            </w:tcMar>
          </w:tcPr>
          <w:p>
            <w:pPr>
              <w:pStyle w:val="Compact"/>
            </w:pPr>
            <w:r>
              <w:rPr>
                <w:sz w:val="19"/>
                <w:szCs w:val="19"/>
                <w:lang w:val="en-GB"/>
              </w:rPr>
              <w:t xml:space="preserve">Attestation report</w:t>
            </w:r>
          </w:p>
        </w:tc>
        <w:tc>
          <w:tcPr>
            <w:tcW w:type="dxa" w:w="2340"/>
            <w:tcMar>
              <w:left w:type="dxa" w:w="80"/>
              <w:right w:type="dxa" w:w="80"/>
            </w:tcMar>
          </w:tcPr>
          <w:p>
            <w:pPr>
              <w:pStyle w:val="Compact"/>
            </w:pPr>
            <w:r>
              <w:rPr>
                <w:b/>
                <w:bCs/>
                <w:sz w:val="19"/>
                <w:szCs w:val="19"/>
                <w:lang w:val="en-GB"/>
              </w:rPr>
              <w:t xml:space="preserve">Audit planned for </w:t>
            </w:r>
            <w:r>
              <w:rPr>
                <w:sz w:val="19"/>
                <w:szCs w:val="19"/>
                <w:lang w:val="en-GB"/>
              </w:rPr>
              <w:t xml:space="preserve">2026; </w:t>
            </w:r>
            <w:r>
              <w:rPr>
                <w:sz w:val="19"/>
                <w:szCs w:val="19"/>
                <w:lang w:val="en-GB"/>
              </w:rPr>
              <w:t xml:space="preserve"/>
            </w:r>
            <w:r>
              <w:rPr>
                <w:sz w:val="19"/>
                <w:szCs w:val="19"/>
                <w:lang w:val="en-GB"/>
              </w:rPr>
              <w:t xml:space="preserve"/>
            </w:r>
            <w:r>
              <w:rPr>
                <w:b/>
                <w:bCs/>
                <w:sz w:val="19"/>
                <w:szCs w:val="19"/>
                <w:lang w:val="en-GB"/>
              </w:rPr>
              <w:t xml:space="preserve">not realized to date</w:t>
            </w:r>
          </w:p>
        </w:tc>
        <w:tc>
          <w:tcPr>
            <w:tcW w:type="dxa" w:w="2340"/>
            <w:tcMar>
              <w:left w:type="dxa" w:w="80"/>
              <w:right w:type="dxa" w:w="80"/>
            </w:tcMar>
          </w:tcPr>
          <w:p>
            <w:pPr>
              <w:pStyle w:val="Compact"/>
            </w:pPr>
            <w:r>
              <w:rPr>
                <w:sz w:val="19"/>
                <w:szCs w:val="19"/>
                <w:lang w:val="en-GB"/>
              </w:rPr>
              <w:t xml:space="preserve">2026</w:t>
            </w:r>
          </w:p>
        </w:tc>
      </w:tr>
      <w:tr>
        <w:trPr>
          <w:cantSplit/>
        </w:trPr>
        <w:tc>
          <w:tcPr>
            <w:tcW w:type="dxa" w:w="2340"/>
            <w:tcMar>
              <w:left w:type="dxa" w:w="80"/>
              <w:right w:type="dxa" w:w="80"/>
            </w:tcMar>
          </w:tcPr>
          <w:p>
            <w:pPr>
              <w:pStyle w:val="Compact"/>
            </w:pPr>
            <w:r>
              <w:rPr>
                <w:sz w:val="19"/>
                <w:szCs w:val="19"/>
                <w:lang w:val="en-GB"/>
              </w:rPr>
              <w:t xml:space="preserve">ISO/IEC 27701 (privacy protection management)</w:t>
            </w:r>
          </w:p>
        </w:tc>
        <w:tc>
          <w:tcPr>
            <w:tcW w:type="dxa" w:w="2340"/>
            <w:tcMar>
              <w:left w:type="dxa" w:w="80"/>
              <w:right w:type="dxa" w:w="80"/>
            </w:tcMar>
          </w:tcPr>
          <w:p>
            <w:pPr>
              <w:pStyle w:val="Compact"/>
            </w:pPr>
            <w:r>
              <w:rPr>
                <w:sz w:val="19"/>
                <w:szCs w:val="19"/>
                <w:lang w:val="en-GB"/>
              </w:rPr>
              <w:t xml:space="preserve">Certification (extension of 27001)</w:t>
            </w:r>
          </w:p>
        </w:tc>
        <w:tc>
          <w:tcPr>
            <w:tcW w:type="dxa" w:w="2340"/>
            <w:tcMar>
              <w:left w:type="dxa" w:w="80"/>
              <w:right w:type="dxa" w:w="80"/>
            </w:tcMar>
          </w:tcPr>
          <w:p>
            <w:pPr>
              <w:pStyle w:val="Compact"/>
            </w:pPr>
            <w:r>
              <w:rPr>
                <w:b/>
                <w:bCs/>
                <w:sz w:val="19"/>
                <w:szCs w:val="19"/>
                <w:lang w:val="en-GB"/>
              </w:rPr>
              <w:t xml:space="preserve">Under </w:t>
            </w:r>
            <w:r>
              <w:rPr>
                <w:sz w:val="19"/>
                <w:szCs w:val="19"/>
                <w:lang w:val="en-GB"/>
              </w:rPr>
              <w:t xml:space="preserve"/>
            </w:r>
            <w:r>
              <w:rPr>
                <w:sz w:val="19"/>
                <w:szCs w:val="19"/>
                <w:lang w:val="en-GB"/>
              </w:rPr>
              <w:t xml:space="preserve">study — natural extension envisaged after obtaining 27001</w:t>
            </w:r>
          </w:p>
        </w:tc>
        <w:tc>
          <w:tcPr>
            <w:tcW w:type="dxa" w:w="2340"/>
            <w:tcMar>
              <w:left w:type="dxa" w:w="80"/>
              <w:right w:type="dxa" w:w="80"/>
            </w:tcMar>
          </w:tcPr>
          <w:p>
            <w:pPr>
              <w:pStyle w:val="Compact"/>
            </w:pPr>
            <w:r>
              <w:rPr>
                <w:sz w:val="19"/>
                <w:szCs w:val="19"/>
                <w:lang w:val="en-GB"/>
              </w:rPr>
              <w:t xml:space="preserve">After 27001</w:t>
            </w:r>
          </w:p>
        </w:tc>
      </w:tr>
      <w:tr>
        <w:trPr>
          <w:cantSplit/>
        </w:trPr>
        <w:tc>
          <w:tcPr>
            <w:tcW w:type="dxa" w:w="2340"/>
            <w:tcMar>
              <w:left w:type="dxa" w:w="80"/>
              <w:right w:type="dxa" w:w="80"/>
            </w:tcMar>
          </w:tcPr>
          <w:p>
            <w:pPr>
              <w:pStyle w:val="Compact"/>
            </w:pPr>
            <w:r>
              <w:rPr>
                <w:sz w:val="19"/>
                <w:szCs w:val="19"/>
                <w:lang w:val="en-GB"/>
              </w:rPr>
              <w:t xml:space="preserve">HDS (Health Data Hosting)</w:t>
            </w:r>
          </w:p>
        </w:tc>
        <w:tc>
          <w:tcPr>
            <w:tcW w:type="dxa" w:w="2340"/>
            <w:tcMar>
              <w:left w:type="dxa" w:w="80"/>
              <w:right w:type="dxa" w:w="80"/>
            </w:tcMar>
          </w:tcPr>
          <w:p>
            <w:pPr>
              <w:pStyle w:val="Compact"/>
            </w:pPr>
            <w:r>
              <w:rPr>
                <w:sz w:val="19"/>
                <w:szCs w:val="19"/>
                <w:lang w:val="en-GB"/>
              </w:rPr>
              <w:t xml:space="preserve">Certification</w:t>
            </w:r>
          </w:p>
        </w:tc>
        <w:tc>
          <w:tcPr>
            <w:tcW w:type="dxa" w:w="2340"/>
            <w:tcMar>
              <w:left w:type="dxa" w:w="80"/>
              <w:right w:type="dxa" w:w="80"/>
            </w:tcMar>
          </w:tcPr>
          <w:p>
            <w:pPr>
              <w:pStyle w:val="Compact"/>
            </w:pPr>
            <w:r>
              <w:rPr>
                <w:b/>
                <w:bCs/>
                <w:sz w:val="19"/>
                <w:szCs w:val="19"/>
                <w:lang w:val="en-GB"/>
              </w:rPr>
              <w:t xml:space="preserve">Under </w:t>
            </w:r>
            <w:r>
              <w:rPr>
                <w:sz w:val="19"/>
                <w:szCs w:val="19"/>
                <w:lang w:val="en-GB"/>
              </w:rPr>
              <w:t xml:space="preserve"/>
            </w:r>
            <w:r>
              <w:rPr>
                <w:sz w:val="19"/>
                <w:szCs w:val="19"/>
                <w:lang w:val="en-GB"/>
              </w:rPr>
              <w:t xml:space="preserve">study — only relevant when processing health data</w:t>
            </w:r>
          </w:p>
        </w:tc>
        <w:tc>
          <w:tcPr>
            <w:tcW w:type="dxa" w:w="2340"/>
            <w:tcMar>
              <w:left w:type="dxa" w:w="80"/>
              <w:right w:type="dxa" w:w="80"/>
            </w:tcMar>
          </w:tcPr>
          <w:p>
            <w:pPr>
              <w:pStyle w:val="Compact"/>
            </w:pPr>
            <w:r>
              <w:rPr>
                <w:sz w:val="19"/>
                <w:szCs w:val="19"/>
                <w:lang w:val="en-GB"/>
              </w:rPr>
              <w:t xml:space="preserve">According to customer needs</w:t>
            </w:r>
          </w:p>
        </w:tc>
      </w:tr>
      <w:tr>
        <w:trPr>
          <w:cantSplit/>
        </w:trPr>
        <w:tc>
          <w:tcPr>
            <w:tcW w:type="dxa" w:w="2340"/>
            <w:tcMar>
              <w:left w:type="dxa" w:w="80"/>
              <w:right w:type="dxa" w:w="80"/>
            </w:tcMar>
          </w:tcPr>
          <w:p>
            <w:pPr>
              <w:pStyle w:val="Compact"/>
            </w:pPr>
            <w:r>
              <w:rPr>
                <w:sz w:val="19"/>
                <w:szCs w:val="19"/>
                <w:lang w:val="en-GB"/>
              </w:rPr>
              <w:t xml:space="preserve">SecNumCloud (ANSSI)</w:t>
            </w:r>
          </w:p>
        </w:tc>
        <w:tc>
          <w:tcPr>
            <w:tcW w:type="dxa" w:w="2340"/>
            <w:tcMar>
              <w:left w:type="dxa" w:w="80"/>
              <w:right w:type="dxa" w:w="80"/>
            </w:tcMar>
          </w:tcPr>
          <w:p>
            <w:pPr>
              <w:pStyle w:val="Compact"/>
            </w:pPr>
            <w:r>
              <w:rPr>
                <w:sz w:val="19"/>
                <w:szCs w:val="19"/>
                <w:lang w:val="en-GB"/>
              </w:rPr>
              <w:t xml:space="preserve">Qualification</w:t>
            </w:r>
          </w:p>
        </w:tc>
        <w:tc>
          <w:tcPr>
            <w:tcW w:type="dxa" w:w="2340"/>
            <w:tcMar>
              <w:left w:type="dxa" w:w="80"/>
              <w:right w:type="dxa" w:w="80"/>
            </w:tcMar>
          </w:tcPr>
          <w:p>
            <w:pPr>
              <w:pStyle w:val="Compact"/>
            </w:pPr>
            <w:r>
              <w:rPr>
                <w:b/>
                <w:bCs/>
                <w:sz w:val="19"/>
                <w:szCs w:val="19"/>
                <w:lang w:val="en-GB"/>
              </w:rPr>
              <w:t xml:space="preserve">Monitoring </w:t>
            </w:r>
            <w:r>
              <w:rPr>
                <w:sz w:val="19"/>
                <w:szCs w:val="19"/>
                <w:lang w:val="en-GB"/>
              </w:rPr>
              <w:t xml:space="preserve"/>
            </w:r>
            <w:r>
              <w:rPr>
                <w:sz w:val="19"/>
                <w:szCs w:val="19"/>
                <w:lang w:val="en-GB"/>
              </w:rPr>
              <w:t xml:space="preserve">— not targeted in the short term</w:t>
            </w:r>
          </w:p>
        </w:tc>
        <w:tc>
          <w:tcPr>
            <w:tcW w:type="dxa" w:w="2340"/>
            <w:tcMar>
              <w:left w:type="dxa" w:w="80"/>
              <w:right w:type="dxa" w:w="80"/>
            </w:tcMar>
          </w:tcPr>
          <w:p>
            <w:pPr>
              <w:pStyle w:val="Compact"/>
            </w:pPr>
            <w:r>
              <w:rPr>
                <w:sz w:val="19"/>
                <w:szCs w:val="19"/>
                <w:lang w:val="en-GB"/>
              </w:rPr>
              <w:t xml:space="preserve">Unplanned</w:t>
            </w:r>
          </w:p>
        </w:tc>
      </w:tr>
      <w:tr>
        <w:trPr>
          <w:cantSplit/>
        </w:trPr>
        <w:tc>
          <w:tcPr>
            <w:tcW w:type="dxa" w:w="2340"/>
            <w:tcMar>
              <w:left w:type="dxa" w:w="80"/>
              <w:right w:type="dxa" w:w="80"/>
            </w:tcMar>
          </w:tcPr>
          <w:p>
            <w:pPr>
              <w:pStyle w:val="Compact"/>
            </w:pPr>
            <w:r>
              <w:rPr>
                <w:sz w:val="19"/>
                <w:szCs w:val="19"/>
                <w:lang w:val="en-GB"/>
              </w:rPr>
              <w:t xml:space="preserve">GDPR (Regulation (EU) 2016/679)</w:t>
            </w:r>
          </w:p>
        </w:tc>
        <w:tc>
          <w:tcPr>
            <w:tcW w:type="dxa" w:w="2340"/>
            <w:tcMar>
              <w:left w:type="dxa" w:w="80"/>
              <w:right w:type="dxa" w:w="80"/>
            </w:tcMar>
          </w:tcPr>
          <w:p>
            <w:pPr>
              <w:pStyle w:val="Compact"/>
            </w:pPr>
            <w:r>
              <w:rPr>
                <w:sz w:val="19"/>
                <w:szCs w:val="19"/>
                <w:lang w:val="en-GB"/>
              </w:rPr>
              <w:t xml:space="preserve">Regulatory compliance (non-certifying)</w:t>
            </w:r>
          </w:p>
        </w:tc>
        <w:tc>
          <w:tcPr>
            <w:tcW w:type="dxa" w:w="2340"/>
            <w:tcMar>
              <w:left w:type="dxa" w:w="80"/>
              <w:right w:type="dxa" w:w="80"/>
            </w:tcMar>
          </w:tcPr>
          <w:p>
            <w:pPr>
              <w:pStyle w:val="Compact"/>
            </w:pPr>
            <w:r>
              <w:rPr>
                <w:b/>
                <w:bCs/>
                <w:sz w:val="19"/>
                <w:szCs w:val="19"/>
                <w:lang w:val="en-GB"/>
              </w:rPr>
              <w:t xml:space="preserve">Applicable and documented </w:t>
            </w:r>
            <w:r>
              <w:rPr>
                <w:sz w:val="19"/>
                <w:szCs w:val="19"/>
                <w:lang w:val="en-GB"/>
              </w:rPr>
              <w:t xml:space="preserve"/>
            </w:r>
            <w:r>
              <w:rPr>
                <w:sz w:val="19"/>
                <w:szCs w:val="19"/>
                <w:lang w:val="en-GB"/>
              </w:rPr>
              <w:t xml:space="preserve">— see dedicated file GDPR</w:t>
            </w:r>
          </w:p>
        </w:tc>
        <w:tc>
          <w:tcPr>
            <w:tcW w:type="dxa" w:w="2340"/>
            <w:tcMar>
              <w:left w:type="dxa" w:w="80"/>
              <w:right w:type="dxa" w:w="80"/>
            </w:tcMar>
          </w:tcPr>
          <w:p>
            <w:pPr>
              <w:pStyle w:val="Compact"/>
            </w:pPr>
            <w:r>
              <w:rPr>
                <w:sz w:val="19"/>
                <w:szCs w:val="19"/>
                <w:lang w:val="en-GB"/>
              </w:rPr>
              <w:t xml:space="preserve">Permanent</w:t>
            </w:r>
          </w:p>
        </w:tc>
      </w:tr>
      <w:tr>
        <w:trPr>
          <w:cantSplit/>
        </w:trPr>
        <w:tc>
          <w:tcPr>
            <w:tcW w:type="dxa" w:w="2340"/>
            <w:tcMar>
              <w:left w:type="dxa" w:w="80"/>
              <w:right w:type="dxa" w:w="80"/>
            </w:tcMar>
          </w:tcPr>
          <w:p>
            <w:pPr>
              <w:pStyle w:val="Compact"/>
            </w:pPr>
            <w:r>
              <w:rPr>
                <w:sz w:val="19"/>
                <w:szCs w:val="19"/>
                <w:lang w:val="en-GB"/>
              </w:rPr>
              <w:t xml:space="preserve">NIS2 Directive (EU) 2022/2555</w:t>
            </w:r>
          </w:p>
        </w:tc>
        <w:tc>
          <w:tcPr>
            <w:tcW w:type="dxa" w:w="2340"/>
            <w:tcMar>
              <w:left w:type="dxa" w:w="80"/>
              <w:right w:type="dxa" w:w="80"/>
            </w:tcMar>
          </w:tcPr>
          <w:p>
            <w:pPr>
              <w:pStyle w:val="Compact"/>
            </w:pPr>
            <w:r>
              <w:rPr>
                <w:sz w:val="19"/>
                <w:szCs w:val="19"/>
                <w:lang w:val="en-GB"/>
              </w:rPr>
              <w:t xml:space="preserve">Regulatory framework (non-certifying for a product)</w:t>
            </w:r>
          </w:p>
        </w:tc>
        <w:tc>
          <w:tcPr>
            <w:tcW w:type="dxa" w:w="2340"/>
            <w:tcMar>
              <w:left w:type="dxa" w:w="80"/>
              <w:right w:type="dxa" w:w="80"/>
            </w:tcMar>
          </w:tcPr>
          <w:p>
            <w:pPr>
              <w:pStyle w:val="Compact"/>
            </w:pPr>
            <w:r>
              <w:rPr>
                <w:sz w:val="19"/>
                <w:szCs w:val="19"/>
                <w:lang w:val="en-GB"/>
              </w:rPr>
              <w:t xml:space="preserve">Documented </w:t>
            </w:r>
            <w:r>
              <w:rPr>
                <w:sz w:val="19"/>
                <w:szCs w:val="19"/>
                <w:lang w:val="en-GB"/>
              </w:rPr>
              <w:t xml:space="preserve">contributing </w:t>
            </w:r>
            <w:r>
              <w:rPr>
                <w:b/>
                <w:bCs/>
                <w:sz w:val="19"/>
                <w:szCs w:val="19"/>
                <w:lang w:val="en-GB"/>
              </w:rPr>
              <w:t xml:space="preserve">technical </w:t>
            </w:r>
            <w:r>
              <w:rPr>
                <w:sz w:val="19"/>
                <w:szCs w:val="19"/>
                <w:lang w:val="en-GB"/>
              </w:rPr>
              <w:t xml:space="preserve"/>
            </w:r>
            <w:r>
              <w:rPr>
                <w:sz w:val="19"/>
                <w:szCs w:val="19"/>
                <w:lang w:val="en-GB"/>
              </w:rPr>
              <w:t xml:space="preserve">measures</w:t>
            </w:r>
          </w:p>
        </w:tc>
        <w:tc>
          <w:tcPr>
            <w:tcW w:type="dxa" w:w="2340"/>
            <w:tcMar>
              <w:left w:type="dxa" w:w="80"/>
              <w:right w:type="dxa" w:w="80"/>
            </w:tcMar>
          </w:tcPr>
          <w:p>
            <w:pPr>
              <w:pStyle w:val="Compact"/>
            </w:pPr>
            <w:r>
              <w:rPr>
                <w:sz w:val="19"/>
                <w:szCs w:val="19"/>
                <w:lang w:val="en-GB"/>
              </w:rPr>
              <w:t xml:space="preserve">According to customer obligations</w:t>
            </w:r>
          </w:p>
        </w:tc>
      </w:tr>
      <w:tr>
        <w:trPr>
          <w:cantSplit/>
        </w:trPr>
        <w:tc>
          <w:tcPr>
            <w:tcW w:type="dxa" w:w="2340"/>
            <w:tcMar>
              <w:left w:type="dxa" w:w="80"/>
              <w:right w:type="dxa" w:w="80"/>
            </w:tcMar>
          </w:tcPr>
          <w:p>
            <w:pPr>
              <w:pStyle w:val="Compact"/>
            </w:pPr>
            <w:r>
              <w:rPr>
                <w:sz w:val="19"/>
                <w:szCs w:val="19"/>
                <w:lang w:val="en-GB"/>
              </w:rPr>
              <w:t xml:space="preserve">Accessibility (EAA / RGAA)</w:t>
            </w:r>
          </w:p>
        </w:tc>
        <w:tc>
          <w:tcPr>
            <w:tcW w:type="dxa" w:w="2340"/>
            <w:tcMar>
              <w:left w:type="dxa" w:w="80"/>
              <w:right w:type="dxa" w:w="80"/>
            </w:tcMar>
          </w:tcPr>
          <w:p>
            <w:pPr>
              <w:pStyle w:val="Compact"/>
            </w:pPr>
            <w:r>
              <w:rPr>
                <w:sz w:val="19"/>
                <w:szCs w:val="19"/>
                <w:lang w:val="en-GB"/>
              </w:rPr>
              <w:t xml:space="preserve">Regulatory Compliance</w:t>
            </w:r>
          </w:p>
        </w:tc>
        <w:tc>
          <w:tcPr>
            <w:tcW w:type="dxa" w:w="2340"/>
            <w:tcMar>
              <w:left w:type="dxa" w:w="80"/>
              <w:right w:type="dxa" w:w="80"/>
            </w:tcMar>
          </w:tcPr>
          <w:p>
            <w:pPr>
              <w:pStyle w:val="Compact"/>
            </w:pPr>
            <w:r>
              <w:rPr>
                <w:b/>
                <w:bCs/>
                <w:sz w:val="19"/>
                <w:szCs w:val="19"/>
                <w:lang w:val="en-GB"/>
              </w:rPr>
              <w:t xml:space="preserve">[TO BE COMPLETED: accessibility status]</w:t>
            </w:r>
          </w:p>
        </w:tc>
        <w:tc>
          <w:tcPr>
            <w:tcW w:type="dxa" w:w="2340"/>
            <w:tcMar>
              <w:left w:type="dxa" w:w="80"/>
              <w:right w:type="dxa" w:w="80"/>
            </w:tcMar>
          </w:tcPr>
          <w:p>
            <w:pPr>
              <w:pStyle w:val="Compact"/>
            </w:pPr>
            <w:r>
              <w:rPr>
                <w:sz w:val="19"/>
                <w:szCs w:val="19"/>
                <w:lang w:val="en-GB"/>
              </w:rPr>
              <w:t xml:space="preserve">[TO BE COMPLETED]</w:t>
            </w:r>
          </w:p>
        </w:tc>
      </w:tr>
    </w:tbl>
    <w:p>
      <w:r>
        <w:pict>
          <v:rect style="width:0;height:1.5pt" o:hralign="center" o:hrstd="t" o:hr="t"/>
        </w:pict>
      </w:r>
    </w:p>
    <w:bookmarkEnd w:id="154"/>
    <w:bookmarkStart w:id="155" w:name="X30f21e3fe687fa7ed7647d19bfa3f440a66be0d"/>
    <w:p>
      <w:pPr>
        <w:pStyle w:val="Heading2"/>
        <w:keepNext/>
        <w:keepLines/>
      </w:pPr>
      <w:r>
        <w:rPr>
          <w:color w:val="000000"/>
          <w:lang w:val="en-GB"/>
        </w:rPr>
        <w:t xml:space="preserve">2. ISO/IEC 27001 — approach undertaken</w:t>
      </w:r>
    </w:p>
    <w:p>
      <w:pPr>
        <w:pStyle w:val="FirstParagraph"/>
      </w:pPr>
      <w:r>
        <w:rPr>
          <w:lang w:val="en-GB"/>
        </w:rPr>
        <w:t xml:space="preserve">OHADJA has initiated a structured approach towards ISO/IEC 27001 certification. At this stage:</w:t>
      </w:r>
    </w:p>
    <w:p>
      <w:pPr>
        <w:pStyle w:val="Compact"/>
        <w:numPr>
          <w:ilvl w:val="0"/>
          <w:numId w:val="1042"/>
        </w:numPr>
      </w:pPr>
      <w:r>
        <w:rPr>
          <w:lang w:val="en-GB"/>
        </w:rPr>
        <w:t xml:space="preserve">an </w:t>
      </w:r>
      <w:r>
        <w:rPr>
          <w:lang w:val="en-GB"/>
        </w:rPr>
        <w:t xml:space="preserve"/>
      </w:r>
      <w:r>
        <w:rPr>
          <w:b/>
          <w:bCs/>
          <w:lang w:val="en-GB"/>
        </w:rPr>
        <w:t xml:space="preserve">information security management system (ISMS) documentary base is in place, </w:t>
      </w:r>
      <w:r>
        <w:rPr>
          <w:lang w:val="en-GB"/>
        </w:rPr>
        <w:t xml:space="preserve"/>
      </w:r>
      <w:r>
        <w:rPr>
          <w:lang w:val="en-GB"/>
        </w:rPr>
        <w:t xml:space="preserve">made up of the sixteen </w:t>
      </w:r>
      <w:r>
        <w:rPr>
          <w:lang w:val="en-GB"/>
        </w:rPr>
        <w:t xml:space="preserve">(16) </w:t>
      </w:r>
      <w:r>
        <w:rPr>
          <w:b/>
          <w:bCs/>
          <w:lang w:val="en-GB"/>
        </w:rPr>
        <w:t xml:space="preserve">formalized policies of the publisher OHADJA </w:t>
      </w:r>
      <w:r>
        <w:rPr>
          <w:lang w:val="en-GB"/>
        </w:rPr>
        <w:t xml:space="preserve"/>
      </w:r>
      <w:r>
        <w:rPr>
          <w:lang w:val="en-GB"/>
        </w:rPr>
        <w:t xml:space="preserve">(repository OHADJA-POL, Version 2.0, revision of May 2026 — see section 6);</w:t>
      </w:r>
    </w:p>
    <w:p>
      <w:pPr>
        <w:pStyle w:val="Compact"/>
        <w:numPr>
          <w:ilvl w:val="0"/>
          <w:numId w:val="1042"/>
        </w:numPr>
      </w:pPr>
      <w:r>
        <w:rPr>
          <w:lang w:val="en-GB"/>
        </w:rPr>
        <w:t xml:space="preserve">the </w:t>
      </w:r>
      <w:r>
        <w:rPr>
          <w:b/>
          <w:bCs/>
          <w:lang w:val="en-GB"/>
        </w:rPr>
        <w:t xml:space="preserve">certification audit is targeted for the beginning of </w:t>
      </w:r>
      <w:r>
        <w:rPr>
          <w:lang w:val="en-GB"/>
        </w:rPr>
        <w:t xml:space="preserve">2027.</w:t>
      </w:r>
    </w:p>
    <w:p>
      <w:pPr>
        <w:pStyle w:val="FirstParagraph"/>
      </w:pPr>
      <w:r>
        <w:rPr>
          <w:lang w:val="en-GB"/>
        </w:rPr>
        <w:t xml:space="preserve">To date, no ISO/IEC 27001 certificate has been issued. The approach is currently being structured and implemented.</w:t>
      </w:r>
    </w:p>
    <w:bookmarkEnd w:id="155"/>
    <w:bookmarkStart w:id="156" w:name="Xb666bc933ca9b071007a4b8affeac18b39b0724"/>
    <w:p>
      <w:pPr>
        <w:pStyle w:val="Heading2"/>
        <w:keepNext/>
        <w:keepLines/>
      </w:pPr>
      <w:r>
        <w:rPr>
          <w:color w:val="000000"/>
          <w:lang w:val="en-GB"/>
        </w:rPr>
        <w:t xml:space="preserve">3. SOC 2 Type I</w:t>
      </w:r>
    </w:p>
    <w:p>
      <w:pPr>
        <w:pStyle w:val="FirstParagraph"/>
      </w:pPr>
      <w:r>
        <w:rPr>
          <w:lang w:val="en-GB"/>
        </w:rPr>
        <w:t xml:space="preserve">A </w:t>
      </w:r>
      <w:r>
        <w:rPr>
          <w:lang w:val="en-GB"/>
        </w:rPr>
        <w:t xml:space="preserve"/>
      </w:r>
      <w:r>
        <w:rPr>
          <w:b/>
          <w:bCs/>
          <w:lang w:val="en-GB"/>
        </w:rPr>
        <w:t xml:space="preserve">SOC 2 Type I audit is planned for the year 2026. </w:t>
      </w:r>
      <w:r>
        <w:rPr>
          <w:lang w:val="en-GB"/>
        </w:rPr>
        <w:t xml:space="preserve">This commitment has already been communicated in the public compliance file of TranscribIA. As of the date of this document, the audit has not yet been carried out and no SOC 2 report is available.</w:t>
      </w:r>
    </w:p>
    <w:bookmarkEnd w:id="156"/>
    <w:bookmarkStart w:id="157" w:name="Xdff9f055eed22f210ec3b463d1e59173981f1ea"/>
    <w:p>
      <w:pPr>
        <w:pStyle w:val="Heading2"/>
        <w:keepNext/>
        <w:keepLines/>
      </w:pPr>
      <w:r>
        <w:rPr>
          <w:color w:val="000000"/>
          <w:lang w:val="en-GB"/>
        </w:rPr>
        <w:t xml:space="preserve">4. Other repositories</w:t>
      </w:r>
    </w:p>
    <w:p>
      <w:pPr>
        <w:pStyle w:val="Compact"/>
        <w:numPr>
          <w:ilvl w:val="0"/>
          <w:numId w:val="1043"/>
        </w:numPr>
      </w:pPr>
      <w:r>
        <w:rPr>
          <w:b/>
          <w:bCs/>
          <w:lang w:val="en-GB"/>
        </w:rPr>
        <w:t xml:space="preserve">ISO/IEC 27701: </w:t>
      </w:r>
      <w:r>
        <w:rPr>
          <w:lang w:val="en-GB"/>
        </w:rPr>
        <w:t xml:space="preserve"/>
      </w:r>
      <w:r>
        <w:rPr>
          <w:lang w:val="en-GB"/>
        </w:rPr>
        <w:t xml:space="preserve">envisaged as a natural extension of the management system once 27001 certification has been obtained. Under study, not formally committed at this stage.</w:t>
      </w:r>
    </w:p>
    <w:p>
      <w:pPr>
        <w:pStyle w:val="Compact"/>
        <w:numPr>
          <w:ilvl w:val="0"/>
          <w:numId w:val="1043"/>
        </w:numPr>
      </w:pPr>
      <w:r>
        <w:rPr>
          <w:b/>
          <w:bCs/>
          <w:lang w:val="en-GB"/>
        </w:rPr>
        <w:t xml:space="preserve">HDS (Health data hosting): under </w:t>
      </w:r>
      <w:r>
        <w:rPr>
          <w:lang w:val="en-GB"/>
        </w:rPr>
        <w:t xml:space="preserve"/>
      </w:r>
      <w:r>
        <w:rPr>
          <w:lang w:val="en-GB"/>
        </w:rPr>
        <w:t xml:space="preserve">study. This repository is only relevant if the Client processes </w:t>
      </w:r>
      <w:r>
        <w:rPr>
          <w:lang w:val="en-GB"/>
        </w:rPr>
        <w:t xml:space="preserve">health </w:t>
      </w:r>
      <w:r>
        <w:rPr>
          <w:b/>
          <w:bCs/>
          <w:lang w:val="en-GB"/>
        </w:rPr>
        <w:t xml:space="preserve">data using </w:t>
      </w:r>
      <w:r>
        <w:rPr>
          <w:lang w:val="en-GB"/>
        </w:rPr>
        <w:t xml:space="preserve"/>
      </w:r>
      <w:r>
        <w:rPr>
          <w:lang w:val="en-GB"/>
        </w:rPr>
        <w:t xml:space="preserve">the Solution. It will be considered on a case-by-case basis as needed.</w:t>
      </w:r>
    </w:p>
    <w:p>
      <w:pPr>
        <w:pStyle w:val="Compact"/>
        <w:numPr>
          <w:ilvl w:val="0"/>
          <w:numId w:val="1043"/>
        </w:numPr>
      </w:pPr>
      <w:r>
        <w:rPr>
          <w:b/>
          <w:bCs/>
          <w:lang w:val="en-GB"/>
        </w:rPr>
        <w:t xml:space="preserve">SecNumCloud: </w:t>
      </w:r>
      <w:r>
        <w:rPr>
          <w:lang w:val="en-GB"/>
        </w:rPr>
        <w:t xml:space="preserve"/>
      </w:r>
      <w:r>
        <w:rPr>
          <w:lang w:val="en-GB"/>
        </w:rPr>
        <w:t xml:space="preserve">on </w:t>
      </w:r>
      <w:r>
        <w:rPr>
          <w:lang w:val="en-GB"/>
        </w:rPr>
        <w:t xml:space="preserve"/>
      </w:r>
      <w:r>
        <w:rPr>
          <w:b/>
          <w:bCs/>
          <w:lang w:val="en-GB"/>
        </w:rPr>
        <w:t xml:space="preserve">standby, </w:t>
      </w:r>
      <w:r>
        <w:rPr>
          <w:lang w:val="en-GB"/>
        </w:rPr>
        <w:t xml:space="preserve">not targeted in the short term. This ANSSI qualification framework is mainly aimed at large-scale cloud service providers, a scope which does not correspond to the current positioning of TranscribIA.</w:t>
      </w:r>
    </w:p>
    <w:p>
      <w:r>
        <w:pict>
          <v:rect style="width:0;height:1.5pt" o:hralign="center" o:hrstd="t" o:hr="t"/>
        </w:pict>
      </w:r>
    </w:p>
    <w:bookmarkEnd w:id="157"/>
    <w:bookmarkStart w:id="158" w:name="X3c16480e655205b358e4f8dce0588232afc3ce6"/>
    <w:p>
      <w:pPr>
        <w:pStyle w:val="Heading2"/>
        <w:keepNext/>
        <w:keepLines/>
      </w:pPr>
      <w:r>
        <w:rPr>
          <w:color w:val="000000"/>
          <w:lang w:val="en-GB"/>
        </w:rPr>
        <w:t xml:space="preserve">5. Regulatory compliance applicable without certification</w:t>
      </w:r>
    </w:p>
    <w:p>
      <w:pPr>
        <w:pStyle w:val="FirstParagraph"/>
      </w:pPr>
      <w:r>
        <w:rPr>
          <w:lang w:val="en-GB"/>
        </w:rPr>
        <w:t xml:space="preserve">Certain obligations apply regardless of any certification. OHADJA processes them as part of its compliance file:</w:t>
      </w:r>
    </w:p>
    <w:p>
      <w:pPr>
        <w:pStyle w:val="Compact"/>
        <w:numPr>
          <w:ilvl w:val="0"/>
          <w:numId w:val="1044"/>
        </w:numPr>
      </w:pPr>
      <w:r>
        <w:rPr>
          <w:b/>
          <w:bCs/>
          <w:lang w:val="en-GB"/>
        </w:rPr>
        <w:t xml:space="preserve">GDPR: </w:t>
      </w:r>
      <w:r>
        <w:rPr>
          <w:lang w:val="en-GB"/>
        </w:rPr>
        <w:t xml:space="preserve"/>
      </w:r>
      <w:r>
        <w:rPr>
          <w:lang w:val="en-GB"/>
        </w:rPr>
        <w:t xml:space="preserve">compliance with the General Data Protection Regulation is the subject </w:t>
      </w:r>
      <w:r>
        <w:rPr>
          <w:lang w:val="en-GB"/>
        </w:rPr>
        <w:t xml:space="preserve"/>
      </w:r>
      <w:r>
        <w:rPr>
          <w:b/>
          <w:bCs/>
          <w:lang w:val="en-GB"/>
        </w:rPr>
        <w:t xml:space="preserve">of a </w:t>
      </w:r>
      <w:r>
        <w:rPr>
          <w:lang w:val="en-GB"/>
        </w:rPr>
        <w:t xml:space="preserve"/>
      </w:r>
      <w:r>
        <w:rPr>
          <w:lang w:val="en-GB"/>
        </w:rPr>
        <w:t xml:space="preserve">dedicated file (Processing agreement for personal data under Article 28, technical and organizational measures under Article 32, management of individual rights, supervision of subprocessors and transfers). GDPR is a binding regulatory framework, not a certification benchmark.</w:t>
      </w:r>
    </w:p>
    <w:p>
      <w:pPr>
        <w:pStyle w:val="Compact"/>
        <w:numPr>
          <w:ilvl w:val="0"/>
          <w:numId w:val="1044"/>
        </w:numPr>
      </w:pPr>
      <w:r>
        <w:rPr>
          <w:b/>
          <w:bCs/>
          <w:lang w:val="en-GB"/>
        </w:rPr>
        <w:t xml:space="preserve">NIS2 Directive: </w:t>
      </w:r>
      <w:r>
        <w:rPr>
          <w:lang w:val="en-GB"/>
        </w:rPr>
        <w:t xml:space="preserve"/>
      </w:r>
      <w:r>
        <w:rPr>
          <w:lang w:val="en-GB"/>
        </w:rPr>
        <w:t xml:space="preserve">TranscribIA is not and cannot be “NIS2 certified” (no such product certification exists). On the other hand, </w:t>
      </w:r>
      <w:r>
        <w:rPr>
          <w:lang w:val="en-GB"/>
        </w:rPr>
        <w:t xml:space="preserve"/>
      </w:r>
      <w:r>
        <w:rPr>
          <w:b/>
          <w:bCs/>
          <w:lang w:val="en-GB"/>
        </w:rPr>
        <w:t xml:space="preserve">its verifiable technical </w:t>
      </w:r>
      <w:r>
        <w:rPr>
          <w:lang w:val="en-GB"/>
        </w:rPr>
        <w:t xml:space="preserve"/>
      </w:r>
      <w:r>
        <w:rPr>
          <w:lang w:val="en-GB"/>
        </w:rPr>
        <w:t xml:space="preserve">measures (access control, encryption, logging, incident management, continuity, supply chain security) can contribute </w:t>
      </w:r>
      <w:r>
        <w:rPr>
          <w:lang w:val="en-GB"/>
        </w:rPr>
        <w:t xml:space="preserve"/>
      </w:r>
      <w:r>
        <w:rPr>
          <w:b/>
          <w:bCs/>
          <w:lang w:val="en-GB"/>
        </w:rPr>
        <w:t xml:space="preserve">to the </w:t>
      </w:r>
      <w:r>
        <w:rPr>
          <w:lang w:val="en-GB"/>
        </w:rPr>
        <w:t xml:space="preserve"/>
      </w:r>
      <w:r>
        <w:rPr>
          <w:lang w:val="en-GB"/>
        </w:rPr>
        <w:t xml:space="preserve">compliance of the client entity, under the latter's responsibility. These elements are detailed in the compliance file.</w:t>
      </w:r>
    </w:p>
    <w:p>
      <w:pPr>
        <w:pStyle w:val="Compact"/>
        <w:numPr>
          <w:ilvl w:val="0"/>
          <w:numId w:val="1044"/>
        </w:numPr>
      </w:pPr>
      <w:r>
        <w:rPr>
          <w:b/>
          <w:bCs/>
          <w:lang w:val="en-GB"/>
        </w:rPr>
        <w:t xml:space="preserve">Accessibility (EAA / </w:t>
      </w:r>
      <w:r>
        <w:rPr>
          <w:lang w:val="en-GB"/>
        </w:rPr>
        <w:t xml:space="preserve"/>
      </w:r>
      <w:r>
        <w:rPr>
          <w:lang w:val="en-GB"/>
        </w:rPr>
        <w:t xml:space="preserve">RGAA): </w:t>
      </w:r>
      <w:r>
        <w:rPr>
          <w:lang w:val="en-GB"/>
        </w:rPr>
        <w:t xml:space="preserve"/>
      </w:r>
      <w:r>
        <w:rPr>
          <w:b/>
          <w:bCs/>
          <w:lang w:val="en-GB"/>
        </w:rPr>
        <w:t xml:space="preserve">[TO BE COMPLETED: digital accessibility compliance status — RGAA audit carried out or not, compliance rate, accessibility </w:t>
      </w:r>
      <w:r>
        <w:rPr>
          <w:lang w:val="en-GB"/>
        </w:rPr>
        <w:t xml:space="preserve">declaration].</w:t>
      </w:r>
    </w:p>
    <w:p>
      <w:r>
        <w:pict>
          <v:rect style="width:0;height:1.5pt" o:hralign="center" o:hrstd="t" o:hr="t"/>
        </w:pict>
      </w:r>
    </w:p>
    <w:bookmarkEnd w:id="158"/>
    <w:bookmarkStart w:id="159" w:name="X259421c5b1f2bba1d219494517f0f28089bf3c9"/>
    <w:p>
      <w:pPr>
        <w:pStyle w:val="Heading2"/>
        <w:keepNext/>
        <w:keepLines/>
      </w:pPr>
      <w:r>
        <w:rPr>
          <w:color w:val="000000"/>
          <w:lang w:val="en-GB"/>
        </w:rPr>
        <w:t xml:space="preserve">6. ISMS documentary base — list of 16 policies</w:t>
      </w:r>
    </w:p>
    <w:p>
      <w:pPr>
        <w:pStyle w:val="FirstParagraph"/>
      </w:pPr>
      <w:r>
        <w:rPr>
          <w:lang w:val="en-GB"/>
        </w:rPr>
        <w:t xml:space="preserve">The information security management system is based on the sixteen formalized policies of the publisher OHADJA, referenced </w:t>
      </w:r>
      <w:r>
        <w:rPr>
          <w:lang w:val="en-GB"/>
        </w:rPr>
        <w:t xml:space="preserve"/>
      </w:r>
      <w:r>
        <w:rPr>
          <w:b/>
          <w:bCs/>
          <w:lang w:val="en-GB"/>
        </w:rPr>
        <w:t xml:space="preserve">OHADJA-POL-01 to OHADJA-POL-16, </w:t>
      </w:r>
      <w:r>
        <w:rPr>
          <w:lang w:val="en-GB"/>
        </w:rPr>
        <w:t xml:space="preserve">in </w:t>
      </w:r>
      <w:r>
        <w:rPr>
          <w:lang w:val="en-GB"/>
        </w:rPr>
        <w:t xml:space="preserve"/>
      </w:r>
      <w:r>
        <w:rPr>
          <w:b/>
          <w:bCs/>
          <w:lang w:val="en-GB"/>
        </w:rPr>
        <w:t xml:space="preserve">Version 2.0 (revision of May </w:t>
      </w:r>
      <w:r>
        <w:rPr>
          <w:lang w:val="en-GB"/>
        </w:rPr>
        <w:t xml:space="preserve"/>
      </w:r>
      <w:r>
        <w:rPr>
          <w:lang w:val="en-GB"/>
        </w:rPr>
        <w:t xml:space="preserve">2026):</w:t>
      </w:r>
    </w:p>
    <w:p>
      <w:pPr>
        <w:pStyle w:val="Compact"/>
        <w:numPr>
          <w:ilvl w:val="0"/>
          <w:numId w:val="1045"/>
        </w:numPr>
      </w:pPr>
      <w:r>
        <w:rPr>
          <w:lang w:val="en-GB"/>
        </w:rPr>
        <w:t xml:space="preserve">OHADJA-POL-01 — Information Security Policy</w:t>
      </w:r>
    </w:p>
    <w:p>
      <w:pPr>
        <w:pStyle w:val="Compact"/>
        <w:numPr>
          <w:ilvl w:val="0"/>
          <w:numId w:val="1045"/>
        </w:numPr>
      </w:pPr>
      <w:r>
        <w:rPr>
          <w:lang w:val="en-GB"/>
        </w:rPr>
        <w:t xml:space="preserve">OHADJA-POL-02 — Information Classification Policy</w:t>
      </w:r>
    </w:p>
    <w:p>
      <w:pPr>
        <w:pStyle w:val="Compact"/>
        <w:numPr>
          <w:ilvl w:val="0"/>
          <w:numId w:val="1045"/>
        </w:numPr>
      </w:pPr>
      <w:r>
        <w:rPr>
          <w:lang w:val="en-GB"/>
        </w:rPr>
        <w:t xml:space="preserve">OHADJA-POL-03 — Crypto Policy</w:t>
      </w:r>
    </w:p>
    <w:p>
      <w:pPr>
        <w:pStyle w:val="Compact"/>
        <w:numPr>
          <w:ilvl w:val="0"/>
          <w:numId w:val="1045"/>
        </w:numPr>
      </w:pPr>
      <w:r>
        <w:rPr>
          <w:lang w:val="en-GB"/>
        </w:rPr>
        <w:t xml:space="preserve">OHADJA-POL-04 — Access control policy</w:t>
      </w:r>
    </w:p>
    <w:p>
      <w:pPr>
        <w:pStyle w:val="Compact"/>
        <w:numPr>
          <w:ilvl w:val="0"/>
          <w:numId w:val="1045"/>
        </w:numPr>
      </w:pPr>
      <w:r>
        <w:rPr>
          <w:lang w:val="en-GB"/>
        </w:rPr>
        <w:t xml:space="preserve">OHADJA-POL-05 — Password management policy</w:t>
      </w:r>
    </w:p>
    <w:p>
      <w:pPr>
        <w:pStyle w:val="Compact"/>
        <w:numPr>
          <w:ilvl w:val="0"/>
          <w:numId w:val="1045"/>
        </w:numPr>
      </w:pPr>
      <w:r>
        <w:rPr>
          <w:lang w:val="en-GB"/>
        </w:rPr>
        <w:t xml:space="preserve">OHADJA-POL-06 — Change Management Policy</w:t>
      </w:r>
    </w:p>
    <w:p>
      <w:pPr>
        <w:pStyle w:val="Compact"/>
        <w:numPr>
          <w:ilvl w:val="0"/>
          <w:numId w:val="1045"/>
        </w:numPr>
      </w:pPr>
      <w:r>
        <w:rPr>
          <w:lang w:val="en-GB"/>
        </w:rPr>
        <w:t xml:space="preserve">OHADJA-POL-07 — Secure Software Development Policy (Secure SDLC)</w:t>
      </w:r>
    </w:p>
    <w:p>
      <w:pPr>
        <w:pStyle w:val="Compact"/>
        <w:numPr>
          <w:ilvl w:val="0"/>
          <w:numId w:val="1045"/>
        </w:numPr>
      </w:pPr>
      <w:r>
        <w:rPr>
          <w:lang w:val="en-GB"/>
        </w:rPr>
        <w:t xml:space="preserve">OHADJA-POL-08 — Physical Security Policy</w:t>
      </w:r>
    </w:p>
    <w:p>
      <w:pPr>
        <w:pStyle w:val="Compact"/>
        <w:numPr>
          <w:ilvl w:val="0"/>
          <w:numId w:val="1045"/>
        </w:numPr>
      </w:pPr>
      <w:r>
        <w:rPr>
          <w:lang w:val="en-GB"/>
        </w:rPr>
        <w:t xml:space="preserve">OHADJA-POL-09 — Incident response policy</w:t>
      </w:r>
    </w:p>
    <w:p>
      <w:pPr>
        <w:pStyle w:val="Compact"/>
        <w:numPr>
          <w:ilvl w:val="0"/>
          <w:numId w:val="1045"/>
        </w:numPr>
      </w:pPr>
      <w:r>
        <w:rPr>
          <w:lang w:val="en-GB"/>
        </w:rPr>
        <w:t xml:space="preserve">OHADJA-POL-10 — Backup policy</w:t>
      </w:r>
    </w:p>
    <w:p>
      <w:pPr>
        <w:pStyle w:val="Compact"/>
        <w:numPr>
          <w:ilvl w:val="0"/>
          <w:numId w:val="1045"/>
        </w:numPr>
      </w:pPr>
      <w:r>
        <w:rPr>
          <w:lang w:val="en-GB"/>
        </w:rPr>
        <w:t xml:space="preserve">OHADJA-POL-11 — Business continuity and recovery policy (PCA / PRA)</w:t>
      </w:r>
    </w:p>
    <w:p>
      <w:pPr>
        <w:pStyle w:val="Compact"/>
        <w:numPr>
          <w:ilvl w:val="0"/>
          <w:numId w:val="1045"/>
        </w:numPr>
      </w:pPr>
      <w:r>
        <w:rPr>
          <w:lang w:val="en-GB"/>
        </w:rPr>
        <w:t xml:space="preserve">OHADJA-POL-12 — Network Security Policy</w:t>
      </w:r>
    </w:p>
    <w:p>
      <w:pPr>
        <w:pStyle w:val="Compact"/>
        <w:numPr>
          <w:ilvl w:val="0"/>
          <w:numId w:val="1045"/>
        </w:numPr>
      </w:pPr>
      <w:r>
        <w:rPr>
          <w:lang w:val="en-GB"/>
        </w:rPr>
        <w:t xml:space="preserve">OHADJA-POL-13 — Data protection policy</w:t>
      </w:r>
    </w:p>
    <w:p>
      <w:pPr>
        <w:pStyle w:val="Compact"/>
        <w:numPr>
          <w:ilvl w:val="0"/>
          <w:numId w:val="1045"/>
        </w:numPr>
      </w:pPr>
      <w:r>
        <w:rPr>
          <w:lang w:val="en-GB"/>
        </w:rPr>
        <w:t xml:space="preserve">OHADJA-POL-14 — Ethics Policy</w:t>
      </w:r>
    </w:p>
    <w:p>
      <w:pPr>
        <w:pStyle w:val="Compact"/>
        <w:numPr>
          <w:ilvl w:val="0"/>
          <w:numId w:val="1045"/>
        </w:numPr>
      </w:pPr>
      <w:r>
        <w:rPr>
          <w:lang w:val="en-GB"/>
        </w:rPr>
        <w:t xml:space="preserve">OHADJA-POL-15 — Acceptable Use Policy</w:t>
      </w:r>
    </w:p>
    <w:p>
      <w:pPr>
        <w:pStyle w:val="Compact"/>
        <w:numPr>
          <w:ilvl w:val="0"/>
          <w:numId w:val="1045"/>
        </w:numPr>
      </w:pPr>
      <w:r>
        <w:rPr>
          <w:lang w:val="en-GB"/>
        </w:rPr>
        <w:t xml:space="preserve">OHADJA-POL-16 — Vulnerability and Patch Management Policy</w:t>
      </w:r>
    </w:p>
    <w:p>
      <w:r>
        <w:pict>
          <v:rect style="width:0;height:1.5pt" o:hralign="center" o:hrstd="t" o:hr="t"/>
        </w:pict>
      </w:r>
    </w:p>
    <w:bookmarkEnd w:id="159"/>
    <w:bookmarkStart w:id="160" w:name="Xc8fed863851aa9c00eed84623d24aa00af6affd"/>
    <w:p>
      <w:pPr>
        <w:pStyle w:val="Heading2"/>
        <w:keepNext/>
        <w:keepLines/>
      </w:pPr>
      <w:r>
        <w:rPr>
          <w:color w:val="000000"/>
          <w:lang w:val="en-GB"/>
        </w:rPr>
        <w:t xml:space="preserve">7. Provision</w:t>
      </w:r>
    </w:p>
    <w:p>
      <w:pPr>
        <w:pStyle w:val="FirstParagraph"/>
      </w:pPr>
      <w:r>
        <w:rPr>
          <w:lang w:val="en-GB"/>
        </w:rPr>
        <w:t xml:space="preserve">Progress </w:t>
      </w:r>
      <w:r>
        <w:rPr>
          <w:lang w:val="en-GB"/>
        </w:rPr>
        <w:t xml:space="preserve"/>
      </w:r>
      <w:r>
        <w:rPr>
          <w:b/>
          <w:bCs/>
          <w:lang w:val="en-GB"/>
        </w:rPr>
        <w:t xml:space="preserve">statements about </w:t>
      </w:r>
      <w:r>
        <w:rPr>
          <w:lang w:val="en-GB"/>
        </w:rPr>
        <w:t xml:space="preserve"/>
      </w:r>
      <w:r>
        <w:rPr>
          <w:lang w:val="en-GB"/>
        </w:rPr>
        <w:t xml:space="preserve">compliance and certification work are available on </w:t>
      </w:r>
      <w:r>
        <w:rPr>
          <w:lang w:val="en-GB"/>
        </w:rPr>
        <w:t xml:space="preserve"/>
      </w:r>
      <w:r>
        <w:rPr>
          <w:b/>
          <w:bCs/>
          <w:lang w:val="en-GB"/>
        </w:rPr>
        <w:t xml:space="preserve">request. OHADJA undertakes </w:t>
      </w:r>
      <w:r>
        <w:rPr>
          <w:lang w:val="en-GB"/>
        </w:rPr>
        <w:t xml:space="preserve">to describe the actual status of its work without anticipating a certification that has not yet been awarded.</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bookmarkEnd w:id="160"/>
    <w:bookmarkEnd w:id="161"/>
    <w:p>
      <w:pPr>
        <w:pStyle w:val="Heading1"/>
        <w:pageBreakBefore/>
        <w:keepNext/>
        <w:keepLines/>
      </w:pPr>
      <w:r>
        <w:rPr>
          <w:lang w:val="en-GB"/>
          <w:color w:val="000000"/>
        </w:rPr>
        <w:t xml:space="preserve">Annex on national deployment rules</w:t>
      </w:r>
    </w:p>
    <w:p>
      <w:pPr>
        <w:pStyle w:val="Heading2"/>
        <w:keepNext/>
        <w:keepLines/>
      </w:pPr>
      <w:r>
        <w:rPr>
          <w:lang w:val="en-GB"/>
          <w:color w:val="000000"/>
        </w:rPr>
        <w:t xml:space="preserve">Scope of this annex</w:t>
      </w:r>
    </w:p>
    <w:p>
      <w:pPr>
        <w:pStyle w:val="BodyText"/>
      </w:pPr>
      <w:r>
        <w:rPr>
          <w:lang w:val="en-GB"/>
        </w:rPr>
        <w:t xml:space="preserve">This edition covers the European Union GDPR framework and the deployment considerations below for France, Ireland, the Netherlands, Spain and Portugal. The notices must be read according to the Customer’s actual country and use, regardless of the document’s language. They supplement the project documents without automatically changing the parties’ identities, the chosen French governing law or the designated courts. Applicable mandatory rules remain reserved. French national references in the main document remain identified as such; they do not constitute foreign equivalents.</w:t>
      </w:r>
    </w:p>
    <w:p>
      <w:pPr>
        <w:pStyle w:val="Heading2"/>
        <w:keepNext/>
        <w:keepLines/>
      </w:pPr>
      <w:r>
        <w:rPr>
          <w:lang w:val="en-GB"/>
          <w:color w:val="000000"/>
        </w:rPr>
        <w:t xml:space="preserve">European framework to document before commissioning</w:t>
      </w:r>
    </w:p>
    <w:p>
      <w:pPr>
        <w:pStyle w:val="BodyText"/>
      </w:pPr>
      <w:r>
        <w:rPr>
          <w:lang w:val="en-GB"/>
        </w:rPr>
        <w:t xml:space="preserve">The Customer must determine the purpose, necessity, proportionality and lawful basis of every recording and processing operation; inform individuals before collection; define recipients, retention periods and arrangements for exercising rights; and conclude an Article 28-compliant agreement for operations entrusted to a processor. Information, consultation or human validation alone does not make processing lawful. Employee consent must be considered cautiously given the imbalance with the employer.</w:t>
      </w:r>
    </w:p>
    <w:p>
      <w:pPr>
        <w:pStyle w:val="BodyText"/>
      </w:pPr>
      <w:r>
        <w:rPr>
          <w:lang w:val="en-GB"/>
        </w:rPr>
        <w:t xml:space="preserve">If special categories of data are processed, an applicable Article 9 condition must be identified in addition to the Article 6 basis. Voice comparison intended for unique identification must be assessed in terms of biometrics, even without a persistent template. An impact assessment must be conducted before processing likely to result in a high risk, and the rules on prior consultation of the authority remain applicable where Article 36 conditions are met. Neither local hosting nor an addendum removes the need for this assessment.</w:t>
      </w:r>
    </w:p>
    <w:p>
      <w:pPr>
        <w:pStyle w:val="BodyText"/>
      </w:pPr>
      <w:r>
        <w:rPr>
          <w:lang w:val="en-GB"/>
        </w:rPr>
        <w:t xml:space="preserve">The competent authority depends on GDPR rules, particularly for cross-border processing; it does not depend on the selected language. The processor alerts the Customer without undue delay. The controller notifies the competent authority under Article 33 conditions, where feasible within 72 hours of becoming aware of a breach, unless it is unlikely to result in a risk to rights and freedoms. Communication to individuals is subject to Article 34 conditions.</w:t>
      </w:r>
    </w:p>
    <w:p>
      <w:pPr>
        <w:pStyle w:val="BodyText"/>
      </w:pPr>
      <w:r>
        <w:rPr>
          <w:lang w:val="en-GB"/>
        </w:rPr>
        <w:t xml:space="preserve">European sources https://eur-lex.europa.eu/eli/reg/2016/679/oj and https://www.edpb.europa.eu/documents/guideline/guidelines-052020-on-consent-under-regulation-2016679_en</w:t>
      </w:r>
    </w:p>
    <w:p>
      <w:pPr>
        <w:pStyle w:val="Heading2"/>
        <w:keepNext/>
        <w:keepLines/>
      </w:pPr>
      <w:r>
        <w:rPr>
          <w:lang w:val="en-GB"/>
          <w:color w:val="000000"/>
        </w:rPr>
        <w:t xml:space="preserve">France</w:t>
      </w:r>
    </w:p>
    <w:p>
      <w:pPr>
        <w:pStyle w:val="BodyText"/>
      </w:pPr>
      <w:r>
        <w:rPr>
          <w:lang w:val="en-GB"/>
        </w:rPr>
        <w:t xml:space="preserve">For deployment in France, determine employee information and prior CSE consultation obligations according to the system, workforce size and applicable legal scope. The French Labour Code covers, in particular, techniques enabling activity monitoring, even if the product is presented as drafting assistance. Information and consultation do not replace the assessment of lawfulness, necessity and proportionality, or rules concerning private conversations, sensitive data and confidentiality. The CNIL is the national authority, subject to GDPR jurisdiction rules.</w:t>
      </w:r>
    </w:p>
    <w:p>
      <w:pPr>
        <w:pStyle w:val="BodyText"/>
      </w:pPr>
      <w:r>
        <w:rPr>
          <w:lang w:val="en-GB"/>
        </w:rPr>
        <w:t xml:space="preserve">French sources Labour Code Articles L1222-4 and L2312-38 https://www.legifrance.gouv.fr/codes/article_lc/LEGIARTI000006900861 and https://www.legifrance.gouv.fr/codes/section_lc/LEGITEXT000006072050/LEGISCTA000035610273/</w:t>
      </w:r>
    </w:p>
    <w:p>
      <w:pPr>
        <w:pStyle w:val="Heading2"/>
        <w:keepNext/>
        <w:keepLines/>
      </w:pPr>
      <w:r>
        <w:rPr>
          <w:lang w:val="en-GB"/>
          <w:color w:val="000000"/>
        </w:rPr>
        <w:t xml:space="preserve">Ireland</w:t>
      </w:r>
    </w:p>
    <w:p>
      <w:pPr>
        <w:pStyle w:val="BodyText"/>
      </w:pPr>
      <w:r>
        <w:rPr>
          <w:lang w:val="en-GB"/>
        </w:rPr>
        <w:t xml:space="preserve">For deployment in Ireland, apply the GDPR and national framework; document the lawful basis and inform participants before recording. Examine employee information and consultation obligations according to scope, workforce size, collective agreements and existing arrangements. The Irish system is distinct from the French CSE and does not create an identical consultation requirement for every employer. The Data Protection Commission is the national authority, subject to cross-border jurisdiction rules.</w:t>
      </w:r>
    </w:p>
    <w:p>
      <w:pPr>
        <w:pStyle w:val="BodyText"/>
      </w:pPr>
      <w:r>
        <w:rPr>
          <w:lang w:val="en-GB"/>
        </w:rPr>
        <w:t xml:space="preserve">Irish sources https://www.dataprotection.ie/en/dpc-guidance/video-recording and Employees (Provision of Information and Consultation) Act 2006 https://www.irishstatutebook.ie/eli/2006/act/9/enacted/en/print</w:t>
      </w:r>
    </w:p>
    <w:p>
      <w:pPr>
        <w:pStyle w:val="Heading2"/>
        <w:keepNext/>
        <w:keepLines/>
      </w:pPr>
      <w:r>
        <w:rPr>
          <w:lang w:val="en-GB"/>
          <w:color w:val="000000"/>
        </w:rPr>
        <w:t xml:space="preserve">The Netherlands</w:t>
      </w:r>
    </w:p>
    <w:p>
      <w:pPr>
        <w:pStyle w:val="BodyText"/>
      </w:pPr>
      <w:r>
        <w:rPr>
          <w:lang w:val="en-GB"/>
        </w:rPr>
        <w:t xml:space="preserve">For deployment in the Netherlands, examine the powers of the ondernemingsraad or OR. A system capable of monitoring attendance, behaviour or performance may fall within its right of prior approval under the Wet op de ondernemingsraden, even if it is not yet used for that purpose. OR approval replaces neither the lawful basis of processing nor the conditions applicable to biometrics and sensitive data. The Autoriteit Persoonsgegevens is the national authority, subject to GDPR jurisdiction rules.</w:t>
      </w:r>
    </w:p>
    <w:p>
      <w:pPr>
        <w:pStyle w:val="BodyText"/>
      </w:pPr>
      <w:r>
        <w:rPr>
          <w:lang w:val="en-GB"/>
        </w:rPr>
        <w:t xml:space="preserve">Dutch source Autoriteit Persoonsgegevens https://autoriteitpersoonsgegevens.nl/en/themes/employment-and-benefits/works-council/the-works-council-and-staff-tracking-systems</w:t>
      </w:r>
    </w:p>
    <w:p>
      <w:pPr>
        <w:pStyle w:val="Heading2"/>
        <w:keepNext/>
        <w:keepLines/>
      </w:pPr>
      <w:r>
        <w:rPr>
          <w:lang w:val="en-GB"/>
          <w:color w:val="000000"/>
        </w:rPr>
        <w:t xml:space="preserve">Spain</w:t>
      </w:r>
    </w:p>
    <w:p>
      <w:pPr>
        <w:pStyle w:val="BodyText"/>
      </w:pPr>
      <w:r>
        <w:rPr>
          <w:lang w:val="en-GB"/>
        </w:rPr>
        <w:t xml:space="preserve">For deployment in Spain, distinguish meeting transcription from the use of audio surveillance systems. Within the scope of Article 89 of Ley Orgánica 3/2018, workplace sound recording is strictly limited to certain security risks, with proportionality, minimal intervention and safeguards; rest areas are protected. Examine representatives’ information and consultation rights and applicable agreements. These provisions must not be extended without assessment to every occasional meeting, and participants’ agreement is not general authorisation. Identify the AEPD or competent regional authority according to the processing.</w:t>
      </w:r>
    </w:p>
    <w:p>
      <w:pPr>
        <w:pStyle w:val="BodyText"/>
      </w:pPr>
      <w:r>
        <w:rPr>
          <w:lang w:val="en-GB"/>
        </w:rPr>
        <w:t xml:space="preserve">Spanish sources Ley Orgánica 3/2018 Article 89 https://www.boe.es/buscar/act.php?id=BOE-A-2018-16673#a89 and Estatuto de los Trabajadores Article 64 https://www.boe.es/buscar/act.php?id=BOE-A-2015-11430#a64</w:t>
      </w:r>
    </w:p>
    <w:p>
      <w:pPr>
        <w:pStyle w:val="Heading2"/>
        <w:keepNext/>
        <w:keepLines/>
      </w:pPr>
      <w:r>
        <w:rPr>
          <w:lang w:val="en-GB"/>
          <w:color w:val="000000"/>
        </w:rPr>
        <w:t xml:space="preserve">Portugal</w:t>
      </w:r>
    </w:p>
    <w:p>
      <w:pPr>
        <w:pStyle w:val="BodyText"/>
      </w:pPr>
      <w:r>
        <w:rPr>
          <w:lang w:val="en-GB"/>
        </w:rPr>
        <w:t xml:space="preserve">For deployment in Portugal, examine the Código do Trabalho, Lei 58/2019 and rules applicable to the specific system. Remote surveillance intended to monitor professional performance is prohibited. Sound capture within a video surveillance system is subject to specific restrictions; this means neither that every meeting recording is prohibited nor that it is always authorised. Determine obligations towards workers and their representatives before commissioning. The Comissão Nacional de Proteção de Dados is the national authority, subject to GDPR jurisdiction rules.</w:t>
      </w:r>
    </w:p>
    <w:p>
      <w:pPr>
        <w:pStyle w:val="BodyText"/>
      </w:pPr>
      <w:r>
        <w:rPr>
          <w:lang w:val="en-GB"/>
        </w:rPr>
        <w:t xml:space="preserve">Portuguese sources Código do Trabalho Articles 20 and 21 https://diariodarepublica.pt/dr/legislacao-consolidada/lei/2009-34546475-211441911 and CNPD https://www.cnpd.pt/organizacoes/areas-tematicas/videovigilancia/</w:t>
      </w:r>
    </w:p>
    <w:p>
      <w:pPr>
        <w:pStyle w:val="Heading2"/>
        <w:keepNext/>
        <w:keepLines/>
      </w:pPr>
      <w:r>
        <w:rPr>
          <w:lang w:val="en-GB"/>
          <w:color w:val="000000"/>
        </w:rPr>
        <w:t xml:space="preserve">French frameworks and project commitments</w:t>
      </w:r>
    </w:p>
    <w:p>
      <w:pPr>
        <w:pStyle w:val="BodyText"/>
      </w:pPr>
      <w:r>
        <w:rPr>
          <w:lang w:val="en-GB"/>
        </w:rPr>
        <w:t xml:space="preserve">The terms CSE, CGCT, HDS, SecNumCloud, ANSSI and RGAA refer to French institutions, rules or frameworks. They establish neither TranscribIA certification nor automatic compliance with a foreign framework. Amounts and payment mechanisms in the terms of sale, including the reference to the French Commercial Code, must be considered together with the chosen law, the Customer’s status and applicable mandatory rules; they must not be presented as transpositions of each national law. Arrangements applicable to public procurement, consumers and regulated sectors must be specified separately where relevant.</w:t>
      </w:r>
    </w:p>
    <w:p>
      <w:pPr>
        <w:pStyle w:val="BodyText"/>
      </w:pPr>
      <w:r>
        <w:rPr>
          <w:lang w:val="en-GB"/>
        </w:rPr>
        <w:t xml:space="preserve">Before signature, complete and verify the project annexes concerning the parties, SaaS or on-premise configuration, processing and access locations, subprocessors, transfers, actual security measures, retention and service levels. This annex does not establish that a technical measure is already deployed and does not replace agreed specific commitments. British and Belgian regimes and other countries are not covered by these national notices; they require separate adaptation.</w:t>
      </w:r>
    </w:p>
    <w:p>
      <w:pPr>
        <w:pStyle w:val="BodyText"/>
      </w:pPr>
      <w:r>
        <w:rPr>
          <w:lang w:val="en-GB"/>
        </w:rPr>
        <w:t xml:space="preserve">Interface screenshots and examples from the application may remain in French. Explanatory text and document captions are translated; commands, filenames, technical identifiers and document references must be preserved exactly.</w:t>
      </w:r>
    </w:p>
    <w:p>
      <w:pPr>
        <w:pStyle w:val="Heading1"/>
        <w:keepNext/>
        <w:keepLines/>
      </w:pPr>
      <w:r>
        <w:rPr>
          <w:lang w:val="en-GB"/>
          <w:color w:val="000000"/>
        </w:rPr>
        <w:t>History of this edition</w:t>
      </w:r>
    </w:p>
    <w:p>
      <w:pPr>
        <w:pStyle w:val="BodyText"/>
      </w:pPr>
      <w:r>
        <w:rPr>
          <w:lang w:val="en-GB"/>
        </w:rPr>
        <w:t>1.1 — 2026-10-17</w:t>
      </w:r>
    </w:p>
    <w:p>
      <w:pPr>
        <w:pStyle w:val="BodyText"/>
      </w:pPr>
      <w:r>
        <w:rPr>
          <w:lang w:val="en-GB"/>
        </w:rPr>
        <w:t>Multilingual edition and document corrections. Earlier versions and their dates are retained. The French text is authoritative; translations aid reading and do not change the parties or applicable law.</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6" Target="media/rId56.png" /><Relationship Type="http://schemas.openxmlformats.org/officeDocument/2006/relationships/image" Id="rId73" Target="media/rId73.png" /><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