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 w:name="X1b1b5836544e95e7ba683b8f0eb4f65bf553171"/>
    <w:p>
      <w:pPr>
        <w:pStyle w:val="Title"/>
        <w:keepNext/>
        <w:keepLines/>
      </w:pPr>
      <w:r>
        <w:rPr>
          <w:color w:val="000000"/>
          <w:lang w:val="es-ES"/>
        </w:rPr>
        <w:t xml:space="preserve">Certificado de confidencialidad y no reutilización de datos — TranscribIA</w:t>
      </w:r>
    </w:p>
    <w:p>
      <w:pPr>
        <w:pStyle w:val="BodyText"/>
      </w:pPr>
      <w:r>
        <w:rPr>
          <w:lang w:val="es-ES"/>
        </w:rPr>
        <w:t xml:space="preserve">Edición localizada v1.1 — 2026-10-17</w:t>
      </w:r>
    </w:p>
    <w:p>
      <w:pPr>
        <w:pStyle w:val="BodyText"/>
      </w:pPr>
      <w:r>
        <w:rPr>
          <w:lang w:val="es-ES"/>
        </w:rPr>
        <w:t xml:space="preserve">El texto francés prevalece. Esta edición abarca Francia, Irlanda, los Países Bajos, España y Portugal. El idioma no determina el país de implantación, las partes ni la ley aplicable. Lea el anexo nacional al final del documento según el país y el uso reales.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TRB-CONF-01.05</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bookmarkStart w:id="9" w:name="X911dca219555f1a78d100c92819cb03dc37c622"/>
    <w:p>
      <w:pPr>
        <w:pStyle w:val="Heading2"/>
        <w:keepNext/>
        <w:keepLines/>
      </w:pPr>
      <w:r>
        <w:rPr>
          <w:color w:val="000000"/>
          <w:lang w:val="es-ES"/>
        </w:rPr>
        <w:t xml:space="preserve">1. Objeto y alcance del certificado</w:t>
      </w:r>
    </w:p>
    <w:p>
      <w:pPr>
        <w:pStyle w:val="FirstParagraph"/>
      </w:pPr>
      <w:r>
        <w:rPr>
          <w:lang w:val="es-ES"/>
        </w:rPr>
        <w:t xml:space="preserve">Este certificado lo establece OHADJA, editor y proveedor de la solución TranscribIA, a solicitud de su cliente, con el fin de confirmar por escrito las garantías de confidencialidad y no reutilización de datos aplicables a una Opción B </w:t>
      </w:r>
      <w:r>
        <w:rPr>
          <w:lang w:val="es-ES"/>
        </w:rPr>
        <w:t xml:space="preserve"/>
      </w:r>
      <w:r>
        <w:rPr>
          <w:b/>
          <w:bCs/>
          <w:lang w:val="es-ES"/>
        </w:rPr>
        <w:t xml:space="preserve">aislada: implementación </w:t>
      </w:r>
      <w:r>
        <w:rPr>
          <w:lang w:val="es-ES"/>
        </w:rPr>
        <w:t xml:space="preserve">local.</w:t>
      </w:r>
    </w:p>
    <w:p>
      <w:pPr>
        <w:pStyle w:val="BodyText"/>
      </w:pPr>
      <w:r>
        <w:rPr>
          <w:b/>
          <w:bCs/>
          <w:lang w:val="es-ES"/>
        </w:rPr>
        <w:t xml:space="preserve">Ámbito cubierto. </w:t>
      </w:r>
      <w:r>
        <w:rPr>
          <w:lang w:val="es-ES"/>
        </w:rPr>
        <w:t xml:space="preserve"/>
      </w:r>
      <w:r>
        <w:rPr>
          <w:lang w:val="es-ES"/>
        </w:rPr>
        <w:t xml:space="preserve">La declaración de la sección 2 se aplica exclusivamente a un despliegue de TranscribIA en la </w:t>
      </w:r>
      <w:r>
        <w:rPr>
          <w:lang w:val="es-ES"/>
        </w:rPr>
        <w:t xml:space="preserve"/>
      </w:r>
      <w:r>
        <w:rPr>
          <w:b/>
          <w:bCs/>
          <w:lang w:val="es-ES"/>
        </w:rPr>
        <w:t xml:space="preserve">Opción B local aislada, </w:t>
      </w:r>
      <w:r>
        <w:rPr>
          <w:lang w:val="es-ES"/>
        </w:rPr>
        <w:t xml:space="preserve">es decir, una instalación en la que todos los componentes de la solución (aplicación, base de datos, worker de transcripción GPU y modelo de inteligencia artificial autoalojado) se ejecutan en la infraestructura del cliente, sin flujos salientes necesarios para el funcionamiento normal.</w:t>
      </w:r>
    </w:p>
    <w:p>
      <w:pPr>
        <w:pStyle w:val="BodyText"/>
      </w:pPr>
      <w:r>
        <w:rPr>
          <w:b/>
          <w:bCs/>
          <w:lang w:val="es-ES"/>
        </w:rPr>
        <w:t xml:space="preserve">Exclusiones y reservas. </w:t>
      </w:r>
      <w:r>
        <w:rPr>
          <w:lang w:val="es-ES"/>
        </w:rPr>
        <w:t xml:space="preserve"/>
      </w:r>
      <w:r>
        <w:rPr>
          <w:lang w:val="es-ES"/>
        </w:rPr>
        <w:t xml:space="preserve">El certificado no cubre:</w:t>
      </w:r>
    </w:p>
    <w:p>
      <w:pPr>
        <w:pStyle w:val="Compact"/>
        <w:numPr>
          <w:ilvl w:val="0"/>
          <w:numId w:val="1001"/>
        </w:numPr>
      </w:pPr>
      <w:r>
        <w:rPr>
          <w:lang w:val="es-ES"/>
        </w:rPr>
        <w:t xml:space="preserve">operaciones realizadas por el propio cliente sobre su infraestructura (hosting, administración de sistemas, seguridad de red, respaldos, supervisión), que son de su responsabilidad;</w:t>
      </w:r>
    </w:p>
    <w:p>
      <w:pPr>
        <w:pStyle w:val="Compact"/>
        <w:numPr>
          <w:ilvl w:val="0"/>
          <w:numId w:val="1001"/>
        </w:numPr>
      </w:pPr>
      <w:r>
        <w:rPr>
          <w:lang w:val="es-ES"/>
        </w:rPr>
        <w:t xml:space="preserve">cualquier activación, por parte del cliente, de una función que implique un flujo saliente (por ejemplo, el uso de un modelo de IA remoto o un recurso de GPU externo), que llevaría el despliegue fuera del perímetro "aislado";</w:t>
      </w:r>
    </w:p>
    <w:p>
      <w:pPr>
        <w:pStyle w:val="Compact"/>
        <w:numPr>
          <w:ilvl w:val="0"/>
          <w:numId w:val="1001"/>
        </w:numPr>
      </w:pPr>
      <w:r>
        <w:rPr>
          <w:lang w:val="es-ES"/>
        </w:rPr>
        <w:t xml:space="preserve">soporte remoto, que sólo se realiza </w:t>
      </w:r>
      <w:r>
        <w:rPr>
          <w:lang w:val="es-ES"/>
        </w:rPr>
        <w:t xml:space="preserve">con </w:t>
      </w:r>
      <w:r>
        <w:rPr>
          <w:b/>
          <w:bCs/>
          <w:lang w:val="es-ES"/>
        </w:rPr>
        <w:t xml:space="preserve">autorización previa expresa del cliente, en el marco de una sesión supervisada por </w:t>
      </w:r>
      <w:r>
        <w:rPr>
          <w:lang w:val="es-ES"/>
        </w:rPr>
        <w:t xml:space="preserve">el </w:t>
      </w:r>
      <w:r>
        <w:rPr>
          <w:lang w:val="es-ES"/>
        </w:rPr>
        <w:t xml:space="preserve">cliente, </w:t>
      </w:r>
      <w:r>
        <w:rPr>
          <w:lang w:val="es-ES"/>
        </w:rPr>
        <w:t xml:space="preserve"/>
      </w:r>
      <w:r>
        <w:rPr>
          <w:b/>
          <w:bCs/>
          <w:lang w:val="es-ES"/>
        </w:rPr>
        <w:t xml:space="preserve">realizada exclusivamente desde Francia o la Unión Europea, sin </w:t>
      </w:r>
      <w:r>
        <w:rPr>
          <w:lang w:val="es-ES"/>
        </w:rPr>
        <w:t xml:space="preserve">copia local de los datos de producción, y cada intervención de la cual queda registrada.</w:t>
      </w:r>
    </w:p>
    <w:p>
      <w:pPr>
        <w:pStyle w:val="FirstParagraph"/>
      </w:pPr>
      <w:r>
        <w:rPr>
          <w:lang w:val="es-ES"/>
        </w:rPr>
        <w:t xml:space="preserve">Cualquier intervención fuera de este ámbito está sujeta a un acuerdo específico y no está cubierta por este certificado.</w:t>
      </w:r>
    </w:p>
    <w:bookmarkEnd w:id="9"/>
    <w:bookmarkStart w:id="10" w:name="Xedb769931442d0b50170f248284f489fa6faaa2"/>
    <w:p>
      <w:pPr>
        <w:pStyle w:val="Heading2"/>
        <w:keepNext/>
        <w:keepLines/>
      </w:pPr>
      <w:r>
        <w:rPr>
          <w:color w:val="000000"/>
          <w:lang w:val="es-ES"/>
        </w:rPr>
        <w:t xml:space="preserve">2. Declaración — Opción B de instalación local aislada</w:t>
      </w:r>
    </w:p>
    <w:p>
      <w:pPr>
        <w:pStyle w:val="FirstParagraph"/>
      </w:pPr>
      <w:r>
        <w:rPr>
          <w:lang w:val="es-ES"/>
        </w:rPr>
        <w:t xml:space="preserve">Yo, Olivier Dupont, en calidad de presidente y representante de OHADJA, certifico, para la implementación de la solución TranscribIA en la Opción B local aislada como se define en la sección 1:</w:t>
      </w:r>
    </w:p>
    <w:p>
      <w:pPr>
        <w:numPr>
          <w:ilvl w:val="0"/>
          <w:numId w:val="1002"/>
        </w:numPr>
      </w:pPr>
      <w:r>
        <w:rPr>
          <w:b/>
          <w:bCs/>
          <w:lang w:val="es-ES"/>
        </w:rPr>
        <w:t xml:space="preserve">No se envían datos a la nube. Ningún </w:t>
      </w:r>
      <w:r>
        <w:rPr>
          <w:lang w:val="es-ES"/>
        </w:rPr>
        <w:t xml:space="preserve"/>
      </w:r>
      <w:r>
        <w:rPr>
          <w:lang w:val="es-ES"/>
        </w:rPr>
        <w:t xml:space="preserve">dato del cliente (archivos de audio, transcripciones, documentos, metadatos, cuentas de usuario, generaciones) se transmite a un servicio en la nube externo o a un tercero para el funcionamiento nominal de la solución. Todo el procesamiento, incluida la transcripción, la diarización y la explotación mediante inteligencia artificial, se ejecuta en componentes alojados en la infraestructura del cliente.</w:t>
      </w:r>
    </w:p>
    <w:p>
      <w:pPr>
        <w:numPr>
          <w:ilvl w:val="0"/>
          <w:numId w:val="1002"/>
        </w:numPr>
      </w:pPr>
      <w:r>
        <w:rPr>
          <w:b/>
          <w:bCs/>
          <w:lang w:val="es-ES"/>
        </w:rPr>
        <w:t xml:space="preserve">No se utilizan datos de clientes para entrenar </w:t>
      </w:r>
      <w:r>
        <w:rPr>
          <w:lang w:val="es-ES"/>
        </w:rPr>
        <w:t xml:space="preserve">modelos. </w:t>
      </w:r>
      <w:r>
        <w:rPr>
          <w:lang w:val="es-ES"/>
        </w:rPr>
        <w:t xml:space="preserve">OHADJA no utiliza datos de clientes para entrenar, volver a entrenar, refinar o evaluar ningún modelo, ya sea transcripción, diarización, inteligencia artificial o modelos de correlación de voz.</w:t>
      </w:r>
    </w:p>
    <w:p>
      <w:pPr>
        <w:numPr>
          <w:ilvl w:val="0"/>
          <w:numId w:val="1002"/>
        </w:numPr>
      </w:pPr>
      <w:r>
        <w:rPr>
          <w:b/>
          <w:bCs/>
          <w:lang w:val="es-ES"/>
        </w:rPr>
        <w:t xml:space="preserve">No reutilización de datos por parte del proveedor del </w:t>
      </w:r>
      <w:r>
        <w:rPr>
          <w:lang w:val="es-ES"/>
        </w:rPr>
        <w:t xml:space="preserve"/>
      </w:r>
      <w:r>
        <w:rPr>
          <w:lang w:val="es-ES"/>
        </w:rPr>
        <w:t xml:space="preserve">servicio. OHADJA no reutiliza los datos de los clientes para ningún propósito específico. Los datos se procesan únicamente por cuenta del cliente, en el contexto de proporcionar la solución y las instrucciones documentadas del cliente.</w:t>
      </w:r>
    </w:p>
    <w:p>
      <w:pPr>
        <w:numPr>
          <w:ilvl w:val="0"/>
          <w:numId w:val="1002"/>
        </w:numPr>
      </w:pPr>
      <w:r>
        <w:rPr>
          <w:b/>
          <w:bCs/>
          <w:lang w:val="es-ES"/>
        </w:rPr>
        <w:t xml:space="preserve">Todos los datos permanecen alojados en la infraestructura del cliente. </w:t>
      </w:r>
      <w:r>
        <w:rPr>
          <w:lang w:val="es-ES"/>
        </w:rPr>
        <w:t xml:space="preserve"/>
      </w:r>
      <w:r>
        <w:rPr>
          <w:lang w:val="es-ES"/>
        </w:rPr>
        <w:t xml:space="preserve">Todos los datos procesados ​​permanecen almacenados y alojados en la infraestructura designada por el cliente. OHADJA no conserva ninguna copia de los datos de producción del cliente.</w:t>
      </w:r>
    </w:p>
    <w:p>
      <w:pPr>
        <w:pStyle w:val="FirstParagraph"/>
      </w:pPr>
      <w:r>
        <w:rPr>
          <w:lang w:val="es-ES"/>
        </w:rPr>
        <w:t xml:space="preserve">Esta declaración se emite de buena fe sobre la base del ámbito de instalación local aislada acordado. Antes de firmarla, deben verificarse y documentarse el despliegue efectivo, los flujos salientes, las dependencias remotas y los accesos de mantenimiento. La declaración está supeditada al mantenimiento de ese ámbito y a que no se activen opciones que impliquen flujos externos. No constituye una certificación ni una autorización general para tratar datos personales.</w:t>
      </w:r>
    </w:p>
    <w:bookmarkEnd w:id="10"/>
    <w:bookmarkStart w:id="11" w:name="Xd34e22c39898983bff1130fe82c10f2b73dc6cb"/>
    <w:p>
      <w:pPr>
        <w:pStyle w:val="Heading2"/>
        <w:keepNext/>
        <w:keepLines/>
      </w:pPr>
      <w:r>
        <w:rPr>
          <w:color w:val="000000"/>
          <w:lang w:val="es-ES"/>
        </w:rPr>
        <w:t xml:space="preserve">3. Variante: Opción A SaaS soberano</w:t>
      </w:r>
    </w:p>
    <w:p>
      <w:pPr>
        <w:pStyle w:val="FirstParagraph"/>
      </w:pPr>
      <w:r>
        <w:rPr>
          <w:lang w:val="es-ES"/>
        </w:rPr>
        <w:t xml:space="preserve">Cuando la solución se suministra </w:t>
      </w:r>
      <w:r>
        <w:rPr>
          <w:lang w:val="es-ES"/>
        </w:rPr>
        <w:t xml:space="preserve"/>
      </w:r>
      <w:r>
        <w:rPr>
          <w:b/>
          <w:bCs/>
          <w:lang w:val="es-ES"/>
        </w:rPr>
        <w:t xml:space="preserve">en la Opción A — SaaS </w:t>
      </w:r>
      <w:r>
        <w:rPr>
          <w:lang w:val="es-ES"/>
        </w:rPr>
        <w:t xml:space="preserve">soberano, no se aplica la declaración de aislamiento total de la sección 2, ya que OHADJA aloja y opera la solución. No obstante, siguen siendo aplicables las siguientes garantías:</w:t>
      </w:r>
    </w:p>
    <w:p>
      <w:pPr>
        <w:pStyle w:val="Compact"/>
        <w:numPr>
          <w:ilvl w:val="0"/>
          <w:numId w:val="1003"/>
        </w:numPr>
      </w:pPr>
      <w:r>
        <w:rPr>
          <w:b/>
          <w:bCs/>
          <w:lang w:val="es-ES"/>
        </w:rPr>
        <w:t xml:space="preserve">Sin formación (punto 2 anterior): </w:t>
      </w:r>
      <w:r>
        <w:rPr>
          <w:lang w:val="es-ES"/>
        </w:rPr>
        <w:t xml:space="preserve"/>
      </w:r>
      <w:r>
        <w:rPr>
          <w:lang w:val="es-ES"/>
        </w:rPr>
        <w:t xml:space="preserve">no se utilizan datos de clientes para entrenar modelos.</w:t>
      </w:r>
    </w:p>
    <w:p>
      <w:pPr>
        <w:pStyle w:val="Compact"/>
        <w:numPr>
          <w:ilvl w:val="0"/>
          <w:numId w:val="1003"/>
        </w:numPr>
      </w:pPr>
      <w:r>
        <w:rPr>
          <w:b/>
          <w:bCs/>
          <w:lang w:val="es-ES"/>
        </w:rPr>
        <w:t xml:space="preserve">No reutilización (punto 3 anterior): </w:t>
      </w:r>
      <w:r>
        <w:rPr>
          <w:lang w:val="es-ES"/>
        </w:rPr>
        <w:t xml:space="preserve"/>
      </w:r>
      <w:r>
        <w:rPr>
          <w:lang w:val="es-ES"/>
        </w:rPr>
        <w:t xml:space="preserve">OHADJA no reutiliza los datos de los clientes para sus propios fines.</w:t>
      </w:r>
    </w:p>
    <w:p>
      <w:pPr>
        <w:pStyle w:val="Compact"/>
        <w:numPr>
          <w:ilvl w:val="0"/>
          <w:numId w:val="1003"/>
        </w:numPr>
      </w:pPr>
      <w:r>
        <w:rPr>
          <w:b/>
          <w:bCs/>
          <w:lang w:val="es-ES"/>
        </w:rPr>
        <w:t xml:space="preserve">Alojamiento en Francia/UE: </w:t>
      </w:r>
      <w:r>
        <w:rPr>
          <w:lang w:val="es-ES"/>
        </w:rPr>
        <w:t xml:space="preserve"/>
      </w:r>
      <w:r>
        <w:rPr>
          <w:lang w:val="es-ES"/>
        </w:rPr>
        <w:t xml:space="preserve">los datos de producción se alojan en Francia (centro de datos de Estrasburgo) y las copias de seguridad cifradas se almacenan en Francia (Scaleway).</w:t>
      </w:r>
    </w:p>
    <w:p>
      <w:pPr>
        <w:pStyle w:val="Compact"/>
        <w:numPr>
          <w:ilvl w:val="0"/>
          <w:numId w:val="1003"/>
        </w:numPr>
      </w:pPr>
      <w:r>
        <w:rPr>
          <w:b/>
          <w:bCs/>
          <w:lang w:val="es-ES"/>
        </w:rPr>
        <w:t xml:space="preserve">Marco de la IA: los </w:t>
      </w:r>
      <w:r>
        <w:rPr>
          <w:lang w:val="es-ES"/>
        </w:rPr>
        <w:t xml:space="preserve"/>
      </w:r>
      <w:r>
        <w:rPr>
          <w:lang w:val="es-ES"/>
        </w:rPr>
        <w:t xml:space="preserve">tratamientos de inteligencia artificial operan únicamente sobre las fuentes seleccionadas por el cliente, con minimización, sin entrenamiento con los datos y sin almacenamiento duradero en los proveedores. Según la configuración, es posible un tratamiento fuera del EEE; en ese caso, se regula mediante los mecanismos del capítulo V del RGPD y se detalla en el documento TRB-CONF-01.04. Un perfil «UE estricta» permite excluir cualquier tratamiento fuera del EEE.</w:t>
      </w:r>
    </w:p>
    <w:p>
      <w:pPr>
        <w:pStyle w:val="FirstParagraph"/>
      </w:pPr>
      <w:r>
        <w:rPr>
          <w:lang w:val="es-ES"/>
        </w:rPr>
        <w:t xml:space="preserve">Por lo tanto, la variante SaaS no puede dar fe de la ausencia de envío de datos fuera de la infraestructura OHADJA, a diferencia de la opción B aislada. Esta distinción se hace de forma transparente.</w:t>
      </w:r>
    </w:p>
    <w:bookmarkEnd w:id="11"/>
    <w:bookmarkStart w:id="12" w:name="Xf87c5737d18b8839b8ac13a17e1a029202535fd"/>
    <w:p>
      <w:pPr>
        <w:pStyle w:val="Heading2"/>
        <w:keepNext/>
        <w:keepLines/>
      </w:pPr>
      <w:r>
        <w:rPr>
          <w:color w:val="000000"/>
          <w:lang w:val="es-ES"/>
        </w:rPr>
        <w:t xml:space="preserve">4. Alcance jurídico y verificación del ámbito</w:t>
      </w:r>
    </w:p>
    <w:p>
      <w:pPr>
        <w:pStyle w:val="FirstParagraph"/>
      </w:pPr>
      <w:r>
        <w:rPr>
          <w:lang w:val="es-ES"/>
        </w:rPr>
        <w:t xml:space="preserve">La presente declaración complementa, sin sustituirlos, los compromisos del Acuerdo de encargo del tratamiento (documento TRB-CONF-01.02) y del contrato principal. En caso de discrepancia, prevalecen las estipulaciones del DPA y del contrato principal.</w:t>
      </w:r>
    </w:p>
    <w:bookmarkEnd w:id="12"/>
    <w:bookmarkStart w:id="13" w:name="X14bc5de1db413596a714c28200c343943188e49"/>
    <w:p>
      <w:pPr>
        <w:pStyle w:val="Heading2"/>
        <w:keepNext/>
        <w:keepLines/>
      </w:pPr>
      <w:r>
        <w:rPr>
          <w:color w:val="000000"/>
          <w:lang w:val="es-ES"/>
        </w:rPr>
        <w:t xml:space="preserve">5. Firma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Hecho en</w:t>
            </w:r>
          </w:p>
        </w:tc>
        <w:tc>
          <w:tcPr/>
          <w:p>
            <w:pPr>
              <w:pStyle w:val="Compact"/>
            </w:pPr>
            <w:r>
              <w:rPr>
                <w:lang w:val="es-ES"/>
              </w:rPr>
              <w:t xml:space="preserve">[PARA COMPLETAR: ubicación]</w:t>
            </w:r>
          </w:p>
        </w:tc>
      </w:tr>
      <w:tr>
        <w:trPr>
          <w:cantSplit/>
        </w:trPr>
        <w:tc>
          <w:tcPr/>
          <w:p>
            <w:pPr>
              <w:pStyle w:val="Compact"/>
            </w:pPr>
            <w:r>
              <w:rPr>
                <w:lang w:val="es-ES"/>
              </w:rPr>
              <w:t xml:space="preserve">El</w:t>
            </w:r>
          </w:p>
        </w:tc>
        <w:tc>
          <w:tcPr/>
          <w:p>
            <w:pPr>
              <w:pStyle w:val="Compact"/>
            </w:pPr>
            <w:r>
              <w:rPr>
                <w:lang w:val="es-ES"/>
              </w:rPr>
              <w:t xml:space="preserve">[PARA COMPLETAR: fecha de la firma]</w:t>
            </w:r>
          </w:p>
        </w:tc>
      </w:tr>
      <w:tr>
        <w:trPr>
          <w:cantSplit/>
        </w:trPr>
        <w:tc>
          <w:tcPr/>
          <w:p>
            <w:pPr>
              <w:pStyle w:val="Compact"/>
            </w:pPr>
            <w:r>
              <w:rPr>
                <w:lang w:val="es-ES"/>
              </w:rPr>
              <w:t xml:space="preserve">Nombre</w:t>
            </w:r>
          </w:p>
        </w:tc>
        <w:tc>
          <w:tcPr/>
          <w:p>
            <w:pPr>
              <w:pStyle w:val="Compact"/>
            </w:pPr>
            <w:r>
              <w:rPr>
                <w:lang w:val="es-ES"/>
              </w:rPr>
              <w:t xml:space="preserve">Olivier Dupont</w:t>
            </w:r>
          </w:p>
        </w:tc>
      </w:tr>
      <w:tr>
        <w:trPr>
          <w:cantSplit/>
        </w:trPr>
        <w:tc>
          <w:tcPr/>
          <w:p>
            <w:pPr>
              <w:pStyle w:val="Compact"/>
            </w:pPr>
            <w:r>
              <w:rPr>
                <w:lang w:val="es-ES"/>
              </w:rPr>
              <w:t xml:space="preserve">Condición</w:t>
            </w:r>
          </w:p>
        </w:tc>
        <w:tc>
          <w:tcPr/>
          <w:p>
            <w:pPr>
              <w:pStyle w:val="Compact"/>
            </w:pPr>
            <w:r>
              <w:rPr>
                <w:lang w:val="es-ES"/>
              </w:rPr>
              <w:t xml:space="preserve">presidente</w:t>
            </w:r>
          </w:p>
        </w:tc>
      </w:tr>
      <w:tr>
        <w:trPr>
          <w:cantSplit/>
        </w:trPr>
        <w:tc>
          <w:tcPr/>
          <w:p>
            <w:pPr>
              <w:pStyle w:val="Compact"/>
            </w:pPr>
            <w:r>
              <w:rPr>
                <w:lang w:val="es-ES"/>
              </w:rPr>
              <w:t xml:space="preserve">Firma</w:t>
            </w:r>
          </w:p>
        </w:tc>
        <w:tc>
          <w:tcPr/>
          <w:p>
            <w:pPr>
              <w:pStyle w:val="Compact"/>
            </w:pPr>
          </w:p>
        </w:tc>
      </w:tr>
      <w:tr>
        <w:trPr>
          <w:cantSplit/>
        </w:trPr>
        <w:tc>
          <w:tcPr/>
          <w:p>
            <w:pPr>
              <w:pStyle w:val="Compact"/>
            </w:pPr>
            <w:r>
              <w:rPr>
                <w:lang w:val="es-ES"/>
              </w:rPr>
              <w:t xml:space="preserve">Sello</w:t>
            </w:r>
          </w:p>
        </w:tc>
        <w:tc>
          <w:tcPr/>
          <w:p>
            <w:pPr>
              <w:pStyle w:val="Compact"/>
            </w:pPr>
          </w:p>
        </w:tc>
      </w:tr>
    </w:tbl>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bookmarkEnd w:id="13"/>
    <w:bookmarkEnd w:id="14"/>
    <w:p>
      <w:pPr>
        <w:pStyle w:val="Heading1"/>
        <w:pageBreakBefore/>
        <w:keepNext/>
        <w:keepLines/>
      </w:pPr>
      <w:r>
        <w:rPr>
          <w:lang w:val="es-ES"/>
          <w:color w:val="000000"/>
        </w:rPr>
        <w:t xml:space="preserve">Anexo sobre las normas nacionales de despliegue</w:t>
      </w:r>
    </w:p>
    <w:p>
      <w:pPr>
        <w:pStyle w:val="Heading2"/>
        <w:keepNext/>
        <w:keepLines/>
      </w:pPr>
      <w:r>
        <w:rPr>
          <w:lang w:val="es-ES"/>
          <w:color w:val="000000"/>
        </w:rPr>
        <w:t xml:space="preserve">Alcance de este anexo</w:t>
      </w:r>
    </w:p>
    <w:p>
      <w:pPr>
        <w:pStyle w:val="BodyText"/>
      </w:pPr>
      <w:r>
        <w:rPr>
          <w:lang w:val="es-ES"/>
        </w:rPr>
        <w:t xml:space="preserve">Esta edición cubre la base del RGPD de la Unión Europea y los aspectos de despliegue que se indican a continuación para Francia, Irlanda, los Países Bajos, España y Portugal. Estas notas deben leerse según el país y el uso reales del Cliente, sea cual sea el idioma del documento. Complementan los documentos del proyecto sin modificar automáticamente la identidad de las partes, el Derecho francés elegido ni los órganos jurisdiccionales designados. Se mantienen a salvo las normas imperativas aplicables al Cliente. Las referencias nacionales francesas del cuerpo del documento siguen identificadas como tales; no constituyen una equivalencia extranjera.</w:t>
      </w:r>
    </w:p>
    <w:p>
      <w:pPr>
        <w:pStyle w:val="Heading2"/>
        <w:keepNext/>
        <w:keepLines/>
      </w:pPr>
      <w:r>
        <w:rPr>
          <w:lang w:val="es-ES"/>
          <w:color w:val="000000"/>
        </w:rPr>
        <w:t xml:space="preserve">Base europea que debe documentarse antes de la puesta en servicio</w:t>
      </w:r>
    </w:p>
    <w:p>
      <w:pPr>
        <w:pStyle w:val="BodyText"/>
      </w:pPr>
      <w:r>
        <w:rPr>
          <w:lang w:val="es-ES"/>
        </w:rPr>
        <w:t xml:space="preserve">El Cliente debe determinar la finalidad, la necesidad, la proporcionalidad y la base jurídica de cada grabación y tratamiento; informar a las personas antes de recoger los datos; definir los destinatarios, los plazos y los medios para ejercer los derechos; y celebrar un acuerdo conforme al artículo 28 para las operaciones confiadas a un encargado del tratamiento. La información, la consulta o la validación humana no bastan para que un tratamiento sea lícito. El consentimiento de los empleados debe examinarse con prudencia dado el desequilibrio frente al empleador.</w:t>
      </w:r>
    </w:p>
    <w:p>
      <w:pPr>
        <w:pStyle w:val="BodyText"/>
      </w:pPr>
      <w:r>
        <w:rPr>
          <w:lang w:val="es-ES"/>
        </w:rPr>
        <w:t xml:space="preserve">Si se tratan categorías especiales de datos, debe identificarse una condición aplicable del artículo 9 además de la base del artículo 6. Una comparación vocal destinada a la identificación unívoca debe analizarse en relación con la biometría, incluso sin una plantilla persistente. Debe realizarse una evaluación de impacto antes de los tratamientos que puedan entrañar un alto riesgo y siguen siendo aplicables las normas de consulta previa a la autoridad cuando se cumplan las condiciones del artículo 36. Ni el alojamiento local ni un anexo contractual eximen de este análisis.</w:t>
      </w:r>
    </w:p>
    <w:p>
      <w:pPr>
        <w:pStyle w:val="BodyText"/>
      </w:pPr>
      <w:r>
        <w:rPr>
          <w:lang w:val="es-ES"/>
        </w:rPr>
        <w:t xml:space="preserve">La autoridad competente depende de las normas del RGPD, en particular en los tratamientos transfronterizos; no depende del idioma elegido. El encargado del tratamiento alerta al Cliente sin dilación indebida. El responsable notifica a la autoridad competente en las condiciones del artículo 33, de ser posible en las 72 horas siguientes a tener conocimiento de una violación, salvo que sea improbable que esta entrañe un riesgo para los derechos y libertades. La comunicación a los interesados está sujeta a las condiciones del artículo 34.</w:t>
      </w:r>
    </w:p>
    <w:p>
      <w:pPr>
        <w:pStyle w:val="BodyText"/>
      </w:pPr>
      <w:r>
        <w:rPr>
          <w:lang w:val="es-ES"/>
        </w:rPr>
        <w:t xml:space="preserve">Fuentes europeas https://eur-lex.europa.eu/eli/reg/2016/679/oj y https://www.edpb.europa.eu/documents/guideline/guidelines-052020-on-consent-under-regulation-2016679_en</w:t>
      </w:r>
    </w:p>
    <w:p>
      <w:pPr>
        <w:pStyle w:val="Heading2"/>
        <w:keepNext/>
        <w:keepLines/>
      </w:pPr>
      <w:r>
        <w:rPr>
          <w:lang w:val="es-ES"/>
          <w:color w:val="000000"/>
        </w:rPr>
        <w:t xml:space="preserve">Francia</w:t>
      </w:r>
    </w:p>
    <w:p>
      <w:pPr>
        <w:pStyle w:val="BodyText"/>
      </w:pPr>
      <w:r>
        <w:rPr>
          <w:lang w:val="es-ES"/>
        </w:rPr>
        <w:t xml:space="preserve">Para un despliegue en Francia, determinar las obligaciones de información a los empleados y de consulta previa al CSE según el dispositivo, la plantilla y el ámbito legal aplicable. El Code du travail francés contempla, en particular, las técnicas que permiten controlar la actividad, aunque el producto se presente como una ayuda a la redacción. La información y la consulta no sustituyen el análisis de licitud, necesidad y proporcionalidad ni las normas específicas sobre conversaciones privadas, datos sensibles y confidencialidad. La CNIL es la autoridad nacional, sin perjuicio de las normas de competencia del RGPD.</w:t>
      </w:r>
    </w:p>
    <w:p>
      <w:pPr>
        <w:pStyle w:val="BodyText"/>
      </w:pPr>
      <w:r>
        <w:rPr>
          <w:lang w:val="es-ES"/>
        </w:rPr>
        <w:t xml:space="preserve">Fuentes de Francia Code du travail, artículos L1222-4 y L2312-38 https://www.legifrance.gouv.fr/codes/article_lc/LEGIARTI000006900861 y https://www.legifrance.gouv.fr/codes/section_lc/LEGITEXT000006072050/LEGISCTA000035610273/</w:t>
      </w:r>
    </w:p>
    <w:p>
      <w:pPr>
        <w:pStyle w:val="Heading2"/>
        <w:keepNext/>
        <w:keepLines/>
      </w:pPr>
      <w:r>
        <w:rPr>
          <w:lang w:val="es-ES"/>
          <w:color w:val="000000"/>
        </w:rPr>
        <w:t xml:space="preserve">Irlanda</w:t>
      </w:r>
    </w:p>
    <w:p>
      <w:pPr>
        <w:pStyle w:val="BodyText"/>
      </w:pPr>
      <w:r>
        <w:rPr>
          <w:lang w:val="es-ES"/>
        </w:rPr>
        <w:t xml:space="preserve">Para un despliegue en Irlanda, aplicar el RGPD y el marco nacional; documentar la base jurídica e informar a los participantes antes de la grabación. Examinar las obligaciones de información y consulta a los empleados según el ámbito, la plantilla, los convenios colectivos y los mecanismos existentes. El régimen irlandés no equivale al CSE francés ni establece una consulta idéntica para todos los empleadores. La Data Protection Commission es la autoridad nacional, sin perjuicio de las normas de competencia transfronteriza.</w:t>
      </w:r>
    </w:p>
    <w:p>
      <w:pPr>
        <w:pStyle w:val="BodyText"/>
      </w:pPr>
      <w:r>
        <w:rPr>
          <w:lang w:val="es-ES"/>
        </w:rPr>
        <w:t xml:space="preserve">Fuentes de Irlanda https://www.dataprotection.ie/en/dpc-guidance/video-recording y Employees Provision of Information and Consultation Act 2006 https://www.irishstatutebook.ie/eli/2006/act/9/enacted/en/print</w:t>
      </w:r>
    </w:p>
    <w:p>
      <w:pPr>
        <w:pStyle w:val="Heading2"/>
        <w:keepNext/>
        <w:keepLines/>
      </w:pPr>
      <w:r>
        <w:rPr>
          <w:lang w:val="es-ES"/>
          <w:color w:val="000000"/>
        </w:rPr>
        <w:t xml:space="preserve">Países Bajos</w:t>
      </w:r>
    </w:p>
    <w:p>
      <w:pPr>
        <w:pStyle w:val="BodyText"/>
      </w:pPr>
      <w:r>
        <w:rPr>
          <w:lang w:val="es-ES"/>
        </w:rPr>
        <w:t xml:space="preserve">Para un despliegue en los Países Bajos, examinar las competencias del ondernemingsraad u OR. Un dispositivo que pueda permitir el seguimiento de la presencia, el comportamiento o el rendimiento puede estar sujeto a su derecho de aprobación previa conforme a la Wet op de ondernemingsraden, aunque todavía no se utilice con ese fin. La aprobación del OR no sustituye la base jurídica del tratamiento ni las condiciones aplicables a la biometría y a los datos sensibles. La Autoriteit Persoonsgegevens es la autoridad nacional, sin perjuicio de las normas de competencia del RGPD.</w:t>
      </w:r>
    </w:p>
    <w:p>
      <w:pPr>
        <w:pStyle w:val="BodyText"/>
      </w:pPr>
      <w:r>
        <w:rPr>
          <w:lang w:val="es-ES"/>
        </w:rPr>
        <w:t xml:space="preserve">Fuente de los Países Bajos Autoriteit Persoonsgegevens https://autoriteitpersoonsgegevens.nl/en/themes/employment-and-benefits/works-council/the-works-council-and-staff-tracking-systems</w:t>
      </w:r>
    </w:p>
    <w:p>
      <w:pPr>
        <w:pStyle w:val="Heading2"/>
        <w:keepNext/>
        <w:keepLines/>
      </w:pPr>
      <w:r>
        <w:rPr>
          <w:lang w:val="es-ES"/>
          <w:color w:val="000000"/>
        </w:rPr>
        <w:t xml:space="preserve">España</w:t>
      </w:r>
    </w:p>
    <w:p>
      <w:pPr>
        <w:pStyle w:val="BodyText"/>
      </w:pPr>
      <w:r>
        <w:rPr>
          <w:lang w:val="es-ES"/>
        </w:rPr>
        <w:t xml:space="preserve">Para un despliegue en España, distinguir la transcripción de reuniones del uso de dispositivos de vigilancia sonora. Dentro del ámbito del artículo 89 de la Ley Orgánica 3/2018, la grabación de sonidos en el trabajo está estrictamente limitada a determinados riesgos de seguridad, con proporcionalidad, intervención mínima y garantías; los espacios de descanso están protegidos. Examinar los derechos de información y consulta de los representantes y los acuerdos aplicables. Estas disposiciones no deben extenderse sin análisis a cualquier reunión puntual y el acuerdo de los participantes no constituye una autorización general. Identificar a la AEPD o a la autoridad autonómica competente según el tratamiento.</w:t>
      </w:r>
    </w:p>
    <w:p>
      <w:pPr>
        <w:pStyle w:val="BodyText"/>
      </w:pPr>
      <w:r>
        <w:rPr>
          <w:lang w:val="es-ES"/>
        </w:rPr>
        <w:t xml:space="preserve">Fuentes de España Ley Orgánica 3/2018, artículo 89 https://www.boe.es/buscar/act.php?id=BOE-A-2018-16673#a89 y Estatuto de los Trabajadores, artículo 64 https://www.boe.es/buscar/act.php?id=BOE-A-2015-11430#a64</w:t>
      </w:r>
    </w:p>
    <w:p>
      <w:pPr>
        <w:pStyle w:val="Heading2"/>
        <w:keepNext/>
        <w:keepLines/>
      </w:pPr>
      <w:r>
        <w:rPr>
          <w:lang w:val="es-ES"/>
          <w:color w:val="000000"/>
        </w:rPr>
        <w:t xml:space="preserve">Portugal</w:t>
      </w:r>
    </w:p>
    <w:p>
      <w:pPr>
        <w:pStyle w:val="BodyText"/>
      </w:pPr>
      <w:r>
        <w:rPr>
          <w:lang w:val="es-ES"/>
        </w:rPr>
        <w:t xml:space="preserve">Para un despliegue en Portugal, examinar el Código do Trabalho, la Lei 58/2019 y las normas aplicables al dispositivo concreto. Está prohibida la vigilancia a distancia destinada a controlar el rendimiento profesional. La captación de sonidos mediante un dispositivo de videovigilancia está sujeta a restricciones específicas; esta norma no significa que toda grabación de reuniones esté prohibida ni que esté siempre autorizada. Determinar las obligaciones frente a los trabajadores y sus representantes antes de la puesta en servicio. La Comissão Nacional de Proteção de Dados es la autoridad nacional, sin perjuicio de las normas de competencia del RGPD.</w:t>
      </w:r>
    </w:p>
    <w:p>
      <w:pPr>
        <w:pStyle w:val="BodyText"/>
      </w:pPr>
      <w:r>
        <w:rPr>
          <w:lang w:val="es-ES"/>
        </w:rPr>
        <w:t xml:space="preserve">Fuentes de Portugal Código do Trabalho, artículos 20 y 21 https://diariodarepublica.pt/dr/legislacao-consolidada/lei/2009-34546475-211441911 y CNPD https://www.cnpd.pt/organizacoes/areas-tematicas/videovigilancia/</w:t>
      </w:r>
    </w:p>
    <w:p>
      <w:pPr>
        <w:pStyle w:val="Heading2"/>
        <w:keepNext/>
        <w:keepLines/>
      </w:pPr>
      <w:r>
        <w:rPr>
          <w:lang w:val="es-ES"/>
          <w:color w:val="000000"/>
        </w:rPr>
        <w:t xml:space="preserve">Marcos franceses y compromisos del proyecto</w:t>
      </w:r>
    </w:p>
    <w:p>
      <w:pPr>
        <w:pStyle w:val="BodyText"/>
      </w:pPr>
      <w:r>
        <w:rPr>
          <w:lang w:val="es-ES"/>
        </w:rPr>
        <w:t xml:space="preserve">Los términos CSE, CGCT, HDS, SecNumCloud, ANSSI y RGAA designan instituciones, normas o marcos franceses. No acreditan una certificación de TranscribIA ni el cumplimiento automático de un marco extranjero. Los importes y mecanismos de pago de las condiciones generales de venta, incluida la remisión al Code de commerce francés, deben articularse con el Derecho elegido, la condición del Cliente y las normas imperativas aplicables; no deben presentarse como una reproducción de cada Derecho nacional. Las modalidades aplicables a la contratación pública, los consumidores y los sectores regulados deben precisarse por separado cuando proceda.</w:t>
      </w:r>
    </w:p>
    <w:p>
      <w:pPr>
        <w:pStyle w:val="BodyText"/>
      </w:pPr>
      <w:r>
        <w:rPr>
          <w:lang w:val="es-ES"/>
        </w:rPr>
        <w:t xml:space="preserve">Antes de firmar, completar y verificar los anexos del proyecto relativos a las partes, la configuración SaaS o local, los lugares de tratamiento y acceso, los subencargados del tratamiento, las transferencias, las medidas de seguridad efectivas, la conservación y los niveles de servicio. Este anexo no acredita que una medida técnica ya esté desplegada ni sustituye los compromisos particulares acordados. Los regímenes británicos, belgas y de los demás países no están cubiertos por estas notas nacionales; requieren una adaptación específica.</w:t>
      </w:r>
    </w:p>
    <w:p>
      <w:pPr>
        <w:pStyle w:val="BodyText"/>
      </w:pPr>
      <w:r>
        <w:rPr>
          <w:lang w:val="es-ES"/>
        </w:rPr>
        <w:t xml:space="preserve">Las capturas de interfaz y los ejemplos tomados de la aplicación pueden permanecer en francés. Se traducen las explicaciones y los pies de figura de la documentación; los comandos, nombres de archivos, identificadores técnicos y referencias documentales deben conservarse idénticos.</w:t>
      </w:r>
    </w:p>
    <w:p>
      <w:pPr>
        <w:pStyle w:val="Heading1"/>
        <w:keepNext/>
        <w:keepLines/>
      </w:pPr>
      <w:r>
        <w:rPr>
          <w:lang w:val="es-ES"/>
          <w:color w:val="000000"/>
        </w:rPr>
        <w:t>Historial de esta edición</w:t>
      </w:r>
    </w:p>
    <w:p>
      <w:pPr>
        <w:pStyle w:val="BodyText"/>
      </w:pPr>
      <w:r>
        <w:rPr>
          <w:lang w:val="es-ES"/>
        </w:rPr>
        <w:t>1.1 — 2026-10-17</w:t>
      </w:r>
    </w:p>
    <w:p>
      <w:pPr>
        <w:pStyle w:val="BodyText"/>
      </w:pPr>
      <w:r>
        <w:rPr>
          <w:lang w:val="es-ES"/>
        </w:rPr>
        <w:t>Edición multilingüe y correcciones documentales. Se conservan las versiones anteriores y sus fechas. El texto francés prevalece; las traducciones facilitan la lectura y no modifican las partes ni la ley aplicable.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s-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2026-07-25T09:45:12Z</dcterms:created>
  <dcterms:modified xsi:type="dcterms:W3CDTF">2026-07-25T09:45:12Z</dcterms:modified>
</cp:coreProperties>
</file>

<file path=docProps/custom.xml><?xml version="1.0" encoding="utf-8"?>
<Properties xmlns="http://schemas.openxmlformats.org/officeDocument/2006/custom-properties" xmlns:vt="http://schemas.openxmlformats.org/officeDocument/2006/docPropsVTypes"/>
</file>