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X539e31f0c026021fb8cde29549f83f5b9ec291c"/>
    <w:p>
      <w:pPr>
        <w:pStyle w:val="Title"/>
        <w:keepNext/>
        <w:keepLines/>
      </w:pPr>
      <w:r>
        <w:rPr>
          <w:color w:val="000000"/>
          <w:lang w:val="es-ES"/>
        </w:rPr>
        <w:t xml:space="preserve">Condiciones generales de venta y mantenimiento — TranscribIA</w:t>
      </w:r>
    </w:p>
    <w:p>
      <w:pPr>
        <w:pStyle w:val="BodyText"/>
      </w:pPr>
      <w:r>
        <w:rPr>
          <w:lang w:val="es-ES"/>
        </w:rPr>
        <w:t xml:space="preserve">Edición localizada v1.1 — 2026-10-17</w:t>
      </w:r>
    </w:p>
    <w:p>
      <w:pPr>
        <w:pStyle w:val="BodyText"/>
      </w:pPr>
      <w:r>
        <w:rPr>
          <w:lang w:val="es-ES"/>
        </w:rPr>
        <w:t xml:space="preserve">El texto francés prevalece. Esta edición abarca Francia, Irlanda, los Países Bajos, España y Portugal. El idioma no determina el país de implantación, las partes ni la ley aplicable. Lea el anexo nacional al final del documento según el país y el uso reales.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CGVM-TRANSCRIBIA-2026-01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w:t>
            </w:r>
          </w:p>
        </w:tc>
        <w:tc>
          <w:tcPr/>
          <w:p>
            <w:pPr>
              <w:pStyle w:val="Compact"/>
            </w:pPr>
            <w:r>
              <w:rPr>
                <w:lang w:val="es-ES"/>
              </w:rPr>
              <w:t xml:space="preserve">OHADJA</w:t>
            </w:r>
          </w:p>
        </w:tc>
      </w:tr>
      <w:tr>
        <w:trPr>
          <w:cantSplit/>
        </w:trPr>
        <w:tc>
          <w:tcPr/>
          <w:p>
            <w:pPr>
              <w:pStyle w:val="Compact"/>
            </w:pPr>
            <w:r>
              <w:rPr>
                <w:b/>
                <w:bCs/>
                <w:lang w:val="es-ES"/>
              </w:rPr>
              <w:t xml:space="preserve">Clasificación</w:t>
            </w:r>
          </w:p>
        </w:tc>
        <w:tc>
          <w:tcPr/>
          <w:p>
            <w:pPr>
              <w:pStyle w:val="Compact"/>
            </w:pPr>
            <w:r>
              <w:rPr>
                <w:lang w:val="es-ES"/>
              </w:rPr>
              <w:t xml:space="preserve">Público: modelo de contrato (a completar antes de la firma)</w:t>
            </w:r>
          </w:p>
        </w:tc>
      </w:tr>
    </w:tbl>
    <w:p>
      <w:r>
        <w:pict>
          <v:rect style="width:0;height:1.5pt" o:hralign="center" o:hrstd="t" o:hr="t"/>
        </w:pict>
      </w:r>
    </w:p>
    <w:bookmarkStart w:id="15" w:name="article-1--objet-et-définitions"/>
    <w:p>
      <w:pPr>
        <w:pStyle w:val="Heading2"/>
        <w:keepNext/>
        <w:keepLines/>
      </w:pPr>
      <w:r>
        <w:rPr>
          <w:color w:val="000000"/>
          <w:lang w:val="es-ES"/>
        </w:rPr>
        <w:t xml:space="preserve">Artículo 1 — Objeto y definiciones</w:t>
      </w:r>
    </w:p>
    <w:bookmarkStart w:id="9" w:name="Xf4671889473d27fcb7b5710cf7ac2343be1d8a0"/>
    <w:p>
      <w:pPr>
        <w:pStyle w:val="Heading3"/>
        <w:keepNext/>
        <w:keepLines/>
      </w:pPr>
      <w:r>
        <w:rPr>
          <w:color w:val="000000"/>
          <w:lang w:val="es-ES"/>
        </w:rPr>
        <w:t xml:space="preserve">1.1 Propósito</w:t>
      </w:r>
    </w:p>
    <w:p>
      <w:pPr>
        <w:pStyle w:val="FirstParagraph"/>
      </w:pPr>
      <w:r>
        <w:rPr>
          <w:lang w:val="es-ES"/>
        </w:rPr>
        <w:t xml:space="preserve">Las presentes condiciones generales de venta y mantenimiento (en adelante, las “Condiciones” o “CGVM”) regulan el suministro, por parte de la empresa OHADJA, editora de la solución </w:t>
      </w:r>
      <w:r>
        <w:rPr>
          <w:lang w:val="es-ES"/>
        </w:rPr>
        <w:t xml:space="preserve"/>
      </w:r>
      <w:r>
        <w:rPr>
          <w:b/>
          <w:bCs/>
          <w:lang w:val="es-ES"/>
        </w:rPr>
        <w:t xml:space="preserve">de software </w:t>
      </w:r>
      <w:r>
        <w:rPr>
          <w:lang w:val="es-ES"/>
        </w:rPr>
        <w:t xml:space="preserve">TranscribIA, de todos los servicios asociados a esta solución: prestación en modo software como servicio (SaaS), concesión de licencia para uso en modo in situ (on-premise), mantenimiento, soporte, actualizaciones y servicios adicionales posibles.</w:t>
      </w:r>
    </w:p>
    <w:p>
      <w:pPr>
        <w:pStyle w:val="BodyText"/>
      </w:pPr>
      <w:r>
        <w:rPr>
          <w:lang w:val="es-ES"/>
        </w:rPr>
        <w:t xml:space="preserve">Se aplican a cualquier pedido realizado por el cliente (en adelante, el “Cliente”) a OHADJA, ya sea celebrado directamente o a través de un distribuidor o integrador autorizado.</w:t>
      </w:r>
    </w:p>
    <w:p>
      <w:pPr>
        <w:pStyle w:val="BodyText"/>
      </w:pPr>
      <w:r>
        <w:rPr>
          <w:lang w:val="es-ES"/>
        </w:rPr>
        <w:t xml:space="preserve">Cualquier pedido implica la aceptación sin reservas de las presentes Condiciones, que prevalecen sobre cualquier documento contradictorio que emane del Cliente, en particular sus condiciones generales de compra, salvo estipulación específica expresamente aceptada por escrito por OHADJA.</w:t>
      </w:r>
    </w:p>
    <w:bookmarkEnd w:id="9"/>
    <w:bookmarkStart w:id="13" w:name="X89d109302845bed012e9ce6674460c1e1467532"/>
    <w:p>
      <w:pPr>
        <w:pStyle w:val="Heading3"/>
        <w:keepNext/>
        <w:keepLines/>
      </w:pPr>
      <w:r>
        <w:rPr>
          <w:color w:val="000000"/>
          <w:lang w:val="es-ES"/>
        </w:rPr>
        <w:t xml:space="preserve">1.2 Identificación del editor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Nombre de la empresa</w:t>
            </w:r>
          </w:p>
        </w:tc>
        <w:tc>
          <w:tcPr/>
          <w:p>
            <w:pPr>
              <w:pStyle w:val="Compact"/>
            </w:pPr>
            <w:r>
              <w:rPr>
                <w:lang w:val="es-ES"/>
              </w:rPr>
              <w:t xml:space="preserve">OHADJA</w:t>
            </w:r>
          </w:p>
        </w:tc>
      </w:tr>
      <w:tr>
        <w:trPr>
          <w:cantSplit/>
        </w:trPr>
        <w:tc>
          <w:tcPr/>
          <w:p>
            <w:pPr>
              <w:pStyle w:val="Compact"/>
            </w:pPr>
            <w:r>
              <w:rPr>
                <w:lang w:val="es-ES"/>
              </w:rPr>
              <w:t xml:space="preserve">forma jurídica</w:t>
            </w:r>
          </w:p>
        </w:tc>
        <w:tc>
          <w:tcPr/>
          <w:p>
            <w:pPr>
              <w:pStyle w:val="Compact"/>
            </w:pPr>
            <w:r>
              <w:rPr>
                <w:lang w:val="es-ES"/>
              </w:rPr>
              <w:t xml:space="preserve">Société par actions simplifiée (SAS), forma jurídica francesa — actividad principal 62.01Z (programación informática)</w:t>
            </w:r>
          </w:p>
        </w:tc>
      </w:tr>
      <w:tr>
        <w:trPr>
          <w:cantSplit/>
        </w:trPr>
        <w:tc>
          <w:tcPr/>
          <w:p>
            <w:pPr>
              <w:pStyle w:val="Compact"/>
            </w:pPr>
            <w:r>
              <w:rPr>
                <w:lang w:val="es-ES"/>
              </w:rPr>
              <w:t xml:space="preserve">Número de IVA intracomunitario</w:t>
            </w:r>
          </w:p>
        </w:tc>
        <w:tc>
          <w:tcPr/>
          <w:p>
            <w:pPr>
              <w:pStyle w:val="Compact"/>
            </w:pPr>
            <w:r>
              <w:rPr>
                <w:lang w:val="es-ES"/>
              </w:rPr>
              <w:t xml:space="preserve">FR78992146480</w:t>
            </w:r>
          </w:p>
        </w:tc>
      </w:tr>
      <w:tr>
        <w:trPr>
          <w:cantSplit/>
        </w:trPr>
        <w:tc>
          <w:tcPr/>
          <w:p>
            <w:pPr>
              <w:pStyle w:val="Compact"/>
            </w:pPr>
            <w:r>
              <w:rPr>
                <w:lang w:val="es-ES"/>
              </w:rPr>
              <w:t xml:space="preserve">Representante legal</w:t>
            </w:r>
          </w:p>
        </w:tc>
        <w:tc>
          <w:tcPr/>
          <w:p>
            <w:pPr>
              <w:pStyle w:val="Compact"/>
            </w:pPr>
            <w:r>
              <w:rPr>
                <w:lang w:val="es-ES"/>
              </w:rPr>
              <w:t xml:space="preserve">Olivier Dupont, presidente</w:t>
            </w:r>
          </w:p>
        </w:tc>
      </w:tr>
      <w:tr>
        <w:trPr>
          <w:cantSplit/>
        </w:trPr>
        <w:tc>
          <w:tcPr/>
          <w:p>
            <w:pPr>
              <w:pStyle w:val="Compact"/>
            </w:pPr>
            <w:r>
              <w:rPr>
                <w:lang w:val="es-ES"/>
              </w:rPr>
              <w:t xml:space="preserve">Oficina central</w:t>
            </w:r>
          </w:p>
        </w:tc>
        <w:tc>
          <w:tcPr/>
          <w:p>
            <w:pPr>
              <w:pStyle w:val="Compact"/>
            </w:pPr>
            <w:r>
              <w:rPr>
                <w:lang w:val="es-ES"/>
              </w:rPr>
              <w:t xml:space="preserve">60 rue François 1er, 75008 París, Francia</w:t>
            </w:r>
          </w:p>
        </w:tc>
      </w:tr>
      <w:tr>
        <w:trPr>
          <w:cantSplit/>
        </w:trPr>
        <w:tc>
          <w:tcPr/>
          <w:p>
            <w:pPr>
              <w:pStyle w:val="Compact"/>
            </w:pPr>
            <w:r>
              <w:rPr>
                <w:lang w:val="es-ES"/>
              </w:rPr>
              <w:t xml:space="preserve">Registro</w:t>
            </w:r>
          </w:p>
        </w:tc>
        <w:tc>
          <w:tcPr/>
          <w:p>
            <w:pPr>
              <w:pStyle w:val="Compact"/>
            </w:pPr>
            <w:r>
              <w:rPr>
                <w:lang w:val="es-ES"/>
              </w:rPr>
              <w:t xml:space="preserve">992 146 480 R.C.S. París — SIRET de la sede: 992 146 480 00015</w:t>
            </w:r>
          </w:p>
        </w:tc>
      </w:tr>
      <w:tr>
        <w:trPr>
          <w:cantSplit/>
        </w:trPr>
        <w:tc>
          <w:tcPr/>
          <w:p>
            <w:pPr>
              <w:pStyle w:val="Compact"/>
            </w:pPr>
            <w:r>
              <w:rPr>
                <w:lang w:val="es-ES"/>
              </w:rPr>
              <w:t xml:space="preserve">contacto de ventas</w:t>
            </w:r>
          </w:p>
        </w:tc>
        <w:tc>
          <w:tcPr/>
          <w:p>
            <w:pPr>
              <w:pStyle w:val="Compact"/>
            </w:pPr>
            <w:hyperlink r:id="rId10">
              <w:r>
                <w:rPr>
                  <w:rStyle w:val="Hyperlink"/>
                  <w:lang w:val="es-ES"/>
                </w:rPr>
                <w:t xml:space="preserve">contact@transcribia.eu</w:t>
              </w:r>
            </w:hyperlink>
            <w:r>
              <w:rPr>
                <w:lang w:val="es-ES"/>
              </w:rPr>
              <w:t xml:space="preserve"> </w:t>
            </w:r>
            <w:r>
              <w:rPr>
                <w:lang w:val="es-ES"/>
              </w:rPr>
              <w:t xml:space="preserve">(teléfono: [PARA COMPLETAR])</w:t>
            </w:r>
          </w:p>
        </w:tc>
      </w:tr>
      <w:tr>
        <w:trPr>
          <w:cantSplit/>
        </w:trPr>
        <w:tc>
          <w:tcPr/>
          <w:p>
            <w:pPr>
              <w:pStyle w:val="Compact"/>
            </w:pPr>
            <w:r>
              <w:rPr>
                <w:lang w:val="es-ES"/>
              </w:rPr>
              <w:t xml:space="preserve">Contacto de soporte</w:t>
            </w:r>
          </w:p>
        </w:tc>
        <w:tc>
          <w:tcPr/>
          <w:p>
            <w:pPr>
              <w:pStyle w:val="Compact"/>
            </w:pPr>
            <w:hyperlink r:id="rId11">
              <w:r>
                <w:rPr>
                  <w:rStyle w:val="Hyperlink"/>
                  <w:lang w:val="es-ES"/>
                </w:rPr>
                <w:t xml:space="preserve">support@transcribia.eu</w:t>
              </w:r>
            </w:hyperlink>
          </w:p>
        </w:tc>
      </w:tr>
      <w:tr>
        <w:trPr>
          <w:cantSplit/>
        </w:trPr>
        <w:tc>
          <w:tcPr/>
          <w:p>
            <w:pPr>
              <w:pStyle w:val="Compact"/>
            </w:pPr>
            <w:r>
              <w:rPr>
                <w:lang w:val="es-ES"/>
              </w:rPr>
              <w:t xml:space="preserve">Contacto de protección de datos</w:t>
            </w:r>
          </w:p>
        </w:tc>
        <w:tc>
          <w:tcPr/>
          <w:p>
            <w:pPr>
              <w:pStyle w:val="Compact"/>
            </w:pPr>
            <w:hyperlink r:id="rId12">
              <w:r>
                <w:rPr>
                  <w:rStyle w:val="Hyperlink"/>
                  <w:lang w:val="es-ES"/>
                </w:rPr>
                <w:t xml:space="preserve">privacy@transcribia.eu</w:t>
              </w:r>
            </w:hyperlink>
          </w:p>
        </w:tc>
      </w:tr>
    </w:tbl>
    <w:bookmarkEnd w:id="13"/>
    <w:bookmarkStart w:id="14" w:name="X13918ccd61158bc68fb2c044c7c8daaf9a87e12"/>
    <w:p>
      <w:pPr>
        <w:pStyle w:val="Heading3"/>
        <w:keepNext/>
        <w:keepLines/>
      </w:pPr>
      <w:r>
        <w:rPr>
          <w:color w:val="000000"/>
          <w:lang w:val="es-ES"/>
        </w:rPr>
        <w:t xml:space="preserve">1.3 Definiciones</w:t>
      </w:r>
    </w:p>
    <w:p>
      <w:pPr>
        <w:pStyle w:val="FirstParagraph"/>
      </w:pPr>
      <w:r>
        <w:rPr>
          <w:lang w:val="es-ES"/>
        </w:rPr>
        <w:t xml:space="preserve">En las presentes Condiciones, los siguientes términos tienen el significado que a continuación se les atribuye:</w:t>
      </w:r>
    </w:p>
    <w:p>
      <w:pPr>
        <w:pStyle w:val="Compact"/>
        <w:numPr>
          <w:ilvl w:val="0"/>
          <w:numId w:val="1001"/>
        </w:numPr>
      </w:pPr>
      <w:r>
        <w:rPr>
          <w:b/>
          <w:bCs/>
          <w:lang w:val="es-ES"/>
        </w:rPr>
        <w:t xml:space="preserve">“Solución” o “TranscribIA”: la </w:t>
      </w:r>
      <w:r>
        <w:rPr>
          <w:lang w:val="es-ES"/>
        </w:rPr>
        <w:t xml:space="preserve"/>
      </w:r>
      <w:r>
        <w:rPr>
          <w:lang w:val="es-ES"/>
        </w:rPr>
        <w:t xml:space="preserve">plataforma de software de transcripción de audio inteligente publicada por OHADJA, que permite la importación de archivos de audio, su transcripción automática, la diarización (segmentación por locutor), la explotación asistida por inteligencia artificial (corrección, resumen, actas, capítulos, sugerencia de identificación de locutor) y la exportación de documentos.</w:t>
      </w:r>
    </w:p>
    <w:p>
      <w:pPr>
        <w:pStyle w:val="Compact"/>
        <w:numPr>
          <w:ilvl w:val="0"/>
          <w:numId w:val="1001"/>
        </w:numPr>
      </w:pPr>
      <w:r>
        <w:rPr>
          <w:b/>
          <w:bCs/>
          <w:lang w:val="es-ES"/>
        </w:rPr>
        <w:t xml:space="preserve">“Modo SaaS” (Opción </w:t>
      </w:r>
      <w:r>
        <w:rPr>
          <w:lang w:val="es-ES"/>
        </w:rPr>
        <w:t xml:space="preserve">A): </w:t>
      </w:r>
      <w:r>
        <w:rPr>
          <w:lang w:val="es-ES"/>
        </w:rPr>
        <w:t xml:space="preserve">provisión de la Solución como un servicio en línea, alojado y operado por OHADJA, accesible mediante suscripción.</w:t>
      </w:r>
    </w:p>
    <w:p>
      <w:pPr>
        <w:pStyle w:val="Compact"/>
        <w:numPr>
          <w:ilvl w:val="0"/>
          <w:numId w:val="1001"/>
        </w:numPr>
      </w:pPr>
      <w:r>
        <w:rPr>
          <w:b/>
          <w:bCs/>
          <w:lang w:val="es-ES"/>
        </w:rPr>
        <w:t xml:space="preserve">“Modo local” (Opción B): </w:t>
      </w:r>
      <w:r>
        <w:rPr>
          <w:lang w:val="es-ES"/>
        </w:rPr>
        <w:t xml:space="preserve"/>
      </w:r>
      <w:r>
        <w:rPr>
          <w:lang w:val="es-ES"/>
        </w:rPr>
        <w:t xml:space="preserve">concesión de una licencia para utilizar la Solución desplegada en la infraestructura del Cliente o en una infraestructura designada por él.</w:t>
      </w:r>
    </w:p>
    <w:p>
      <w:pPr>
        <w:pStyle w:val="Compact"/>
        <w:numPr>
          <w:ilvl w:val="0"/>
          <w:numId w:val="1001"/>
        </w:numPr>
      </w:pPr>
      <w:r>
        <w:rPr>
          <w:b/>
          <w:bCs/>
          <w:lang w:val="es-ES"/>
        </w:rPr>
        <w:t xml:space="preserve">“Contrato”: </w:t>
      </w:r>
      <w:r>
        <w:rPr>
          <w:lang w:val="es-ES"/>
        </w:rPr>
        <w:t xml:space="preserve"/>
      </w:r>
      <w:r>
        <w:rPr>
          <w:lang w:val="es-ES"/>
        </w:rPr>
        <w:t xml:space="preserve">el conjunto contractual formado por el formulario de pedido o cotización aceptado, estas Condiciones, eventuales condiciones especiales y sus anexos, incluido el Acuerdo de Procesamiento datos personales (en adelante el “DPA”).</w:t>
      </w:r>
    </w:p>
    <w:p>
      <w:pPr>
        <w:pStyle w:val="Compact"/>
        <w:numPr>
          <w:ilvl w:val="0"/>
          <w:numId w:val="1001"/>
        </w:numPr>
      </w:pPr>
      <w:r>
        <w:rPr>
          <w:b/>
          <w:bCs/>
          <w:lang w:val="es-ES"/>
        </w:rPr>
        <w:t xml:space="preserve">“Documentación”: </w:t>
      </w:r>
      <w:r>
        <w:rPr>
          <w:lang w:val="es-ES"/>
        </w:rPr>
        <w:t xml:space="preserve"/>
      </w:r>
      <w:r>
        <w:rPr>
          <w:lang w:val="es-ES"/>
        </w:rPr>
        <w:t xml:space="preserve">los documentos técnicos y funcionales que describen la Solución y sus condiciones de uso, entregados o puestos a disposición del Cliente.</w:t>
      </w:r>
    </w:p>
    <w:p>
      <w:pPr>
        <w:pStyle w:val="Compact"/>
        <w:numPr>
          <w:ilvl w:val="0"/>
          <w:numId w:val="1001"/>
        </w:numPr>
      </w:pPr>
      <w:r>
        <w:rPr>
          <w:b/>
          <w:bCs/>
          <w:lang w:val="es-ES"/>
        </w:rPr>
        <w:t xml:space="preserve">“Incidente”: </w:t>
      </w:r>
      <w:r>
        <w:rPr>
          <w:lang w:val="es-ES"/>
        </w:rPr>
        <w:t xml:space="preserve"/>
      </w:r>
      <w:r>
        <w:rPr>
          <w:lang w:val="es-ES"/>
        </w:rPr>
        <w:t xml:space="preserve">cualquier mal funcionamiento reproducible de la Solución que no cumpla con la Documentación.</w:t>
      </w:r>
    </w:p>
    <w:p>
      <w:pPr>
        <w:pStyle w:val="Compact"/>
        <w:numPr>
          <w:ilvl w:val="0"/>
          <w:numId w:val="1001"/>
        </w:numPr>
      </w:pPr>
      <w:r>
        <w:rPr>
          <w:b/>
          <w:bCs/>
          <w:lang w:val="es-ES"/>
        </w:rPr>
        <w:t xml:space="preserve">“Mantenimiento Correctivo”: </w:t>
      </w:r>
      <w:r>
        <w:rPr>
          <w:lang w:val="es-ES"/>
        </w:rPr>
        <w:t xml:space="preserve"/>
      </w:r>
      <w:r>
        <w:rPr>
          <w:lang w:val="es-ES"/>
        </w:rPr>
        <w:t xml:space="preserve">corrección de Incidencias.</w:t>
      </w:r>
    </w:p>
    <w:p>
      <w:pPr>
        <w:pStyle w:val="Compact"/>
        <w:numPr>
          <w:ilvl w:val="0"/>
          <w:numId w:val="1001"/>
        </w:numPr>
      </w:pPr>
      <w:r>
        <w:rPr>
          <w:b/>
          <w:bCs/>
          <w:lang w:val="es-ES"/>
        </w:rPr>
        <w:t xml:space="preserve">“Mantenimiento evolutivo”: </w:t>
      </w:r>
      <w:r>
        <w:rPr>
          <w:lang w:val="es-ES"/>
        </w:rPr>
        <w:t xml:space="preserve"/>
      </w:r>
      <w:r>
        <w:rPr>
          <w:lang w:val="es-ES"/>
        </w:rPr>
        <w:t xml:space="preserve">provisión de nuevas versiones, mejoras y desarrollos funcionales de la Solución.</w:t>
      </w:r>
    </w:p>
    <w:p>
      <w:pPr>
        <w:pStyle w:val="Compact"/>
        <w:numPr>
          <w:ilvl w:val="0"/>
          <w:numId w:val="1001"/>
        </w:numPr>
      </w:pPr>
      <w:r>
        <w:rPr>
          <w:b/>
          <w:bCs/>
          <w:lang w:val="es-ES"/>
        </w:rPr>
        <w:t xml:space="preserve">“Actualización de seguridad”: </w:t>
      </w:r>
      <w:r>
        <w:rPr>
          <w:lang w:val="es-ES"/>
        </w:rPr>
        <w:t xml:space="preserve"/>
      </w:r>
      <w:r>
        <w:rPr>
          <w:lang w:val="es-ES"/>
        </w:rPr>
        <w:t xml:space="preserve">la corrección de vulnerabilidades que afectan a la Solución o sus componentes.</w:t>
      </w:r>
    </w:p>
    <w:p>
      <w:pPr>
        <w:pStyle w:val="Compact"/>
        <w:numPr>
          <w:ilvl w:val="0"/>
          <w:numId w:val="1001"/>
        </w:numPr>
      </w:pPr>
      <w:r>
        <w:rPr>
          <w:b/>
          <w:bCs/>
          <w:lang w:val="es-ES"/>
        </w:rPr>
        <w:t xml:space="preserve">«Día laborable»: </w:t>
      </w:r>
      <w:r>
        <w:rPr>
          <w:lang w:val="es-ES"/>
        </w:rPr>
        <w:t xml:space="preserve"/>
      </w:r>
      <w:r>
        <w:rPr>
          <w:lang w:val="es-ES"/>
        </w:rPr>
        <w:t xml:space="preserve">cualquier día de la semana salvo sábados, domingos y festivos legales en Francia.</w:t>
      </w:r>
    </w:p>
    <w:p>
      <w:pPr>
        <w:pStyle w:val="Compact"/>
        <w:numPr>
          <w:ilvl w:val="0"/>
          <w:numId w:val="1001"/>
        </w:numPr>
      </w:pPr>
      <w:r>
        <w:rPr>
          <w:b/>
          <w:bCs/>
          <w:lang w:val="es-ES"/>
        </w:rPr>
        <w:t xml:space="preserve">«Hora hábil» </w:t>
      </w:r>
      <w:r>
        <w:rPr>
          <w:lang w:val="es-ES"/>
        </w:rPr>
        <w:t xml:space="preserve">significa </w:t>
      </w:r>
      <w:r>
        <w:rPr>
          <w:lang w:val="es-ES"/>
        </w:rPr>
        <w:t xml:space="preserve">cualquier hora comprendida entre las 09:00 y las 18:00 (hora de Europa Central, CET/CEST) de un Día hábil.</w:t>
      </w:r>
    </w:p>
    <w:p>
      <w:r>
        <w:pict>
          <v:rect style="width:0;height:1.5pt" o:hralign="center" o:hrstd="t" o:hr="t"/>
        </w:pict>
      </w:r>
    </w:p>
    <w:bookmarkEnd w:id="14"/>
    <w:bookmarkEnd w:id="15"/>
    <w:bookmarkStart w:id="20" w:name="article-2--modes-de-fourniture"/>
    <w:p>
      <w:pPr>
        <w:pStyle w:val="Heading2"/>
        <w:keepNext/>
        <w:keepLines/>
      </w:pPr>
      <w:r>
        <w:rPr>
          <w:color w:val="000000"/>
          <w:lang w:val="es-ES"/>
        </w:rPr>
        <w:t xml:space="preserve">Artículo 2 — Modos de suministro</w:t>
      </w:r>
    </w:p>
    <w:p>
      <w:pPr>
        <w:pStyle w:val="FirstParagraph"/>
      </w:pPr>
      <w:r>
        <w:rPr>
          <w:lang w:val="es-ES"/>
        </w:rPr>
        <w:t xml:space="preserve">La Solución se ofrece en dos modalidades de suministro, exclusiva o combinada según el pedido.</w:t>
      </w:r>
    </w:p>
    <w:bookmarkStart w:id="16" w:name="Xd1b37f610e12c897edc1ce61e5bef0271ea79ab"/>
    <w:p>
      <w:pPr>
        <w:pStyle w:val="Heading3"/>
        <w:keepNext/>
        <w:keepLines/>
      </w:pPr>
      <w:r>
        <w:rPr>
          <w:color w:val="000000"/>
          <w:lang w:val="es-ES"/>
        </w:rPr>
        <w:t xml:space="preserve">2.1 Modo SaaS (Opción A): suscripción</w:t>
      </w:r>
    </w:p>
    <w:p>
      <w:pPr>
        <w:pStyle w:val="FirstParagraph"/>
      </w:pPr>
      <w:r>
        <w:rPr>
          <w:lang w:val="es-ES"/>
        </w:rPr>
        <w:t xml:space="preserve">En modo SaaS, OHADJA pone la Solución a disposición del Cliente en forma de un servicio accesible de forma remota, alojado y operado por él en una infraestructura ubicada en Francia (ver Artículo 2.3). El Cliente contrata una suscripción cuya duración, alcance (número de organizaciones, usuarios, volúmenes de procesamiento) y precio se definen en el formulario de pedido.</w:t>
      </w:r>
    </w:p>
    <w:p>
      <w:pPr>
        <w:pStyle w:val="BodyText"/>
      </w:pPr>
      <w:r>
        <w:rPr>
          <w:lang w:val="es-ES"/>
        </w:rPr>
        <w:t xml:space="preserve">La suscripción incluye hosting, operación de aplicaciones, supervisión, respaldos técnicos, mantenimiento y soporte en las condiciones de estas Condiciones.</w:t>
      </w:r>
    </w:p>
    <w:bookmarkEnd w:id="16"/>
    <w:bookmarkStart w:id="17" w:name="Xfc88b1eba500b140931b7f3a307c6f84755c81f"/>
    <w:p>
      <w:pPr>
        <w:pStyle w:val="Heading3"/>
        <w:keepNext/>
        <w:keepLines/>
      </w:pPr>
      <w:r>
        <w:rPr>
          <w:color w:val="000000"/>
          <w:lang w:val="es-ES"/>
        </w:rPr>
        <w:t xml:space="preserve">2.2 Modo local (Opción B): licencia</w:t>
      </w:r>
    </w:p>
    <w:p>
      <w:pPr>
        <w:pStyle w:val="FirstParagraph"/>
      </w:pPr>
      <w:r>
        <w:rPr>
          <w:lang w:val="es-ES"/>
        </w:rPr>
        <w:t xml:space="preserve">En Modo local, OHADJA otorga al Cliente una licencia para utilizar la Solución, implementada en forma de contenedores Docker en la infraestructura del Cliente o en una infraestructura designada por él. La licencia se concede por la duración y el alcance definidos en el formulario de pedido.</w:t>
      </w:r>
    </w:p>
    <w:p>
      <w:pPr>
        <w:pStyle w:val="BodyText"/>
      </w:pPr>
      <w:r>
        <w:rPr>
          <w:lang w:val="es-ES"/>
        </w:rPr>
        <w:t xml:space="preserve">En la variante “aislada” (sin dependencia de un servicio en la nube), todos los componentes de la Solución se ejecutan en la infraestructura del Cliente, incluido el motor de transcripción y el modelo de lenguaje autohospedado configurado por la organización. No se requiere flujo de salida para el funcionamiento nominal de la Solución en esta variante.</w:t>
      </w:r>
    </w:p>
    <w:p>
      <w:pPr>
        <w:pStyle w:val="BodyText"/>
      </w:pPr>
      <w:r>
        <w:rPr>
          <w:lang w:val="es-ES"/>
        </w:rPr>
        <w:t xml:space="preserve">En Modo on-premise, el Cliente proporciona hosting, administración de infraestructura, seguridad de red, copias de seguridad y supervisión de su entorno, excepto para misiones de mantenimiento u operación expresamente encomendadas a OHADJA en el formulario de pedido.</w:t>
      </w:r>
    </w:p>
    <w:bookmarkEnd w:id="17"/>
    <w:bookmarkStart w:id="18" w:name="X620cd868255f86573729856f08d4b05334ea34f"/>
    <w:p>
      <w:pPr>
        <w:pStyle w:val="Heading3"/>
        <w:keepNext/>
        <w:keepLines/>
      </w:pPr>
      <w:r>
        <w:rPr>
          <w:color w:val="000000"/>
          <w:lang w:val="es-ES"/>
        </w:rPr>
        <w:t xml:space="preserve">2.3 Ubicación del hosting (modo SaaS)</w:t>
      </w:r>
    </w:p>
    <w:p>
      <w:pPr>
        <w:pStyle w:val="FirstParagraph"/>
      </w:pPr>
      <w:r>
        <w:rPr>
          <w:lang w:val="es-ES"/>
        </w:rPr>
        <w:t xml:space="preserve">En Modo SaaS, la Solución está alojada en una infraestructura de Hostinger ubicada en un centro de datos en Francia (Estrasburgo). Las copias de seguridad se cifran antes de la subcontratación (age, X25519 + ChaCha20-Poly1305) y se almacenan en la Unión Europea, en Scaleway (Francia). El cifrado del disco del sistema depende de la oferta del centro de datos; Está prevista una actualización (LUKS/gocryptfs). Las condiciones detalladas de ubicación, subcontratación posterior y traslados aparecen en el DPA adjunto al Contrato.</w:t>
      </w:r>
    </w:p>
    <w:bookmarkEnd w:id="18"/>
    <w:bookmarkStart w:id="19" w:name="Xc84de25915f548014284dbc3485a2fe891f2579"/>
    <w:p>
      <w:pPr>
        <w:pStyle w:val="Heading3"/>
        <w:keepNext/>
        <w:keepLines/>
      </w:pPr>
      <w:r>
        <w:rPr>
          <w:color w:val="000000"/>
          <w:lang w:val="es-ES"/>
        </w:rPr>
        <w:t xml:space="preserve">2.4 Distribución e intermediarios aprobados</w:t>
      </w:r>
    </w:p>
    <w:p>
      <w:pPr>
        <w:pStyle w:val="FirstParagraph"/>
      </w:pPr>
      <w:r>
        <w:rPr>
          <w:lang w:val="es-ES"/>
        </w:rPr>
        <w:t xml:space="preserve">El Contrato podrá celebrarse </w:t>
      </w:r>
      <w:r>
        <w:rPr>
          <w:lang w:val="es-ES"/>
        </w:rPr>
        <w:t xml:space="preserve"/>
      </w:r>
      <w:r>
        <w:rPr>
          <w:b/>
          <w:bCs/>
          <w:lang w:val="es-ES"/>
        </w:rPr>
        <w:t xml:space="preserve">directamente con </w:t>
      </w:r>
      <w:r>
        <w:rPr>
          <w:lang w:val="es-ES"/>
        </w:rPr>
        <w:t xml:space="preserve">OHADJA, editor de la Solución, </w:t>
      </w:r>
      <w:r>
        <w:rPr>
          <w:lang w:val="es-ES"/>
        </w:rPr>
        <w:t xml:space="preserve">o </w:t>
      </w:r>
      <w:r>
        <w:rPr>
          <w:b/>
          <w:bCs/>
          <w:lang w:val="es-ES"/>
        </w:rPr>
        <w:t xml:space="preserve">a través de un revendedor o distribuidor autorizado, en </w:t>
      </w:r>
      <w:r>
        <w:rPr>
          <w:lang w:val="es-ES"/>
        </w:rPr>
        <w:t xml:space="preserve">particular AMBASSADIA SARL (Francia y Mónaco) o Televic Conference France.</w:t>
      </w:r>
    </w:p>
    <w:p>
      <w:pPr>
        <w:pStyle w:val="BodyText"/>
      </w:pPr>
      <w:r>
        <w:rPr>
          <w:lang w:val="es-ES"/>
        </w:rPr>
        <w:t xml:space="preserve">Recurrir a un intermediario autorizado no modifica ni la identidad del editor de la Solución ni la </w:t>
      </w:r>
      <w:r>
        <w:rPr>
          <w:lang w:val="es-ES"/>
        </w:rPr>
        <w:t xml:space="preserve"/>
      </w:r>
      <w:r>
        <w:rPr>
          <w:b/>
          <w:bCs/>
          <w:lang w:val="es-ES"/>
        </w:rPr>
        <w:t xml:space="preserve">del encargado del tratamiento en el sentido del artículo 28 del </w:t>
      </w:r>
      <w:r>
        <w:rPr>
          <w:lang w:val="es-ES"/>
        </w:rPr>
        <w:t xml:space="preserve">RGPD, que sigue siendo OHADJA. Los revendedores y distribuidores autorizados intervienen en la comercialización, la integración con los sistemas de conferencias y la atención al cliente de primer nivel; no tratan datos de producción por cuenta del Cliente, salvo misión específica expresamente acordada y regulada contractualmente.</w:t>
      </w:r>
    </w:p>
    <w:p>
      <w:r>
        <w:pict>
          <v:rect style="width:0;height:1.5pt" o:hralign="center" o:hrstd="t" o:hr="t"/>
        </w:pict>
      </w:r>
    </w:p>
    <w:bookmarkEnd w:id="19"/>
    <w:bookmarkEnd w:id="20"/>
    <w:bookmarkStart w:id="25" w:name="article-3--commande-et-livraison"/>
    <w:p>
      <w:pPr>
        <w:pStyle w:val="Heading2"/>
        <w:keepNext/>
        <w:keepLines/>
      </w:pPr>
      <w:r>
        <w:rPr>
          <w:color w:val="000000"/>
          <w:lang w:val="es-ES"/>
        </w:rPr>
        <w:t xml:space="preserve">Artículo 3 — Pedido y entrega</w:t>
      </w:r>
    </w:p>
    <w:bookmarkStart w:id="21" w:name="X43dd320c834ca055ba327dd351bd46bcfec9061"/>
    <w:p>
      <w:pPr>
        <w:pStyle w:val="Heading3"/>
        <w:keepNext/>
        <w:keepLines/>
      </w:pPr>
      <w:r>
        <w:rPr>
          <w:color w:val="000000"/>
          <w:lang w:val="es-ES"/>
        </w:rPr>
        <w:t xml:space="preserve">3.1 Formación de pedidos</w:t>
      </w:r>
    </w:p>
    <w:p>
      <w:pPr>
        <w:pStyle w:val="FirstParagraph"/>
      </w:pPr>
      <w:r>
        <w:rPr>
          <w:lang w:val="es-ES"/>
        </w:rPr>
        <w:t xml:space="preserve">El pedido se forma mediante la firma o aceptación escrita, por parte del Cliente, de una orden de compra o de una cotización emitida por OHADJA o por un distribuidor autorizado. La cotización tiene una vigencia de treinta (30) días calendario, salvo que se indique lo contrario.</w:t>
      </w:r>
    </w:p>
    <w:bookmarkEnd w:id="21"/>
    <w:bookmarkStart w:id="22" w:name="X9444373bc25488c51399ba626a539feb8a1af94"/>
    <w:p>
      <w:pPr>
        <w:pStyle w:val="Heading3"/>
        <w:keepNext/>
        <w:keepLines/>
      </w:pPr>
      <w:r>
        <w:rPr>
          <w:color w:val="000000"/>
          <w:lang w:val="es-ES"/>
        </w:rPr>
        <w:t xml:space="preserve">3.2 Entrega: modo SaaS</w:t>
      </w:r>
    </w:p>
    <w:p>
      <w:pPr>
        <w:pStyle w:val="FirstParagraph"/>
      </w:pPr>
      <w:r>
        <w:rPr>
          <w:lang w:val="es-ES"/>
        </w:rPr>
        <w:t xml:space="preserve">En Modo SaaS, la entrega se realiza abriendo el acceso a la Solución (creación de la organización cliente y de la cuenta de administrador) dentro del [PARA COMPLETAR: hora de apertura del servicio] desde la validación del pedido y, en su caso, la recepción del primer plazo de suscripción.</w:t>
      </w:r>
    </w:p>
    <w:bookmarkEnd w:id="22"/>
    <w:bookmarkStart w:id="23" w:name="X89462a0379b7571981a99a0a103e8c222066ded"/>
    <w:p>
      <w:pPr>
        <w:pStyle w:val="Heading3"/>
        <w:keepNext/>
        <w:keepLines/>
      </w:pPr>
      <w:r>
        <w:rPr>
          <w:color w:val="000000"/>
          <w:lang w:val="es-ES"/>
        </w:rPr>
        <w:t xml:space="preserve">3.3 Entrega: modo local</w:t>
      </w:r>
    </w:p>
    <w:p>
      <w:pPr>
        <w:pStyle w:val="FirstParagraph"/>
      </w:pPr>
      <w:r>
        <w:rPr>
          <w:lang w:val="es-ES"/>
        </w:rPr>
        <w:t xml:space="preserve">En el modo local, la entrega se logra proporcionando imágenes de software, documentación de implementación y claves de licencia. La instalación en la infraestructura del Cliente está sujeta, en su caso, a un servicio de implementación independiente definido en el formulario de pedido. Los parámetros de direccionamiento, VLAN e integración con la infraestructura del Cliente se establecen conjuntamente con los equipos técnicos del Cliente durante la fase de implementación.</w:t>
      </w:r>
    </w:p>
    <w:bookmarkEnd w:id="23"/>
    <w:bookmarkStart w:id="24" w:name="X31405e772d2f048c2f0b7fa20199b409cfb8474"/>
    <w:p>
      <w:pPr>
        <w:pStyle w:val="Heading3"/>
        <w:keepNext/>
        <w:keepLines/>
      </w:pPr>
      <w:r>
        <w:rPr>
          <w:color w:val="000000"/>
          <w:lang w:val="es-ES"/>
        </w:rPr>
        <w:t xml:space="preserve">3.4 Reversibilidad de la aceptación</w:t>
      </w:r>
    </w:p>
    <w:p>
      <w:pPr>
        <w:pStyle w:val="FirstParagraph"/>
      </w:pPr>
      <w:r>
        <w:rPr>
          <w:lang w:val="es-ES"/>
        </w:rPr>
        <w:t xml:space="preserve">Excepto por el procedimiento de aceptación expresamente previsto en el formulario de pedido, la Solución se considera conforme y aceptada en ausencia de una reserva escrita y motivada por parte del Cliente dentro de [PARA COMPLETAR: fecha límite de aceptación, p.e. 15 días hábiles] desde la entrega.</w:t>
      </w:r>
    </w:p>
    <w:p>
      <w:r>
        <w:pict>
          <v:rect style="width:0;height:1.5pt" o:hralign="center" o:hrstd="t" o:hr="t"/>
        </w:pict>
      </w:r>
    </w:p>
    <w:bookmarkEnd w:id="24"/>
    <w:bookmarkEnd w:id="25"/>
    <w:bookmarkStart w:id="30" w:name="article-4--conditions-financières"/>
    <w:p>
      <w:pPr>
        <w:pStyle w:val="Heading2"/>
        <w:keepNext/>
        <w:keepLines/>
      </w:pPr>
      <w:r>
        <w:rPr>
          <w:color w:val="000000"/>
          <w:lang w:val="es-ES"/>
        </w:rPr>
        <w:t xml:space="preserve">Artículo 4 — Condiciones financieras</w:t>
      </w:r>
    </w:p>
    <w:bookmarkStart w:id="26" w:name="X7a65ee48142714814faf1fac0c74cda3d7b89fc"/>
    <w:p>
      <w:pPr>
        <w:pStyle w:val="Heading3"/>
        <w:keepNext/>
        <w:keepLines/>
      </w:pPr>
      <w:r>
        <w:rPr>
          <w:color w:val="000000"/>
          <w:lang w:val="es-ES"/>
        </w:rPr>
        <w:t xml:space="preserve">4.1 Precio</w:t>
      </w:r>
    </w:p>
    <w:p>
      <w:pPr>
        <w:pStyle w:val="FirstParagraph"/>
      </w:pPr>
      <w:r>
        <w:rPr>
          <w:lang w:val="es-ES"/>
        </w:rPr>
        <w:t xml:space="preserve">Los precios son los que aparecen en el formulario de pedido o en el presupuesto aceptado. Están expresados ​​en euros y no incluyen impuestos, siendo el impuesto sobre el valor añadido y cualquier impuesto aplicable además del tipo vigente.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Elemento arancelario</w:t>
            </w:r>
          </w:p>
        </w:tc>
        <w:tc>
          <w:tcPr/>
          <w:p>
            <w:pPr>
              <w:pStyle w:val="Compact"/>
            </w:pPr>
            <w:r>
              <w:rPr>
                <w:lang w:val="es-ES"/>
              </w:rPr>
              <w:t xml:space="preserve">base</w:t>
            </w:r>
          </w:p>
        </w:tc>
        <w:tc>
          <w:tcPr/>
          <w:p>
            <w:pPr>
              <w:pStyle w:val="Compact"/>
            </w:pPr>
            <w:r>
              <w:rPr>
                <w:lang w:val="es-ES"/>
              </w:rPr>
              <w:t xml:space="preserve">Cantidad</w:t>
            </w:r>
          </w:p>
        </w:tc>
      </w:tr>
      <w:tr>
        <w:trPr>
          <w:cantSplit/>
        </w:trPr>
        <w:tc>
          <w:tcPr/>
          <w:p>
            <w:pPr>
              <w:pStyle w:val="Compact"/>
            </w:pPr>
            <w:r>
              <w:rPr>
                <w:lang w:val="es-ES"/>
              </w:rPr>
              <w:t xml:space="preserve">Suscripción SaaS (Opción A)</w:t>
            </w:r>
          </w:p>
        </w:tc>
        <w:tc>
          <w:tcPr/>
          <w:p>
            <w:pPr>
              <w:pStyle w:val="Compact"/>
            </w:pPr>
            <w:r>
              <w:rPr>
                <w:lang w:val="es-ES"/>
              </w:rPr>
              <w:t xml:space="preserve">Por [PARA COMPLETAR: unidad — organización / usuario / nivel de volumen] y por período</w:t>
            </w:r>
          </w:p>
        </w:tc>
        <w:tc>
          <w:tcPr/>
          <w:p>
            <w:pPr>
              <w:pStyle w:val="Compact"/>
            </w:pPr>
            <w:r>
              <w:rPr>
                <w:lang w:val="es-ES"/>
              </w:rPr>
              <w:t xml:space="preserve">[PARA COMPLETAR: monto]</w:t>
            </w:r>
          </w:p>
        </w:tc>
      </w:tr>
      <w:tr>
        <w:trPr>
          <w:cantSplit/>
        </w:trPr>
        <w:tc>
          <w:tcPr/>
          <w:p>
            <w:pPr>
              <w:pStyle w:val="Compact"/>
            </w:pPr>
            <w:r>
              <w:rPr>
                <w:lang w:val="es-ES"/>
              </w:rPr>
              <w:t xml:space="preserve">Licencia local (Opción B)</w:t>
            </w:r>
          </w:p>
        </w:tc>
        <w:tc>
          <w:tcPr/>
          <w:p>
            <w:pPr>
              <w:pStyle w:val="Compact"/>
            </w:pPr>
            <w:r>
              <w:rPr>
                <w:lang w:val="es-ES"/>
              </w:rPr>
              <w:t xml:space="preserve">Por [PARA COMPLETAR: unidad de licencia]</w:t>
            </w:r>
          </w:p>
        </w:tc>
        <w:tc>
          <w:tcPr/>
          <w:p>
            <w:pPr>
              <w:pStyle w:val="Compact"/>
            </w:pPr>
            <w:r>
              <w:rPr>
                <w:lang w:val="es-ES"/>
              </w:rPr>
              <w:t xml:space="preserve">[PARA COMPLETAR: monto]</w:t>
            </w:r>
          </w:p>
        </w:tc>
      </w:tr>
      <w:tr>
        <w:trPr>
          <w:cantSplit/>
        </w:trPr>
        <w:tc>
          <w:tcPr/>
          <w:p>
            <w:pPr>
              <w:pStyle w:val="Compact"/>
            </w:pPr>
            <w:r>
              <w:rPr>
                <w:lang w:val="es-ES"/>
              </w:rPr>
              <w:t xml:space="preserve">Mantenimiento y soporte (Opción B)</w:t>
            </w:r>
          </w:p>
        </w:tc>
        <w:tc>
          <w:tcPr/>
          <w:p>
            <w:pPr>
              <w:pStyle w:val="Compact"/>
            </w:pPr>
            <w:r>
              <w:rPr>
                <w:lang w:val="es-ES"/>
              </w:rPr>
              <w:t xml:space="preserve">Porcentaje anual del precio de la licencia o paquete</w:t>
            </w:r>
          </w:p>
        </w:tc>
        <w:tc>
          <w:tcPr/>
          <w:p>
            <w:pPr>
              <w:pStyle w:val="Compact"/>
            </w:pPr>
            <w:r>
              <w:rPr>
                <w:lang w:val="es-ES"/>
              </w:rPr>
              <w:t xml:space="preserve">[PARA COMPLETAR: monto o tasa]</w:t>
            </w:r>
          </w:p>
        </w:tc>
      </w:tr>
      <w:tr>
        <w:trPr>
          <w:cantSplit/>
        </w:trPr>
        <w:tc>
          <w:tcPr/>
          <w:p>
            <w:pPr>
              <w:pStyle w:val="Compact"/>
            </w:pPr>
            <w:r>
              <w:rPr>
                <w:lang w:val="es-ES"/>
              </w:rPr>
              <w:t xml:space="preserve">Servicio de implementación</w:t>
            </w:r>
          </w:p>
        </w:tc>
        <w:tc>
          <w:tcPr/>
          <w:p>
            <w:pPr>
              <w:pStyle w:val="Compact"/>
            </w:pPr>
            <w:r>
              <w:rPr>
                <w:lang w:val="es-ES"/>
              </w:rPr>
              <w:t xml:space="preserve">Paquete o gestión</w:t>
            </w:r>
          </w:p>
        </w:tc>
        <w:tc>
          <w:tcPr/>
          <w:p>
            <w:pPr>
              <w:pStyle w:val="Compact"/>
            </w:pPr>
            <w:r>
              <w:rPr>
                <w:lang w:val="es-ES"/>
              </w:rPr>
              <w:t xml:space="preserve">[PARA COMPLETAR: monto]</w:t>
            </w:r>
          </w:p>
        </w:tc>
      </w:tr>
      <w:tr>
        <w:trPr>
          <w:cantSplit/>
        </w:trPr>
        <w:tc>
          <w:tcPr/>
          <w:p>
            <w:pPr>
              <w:pStyle w:val="Compact"/>
            </w:pPr>
            <w:r>
              <w:rPr>
                <w:lang w:val="es-ES"/>
              </w:rPr>
              <w:t xml:space="preserve">Servicios adicionales</w:t>
            </w:r>
          </w:p>
        </w:tc>
        <w:tc>
          <w:tcPr/>
          <w:p>
            <w:pPr>
              <w:pStyle w:val="Compact"/>
            </w:pPr>
            <w:r>
              <w:rPr>
                <w:lang w:val="es-ES"/>
              </w:rPr>
              <w:t xml:space="preserve">En cotización</w:t>
            </w:r>
          </w:p>
        </w:tc>
        <w:tc>
          <w:tcPr/>
          <w:p>
            <w:pPr>
              <w:pStyle w:val="Compact"/>
            </w:pPr>
            <w:r>
              <w:rPr>
                <w:lang w:val="es-ES"/>
              </w:rPr>
              <w:t xml:space="preserve">[PARA COMPLETAR: condiciones]</w:t>
            </w:r>
          </w:p>
        </w:tc>
      </w:tr>
    </w:tbl>
    <w:bookmarkEnd w:id="26"/>
    <w:bookmarkStart w:id="27" w:name="Xe7b3bd34afd2c74c6f4a3fa06951ef874be78c8"/>
    <w:p>
      <w:pPr>
        <w:pStyle w:val="Heading3"/>
        <w:keepNext/>
        <w:keepLines/>
      </w:pPr>
      <w:r>
        <w:rPr>
          <w:color w:val="000000"/>
          <w:lang w:val="es-ES"/>
        </w:rPr>
        <w:t xml:space="preserve">4.2 Facturación y pago</w:t>
      </w:r>
    </w:p>
    <w:p>
      <w:pPr>
        <w:pStyle w:val="FirstParagraph"/>
      </w:pPr>
      <w:r>
        <w:rPr>
          <w:lang w:val="es-ES"/>
        </w:rPr>
        <w:t xml:space="preserve">En Modo SaaS, la suscripción se factura [PARA COMPLETAR: periodicidad — mensual / trimestral / anual], eventualmente [PARA COMPLETAR: vencimiento / vencimiento]. En modalidad on-premise, la licencia se factura en el momento de la entrega y el mantenimiento anual al final de cada periodo.</w:t>
      </w:r>
    </w:p>
    <w:p>
      <w:pPr>
        <w:pStyle w:val="BodyText"/>
      </w:pPr>
      <w:r>
        <w:rPr>
          <w:lang w:val="es-ES"/>
        </w:rPr>
        <w:t xml:space="preserve">Las facturas son pagaderas en [PARA COMPLETAR: fecha límite de pago, dentro del límite legal de 60 días a partir de la fecha de emisión, o 45 días a fin de mes] por [PARA COMPLETAR: medio de pago].</w:t>
      </w:r>
    </w:p>
    <w:bookmarkEnd w:id="27"/>
    <w:bookmarkStart w:id="28" w:name="Xb8a5ed9c1ea1f71a52285cc681b69a2726474fe"/>
    <w:p>
      <w:pPr>
        <w:pStyle w:val="Heading3"/>
        <w:keepNext/>
        <w:keepLines/>
      </w:pPr>
      <w:r>
        <w:rPr>
          <w:color w:val="000000"/>
          <w:lang w:val="es-ES"/>
        </w:rPr>
        <w:t xml:space="preserve">4.3 Pago atrasado</w:t>
      </w:r>
    </w:p>
    <w:p>
      <w:pPr>
        <w:pStyle w:val="FirstParagraph"/>
      </w:pPr>
      <w:r>
        <w:rPr>
          <w:lang w:val="es-ES"/>
        </w:rPr>
        <w:t xml:space="preserve">Cualquier retraso en el pago implica automáticamente, sin previo aviso, la aplicación de sanciones por retraso calculadas al tipo previsto en el artículo L. 441-10 del Código de Comercio, así como una compensación fija por los gastos de recuperación de cuarenta (40) euros. OHADJA se reserva el derecho de suspender el acceso a la Solución después de que el aviso formal quede sin efecto durante [PARA COMPLETAR: fecha límite].</w:t>
      </w:r>
    </w:p>
    <w:bookmarkEnd w:id="28"/>
    <w:bookmarkStart w:id="29" w:name="X6a36c543605d00afebbb6192ce2c488e6ea045a"/>
    <w:p>
      <w:pPr>
        <w:pStyle w:val="Heading3"/>
        <w:keepNext/>
        <w:keepLines/>
      </w:pPr>
      <w:r>
        <w:rPr>
          <w:color w:val="000000"/>
          <w:lang w:val="es-ES"/>
        </w:rPr>
        <w:t xml:space="preserve">4.4 Revisión de precios</w:t>
      </w:r>
    </w:p>
    <w:p>
      <w:pPr>
        <w:pStyle w:val="FirstParagraph"/>
      </w:pPr>
      <w:r>
        <w:rPr>
          <w:lang w:val="es-ES"/>
        </w:rPr>
        <w:t xml:space="preserve">Los precios podrán revisarse en cada renovación, previa notificación por escrito de [PARA COMPLETAR: notificación, ej. 3 meses] antes del vencimiento.</w:t>
      </w:r>
    </w:p>
    <w:p>
      <w:r>
        <w:pict>
          <v:rect style="width:0;height:1.5pt" o:hralign="center" o:hrstd="t" o:hr="t"/>
        </w:pict>
      </w:r>
    </w:p>
    <w:bookmarkEnd w:id="29"/>
    <w:bookmarkEnd w:id="30"/>
    <w:bookmarkStart w:id="35" w:name="Xe0854fd2a66c567a99cd1c0db0f3fadceac7b5a"/>
    <w:p>
      <w:pPr>
        <w:pStyle w:val="Heading2"/>
        <w:keepNext/>
        <w:keepLines/>
      </w:pPr>
      <w:r>
        <w:rPr>
          <w:color w:val="000000"/>
          <w:lang w:val="es-ES"/>
        </w:rPr>
        <w:t xml:space="preserve">Artículo 5 — Duración, renovación y terminación</w:t>
      </w:r>
    </w:p>
    <w:bookmarkStart w:id="31" w:name="X49652cce112a73bae82357e686fc2e76f2b7d01"/>
    <w:p>
      <w:pPr>
        <w:pStyle w:val="Heading3"/>
        <w:keepNext/>
        <w:keepLines/>
      </w:pPr>
      <w:r>
        <w:rPr>
          <w:color w:val="000000"/>
          <w:lang w:val="es-ES"/>
        </w:rPr>
        <w:t xml:space="preserve">5.1 Duración</w:t>
      </w:r>
    </w:p>
    <w:p>
      <w:pPr>
        <w:pStyle w:val="FirstParagraph"/>
      </w:pPr>
      <w:r>
        <w:rPr>
          <w:lang w:val="es-ES"/>
        </w:rPr>
        <w:t xml:space="preserve">El Contrato se celebra por la duración indicada en el formulario de pedido. Si no se especifica, la duración inicial es [PARA COMPLETAR: duración inicial, p. 12 meses] desde la entrega.</w:t>
      </w:r>
    </w:p>
    <w:bookmarkEnd w:id="31"/>
    <w:bookmarkStart w:id="32" w:name="X5ed32690737873463fea37eb4ccd0f9fe212862"/>
    <w:p>
      <w:pPr>
        <w:pStyle w:val="Heading3"/>
        <w:keepNext/>
        <w:keepLines/>
      </w:pPr>
      <w:r>
        <w:rPr>
          <w:color w:val="000000"/>
          <w:lang w:val="es-ES"/>
        </w:rPr>
        <w:t xml:space="preserve">5.2 Renovación</w:t>
      </w:r>
    </w:p>
    <w:p>
      <w:pPr>
        <w:pStyle w:val="FirstParagraph"/>
      </w:pPr>
      <w:r>
        <w:rPr>
          <w:lang w:val="es-ES"/>
        </w:rPr>
        <w:t xml:space="preserve">El Contrato se renueva por acuerdo tácito por períodos sucesivos de [PARA COMPLETAR: período de renovación], a menos que una de las Partes lo rescinda por escrito a la otra mediante notificación de [PARA COMPLETAR: notificación, p.e. 3 meses] antes del plazo actual.</w:t>
      </w:r>
    </w:p>
    <w:bookmarkEnd w:id="32"/>
    <w:bookmarkStart w:id="33" w:name="X16661962c17eae5ab6db1bdfa24b9b48cc90354"/>
    <w:p>
      <w:pPr>
        <w:pStyle w:val="Heading3"/>
        <w:keepNext/>
        <w:keepLines/>
      </w:pPr>
      <w:r>
        <w:rPr>
          <w:color w:val="000000"/>
          <w:lang w:val="es-ES"/>
        </w:rPr>
        <w:t xml:space="preserve">5.3 Rescisión por incumplimiento</w:t>
      </w:r>
    </w:p>
    <w:p>
      <w:pPr>
        <w:pStyle w:val="FirstParagraph"/>
      </w:pPr>
      <w:r>
        <w:rPr>
          <w:lang w:val="es-ES"/>
        </w:rPr>
        <w:t xml:space="preserve">En caso de incumplimiento grave por una de las Partes de sus obligaciones, no subsanado dentro de los treinta (30) días naturales siguientes al envío de un requerimiento escrito y motivado que quede sin efecto, la otra Parte podrá resolver de pleno derecho el Contrato, sin perjuicio de los daños e intereses debidos.</w:t>
      </w:r>
    </w:p>
    <w:bookmarkEnd w:id="33"/>
    <w:bookmarkStart w:id="34" w:name="Xe28ef8c5ae32ef1523fbf33ecb47c747365dd77"/>
    <w:p>
      <w:pPr>
        <w:pStyle w:val="Heading3"/>
        <w:keepNext/>
        <w:keepLines/>
      </w:pPr>
      <w:r>
        <w:rPr>
          <w:color w:val="000000"/>
          <w:lang w:val="es-ES"/>
        </w:rPr>
        <w:t xml:space="preserve">5.4 Efectos de la rescisión</w:t>
      </w:r>
    </w:p>
    <w:p>
      <w:pPr>
        <w:pStyle w:val="FirstParagraph"/>
      </w:pPr>
      <w:r>
        <w:rPr>
          <w:lang w:val="es-ES"/>
        </w:rPr>
        <w:t xml:space="preserve">La rescisión implica la cesación del derecho a utilizar la Solución y aplica las operaciones de reversibilidad previstas en el artículo 12. Los importes adeudados por los servicios ya realizados siguen siendo adquiridos por OHADJA.</w:t>
      </w:r>
    </w:p>
    <w:p>
      <w:r>
        <w:pict>
          <v:rect style="width:0;height:1.5pt" o:hralign="center" o:hrstd="t" o:hr="t"/>
        </w:pict>
      </w:r>
    </w:p>
    <w:bookmarkEnd w:id="34"/>
    <w:bookmarkEnd w:id="35"/>
    <w:bookmarkStart w:id="41" w:name="article-6--maintenance-et-support"/>
    <w:p>
      <w:pPr>
        <w:pStyle w:val="Heading2"/>
        <w:keepNext/>
        <w:keepLines/>
      </w:pPr>
      <w:r>
        <w:rPr>
          <w:color w:val="000000"/>
          <w:lang w:val="es-ES"/>
        </w:rPr>
        <w:t xml:space="preserve">Artículo 6 — Mantenimiento y soporte</w:t>
      </w:r>
    </w:p>
    <w:bookmarkStart w:id="36" w:name="X673e57832d50283a4fef64c8f5fdd984604e394"/>
    <w:p>
      <w:pPr>
        <w:pStyle w:val="Heading3"/>
        <w:keepNext/>
        <w:keepLines/>
      </w:pPr>
      <w:r>
        <w:rPr>
          <w:color w:val="000000"/>
          <w:lang w:val="es-ES"/>
        </w:rPr>
        <w:t xml:space="preserve">6.1 Alcance del mantenimiento</w:t>
      </w:r>
    </w:p>
    <w:p>
      <w:pPr>
        <w:pStyle w:val="FirstParagraph"/>
      </w:pPr>
      <w:r>
        <w:rPr>
          <w:lang w:val="es-ES"/>
        </w:rPr>
        <w:t xml:space="preserve">Durante la vigencia del Contrato, y previo pago de las sumas adeudadas, OHADJA presta los siguientes servicios de mantenimiento:</w:t>
      </w:r>
    </w:p>
    <w:p>
      <w:pPr>
        <w:pStyle w:val="Compact"/>
        <w:numPr>
          <w:ilvl w:val="0"/>
          <w:numId w:val="1002"/>
        </w:numPr>
      </w:pPr>
      <w:r>
        <w:rPr>
          <w:b/>
          <w:bCs/>
          <w:lang w:val="es-ES"/>
        </w:rPr>
        <w:t xml:space="preserve">Mantenimiento correctivo: </w:t>
      </w:r>
      <w:r>
        <w:rPr>
          <w:lang w:val="es-ES"/>
        </w:rPr>
        <w:t xml:space="preserve"/>
      </w:r>
      <w:r>
        <w:rPr>
          <w:lang w:val="es-ES"/>
        </w:rPr>
        <w:t xml:space="preserve">diagnóstico y corrección de Incidencias que afecten a la Solución, en las condiciones de consideración del artículo 6.4.</w:t>
      </w:r>
    </w:p>
    <w:p>
      <w:pPr>
        <w:pStyle w:val="Compact"/>
        <w:numPr>
          <w:ilvl w:val="0"/>
          <w:numId w:val="1002"/>
        </w:numPr>
      </w:pPr>
      <w:r>
        <w:rPr>
          <w:b/>
          <w:bCs/>
          <w:lang w:val="es-ES"/>
        </w:rPr>
        <w:t xml:space="preserve">Mantenimiento </w:t>
      </w:r>
      <w:r>
        <w:rPr>
          <w:lang w:val="es-ES"/>
        </w:rPr>
        <w:t xml:space="preserve">evolutivo: </w:t>
      </w:r>
      <w:r>
        <w:rPr>
          <w:lang w:val="es-ES"/>
        </w:rPr>
        <w:t xml:space="preserve">provisión de nuevas versiones y mejoras funcionales de la Solución publicada por OHADJA, sin coste adicional cuando estén incluidas en la oferta suscrita.</w:t>
      </w:r>
    </w:p>
    <w:p>
      <w:pPr>
        <w:pStyle w:val="Compact"/>
        <w:numPr>
          <w:ilvl w:val="0"/>
          <w:numId w:val="1002"/>
        </w:numPr>
      </w:pPr>
      <w:r>
        <w:rPr>
          <w:b/>
          <w:bCs/>
          <w:lang w:val="es-ES"/>
        </w:rPr>
        <w:t xml:space="preserve">Actualizaciones de </w:t>
      </w:r>
      <w:r>
        <w:rPr>
          <w:lang w:val="es-ES"/>
        </w:rPr>
        <w:t xml:space="preserve">seguridad: </w:t>
      </w:r>
      <w:r>
        <w:rPr>
          <w:lang w:val="es-ES"/>
        </w:rPr>
        <w:t xml:space="preserve">corrección de vulnerabilidades que afectan a la Solución y sus componentes, priorizadas según su criticidad, explotabilidad y exposición.</w:t>
      </w:r>
    </w:p>
    <w:p>
      <w:pPr>
        <w:pStyle w:val="FirstParagraph"/>
      </w:pPr>
      <w:r>
        <w:rPr>
          <w:lang w:val="es-ES"/>
        </w:rPr>
        <w:t xml:space="preserve">En el modo SaaS, OHADJA implementa las actualizaciones en el entorno de producción. En modo on-premise, se ponen a disposición del Cliente, quien debe proceder a su implementación efectiva, a menos que la misión de implementación se haya confiado a OHADJA en el formulario de pedido.</w:t>
      </w:r>
    </w:p>
    <w:bookmarkEnd w:id="36"/>
    <w:bookmarkStart w:id="37" w:name="X830b4979545a185e94eae7fcd8132e3f317db9a"/>
    <w:p>
      <w:pPr>
        <w:pStyle w:val="Heading3"/>
        <w:keepNext/>
        <w:keepLines/>
      </w:pPr>
      <w:r>
        <w:rPr>
          <w:color w:val="000000"/>
          <w:lang w:val="es-ES"/>
        </w:rPr>
        <w:t xml:space="preserve">6.2 Exclusiones del mantenimiento</w:t>
      </w:r>
    </w:p>
    <w:p>
      <w:pPr>
        <w:pStyle w:val="FirstParagraph"/>
      </w:pPr>
      <w:r>
        <w:rPr>
          <w:lang w:val="es-ES"/>
        </w:rPr>
        <w:t xml:space="preserve">El mantenimiento no cubre averías resultantes de: uso no conforme con la Documentación; una modificación de la Solución no autorizada por OHADJA; un defecto en la infraestructura, red, estaciones de trabajo o software de terceros del Cliente (en modo local); un caso de fuerza mayor; o la no implementación, por parte del Cliente, de las actualizaciones puestas a su disposición.</w:t>
      </w:r>
    </w:p>
    <w:bookmarkEnd w:id="37"/>
    <w:bookmarkStart w:id="38" w:name="Xb2f5fdc13a273b96bb93f053d53153c9f893f46"/>
    <w:p>
      <w:pPr>
        <w:pStyle w:val="Heading3"/>
        <w:keepNext/>
        <w:keepLines/>
      </w:pPr>
      <w:r>
        <w:rPr>
          <w:color w:val="000000"/>
          <w:lang w:val="es-ES"/>
        </w:rPr>
        <w:t xml:space="preserve">6.3 Canales y Horarios de Soporte</w:t>
      </w:r>
    </w:p>
    <w:p>
      <w:pPr>
        <w:pStyle w:val="FirstParagraph"/>
      </w:pPr>
      <w:r>
        <w:rPr>
          <w:lang w:val="es-ES"/>
        </w:rPr>
        <w:t xml:space="preserve">Puede comunicarse con el soporte técnico por correo electrónico </w:t>
      </w:r>
      <w:r>
        <w:rPr>
          <w:lang w:val="es-ES"/>
        </w:rPr>
        <w:t xml:space="preserve">a </w:t>
      </w:r>
      <w:hyperlink r:id="rId11">
        <w:r>
          <w:rPr>
            <w:rStyle w:val="Hyperlink"/>
            <w:lang w:val="es-ES"/>
          </w:rPr>
          <w:t xml:space="preserve">support@transcribia.eu</w:t>
        </w:r>
      </w:hyperlink>
      <w:r>
        <w:rPr>
          <w:lang w:val="es-ES"/>
        </w:rPr>
        <w:t xml:space="preserve">. Las solicitudes se procesan en días laborables, durante el horario laboral (de 9:00 a. m. a 6:00 p. m., hora de Europa Central). Las solicitudes recibidas fuera de esta ventana se considerarán recibidas al inicio del siguiente Día Hábil.</w:t>
      </w:r>
    </w:p>
    <w:bookmarkEnd w:id="38"/>
    <w:bookmarkStart w:id="39" w:name="X8ca21d31bc85988755cd74a428742f0a4c91a7d"/>
    <w:p>
      <w:pPr>
        <w:pStyle w:val="Heading3"/>
        <w:keepNext/>
        <w:keepLines/>
      </w:pPr>
      <w:r>
        <w:rPr>
          <w:color w:val="000000"/>
          <w:lang w:val="es-ES"/>
        </w:rPr>
        <w:t xml:space="preserve">6.4 Compromisos a tener en cuenta (garantía de tiempo de intervención)</w:t>
      </w:r>
    </w:p>
    <w:p>
      <w:pPr>
        <w:pStyle w:val="FirstParagraph"/>
      </w:pPr>
      <w:r>
        <w:rPr>
          <w:lang w:val="es-ES"/>
        </w:rPr>
        <w:t xml:space="preserve">OHADJA ofrece los siguientes </w:t>
      </w:r>
      <w:r>
        <w:rPr>
          <w:lang w:val="es-ES"/>
        </w:rPr>
        <w:t xml:space="preserve">compromisos </w:t>
      </w:r>
      <w:r>
        <w:rPr>
          <w:b/>
          <w:bCs/>
          <w:lang w:val="es-ES"/>
        </w:rPr>
        <w:t xml:space="preserve">a tener en </w:t>
      </w:r>
      <w:r>
        <w:rPr>
          <w:lang w:val="es-ES"/>
        </w:rPr>
        <w:t xml:space="preserve"/>
      </w:r>
      <w:r>
        <w:rPr>
          <w:lang w:val="es-ES"/>
        </w:rPr>
        <w:t xml:space="preserve">cuenta (garantía de tiempo de intervención, GTI), contabilizados en Horas o Días Hábiles desde la recepción de la solicitud cualificada por parte del Cliente: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Nivel de gravedad</w:t>
            </w:r>
          </w:p>
        </w:tc>
        <w:tc>
          <w:tcPr/>
          <w:p>
            <w:pPr>
              <w:pStyle w:val="Compact"/>
            </w:pPr>
            <w:r>
              <w:rPr>
                <w:lang w:val="es-ES"/>
              </w:rPr>
              <w:t xml:space="preserve">Descripción</w:t>
            </w:r>
          </w:p>
        </w:tc>
        <w:tc>
          <w:tcPr/>
          <w:p>
            <w:pPr>
              <w:pStyle w:val="Compact"/>
            </w:pPr>
            <w:r>
              <w:rPr>
                <w:lang w:val="es-ES"/>
              </w:rPr>
              <w:t xml:space="preserve">Consideración propuesta</w:t>
            </w:r>
          </w:p>
        </w:tc>
      </w:tr>
      <w:tr>
        <w:trPr>
          <w:cantSplit/>
        </w:trPr>
        <w:tc>
          <w:tcPr/>
          <w:p>
            <w:pPr>
              <w:pStyle w:val="Compact"/>
            </w:pPr>
            <w:r>
              <w:rPr>
                <w:lang w:val="es-ES"/>
              </w:rPr>
              <w:t xml:space="preserve">Bloqueo</w:t>
            </w:r>
          </w:p>
        </w:tc>
        <w:tc>
          <w:tcPr/>
          <w:p>
            <w:pPr>
              <w:pStyle w:val="Compact"/>
            </w:pPr>
            <w:r>
              <w:rPr>
                <w:lang w:val="es-ES"/>
              </w:rPr>
              <w:t xml:space="preserve">La solución no se puede utilizar o una función esencial no está disponible en absoluto, sin solución alternativa</w:t>
            </w:r>
          </w:p>
        </w:tc>
        <w:tc>
          <w:tcPr/>
          <w:p>
            <w:pPr>
              <w:pStyle w:val="Compact"/>
            </w:pPr>
            <w:r>
              <w:rPr>
                <w:lang w:val="es-ES"/>
              </w:rPr>
              <w:t xml:space="preserve">4 horas de trabajo</w:t>
            </w:r>
          </w:p>
        </w:tc>
      </w:tr>
      <w:tr>
        <w:trPr>
          <w:cantSplit/>
        </w:trPr>
        <w:tc>
          <w:tcPr/>
          <w:p>
            <w:pPr>
              <w:pStyle w:val="Compact"/>
            </w:pPr>
            <w:r>
              <w:rPr>
                <w:lang w:val="es-ES"/>
              </w:rPr>
              <w:t xml:space="preserve">mayor</w:t>
            </w:r>
          </w:p>
        </w:tc>
        <w:tc>
          <w:tcPr/>
          <w:p>
            <w:pPr>
              <w:pStyle w:val="Compact"/>
            </w:pPr>
            <w:r>
              <w:rPr>
                <w:lang w:val="es-ES"/>
              </w:rPr>
              <w:t xml:space="preserve">Una función importante está degradada o no disponible, con posible solución alternativa</w:t>
            </w:r>
          </w:p>
        </w:tc>
        <w:tc>
          <w:tcPr/>
          <w:p>
            <w:pPr>
              <w:pStyle w:val="Compact"/>
            </w:pPr>
            <w:r>
              <w:rPr>
                <w:lang w:val="es-ES"/>
              </w:rPr>
              <w:t xml:space="preserve">1 día laborable</w:t>
            </w:r>
          </w:p>
        </w:tc>
      </w:tr>
      <w:tr>
        <w:trPr>
          <w:cantSplit/>
        </w:trPr>
        <w:tc>
          <w:tcPr/>
          <w:p>
            <w:pPr>
              <w:pStyle w:val="Compact"/>
            </w:pPr>
            <w:r>
              <w:rPr>
                <w:lang w:val="es-ES"/>
              </w:rPr>
              <w:t xml:space="preserve">menor</w:t>
            </w:r>
          </w:p>
        </w:tc>
        <w:tc>
          <w:tcPr/>
          <w:p>
            <w:pPr>
              <w:pStyle w:val="Compact"/>
            </w:pPr>
            <w:r>
              <w:rPr>
                <w:lang w:val="es-ES"/>
              </w:rPr>
              <w:t xml:space="preserve">Anomalía sin impacto significativo en las operaciones, solicitud de información o desarrollo</w:t>
            </w:r>
          </w:p>
        </w:tc>
        <w:tc>
          <w:tcPr/>
          <w:p>
            <w:pPr>
              <w:pStyle w:val="Compact"/>
            </w:pPr>
            <w:r>
              <w:rPr>
                <w:lang w:val="es-ES"/>
              </w:rPr>
              <w:t xml:space="preserve">Tratamiento de mejor esfuerzo</w:t>
            </w:r>
          </w:p>
        </w:tc>
      </w:tr>
    </w:tbl>
    <w:p>
      <w:pPr>
        <w:pStyle w:val="BodyText"/>
      </w:pPr>
      <w:r>
        <w:rPr>
          <w:i/>
          <w:iCs/>
          <w:lang w:val="es-ES"/>
        </w:rPr>
        <w:t xml:space="preserve">[Propuesta estándar: se adaptará comercialmente.] </w:t>
      </w:r>
      <w:r>
        <w:rPr>
          <w:lang w:val="es-ES"/>
        </w:rPr>
        <w:t xml:space="preserve">Los </w:t>
      </w:r>
      <w:r>
        <w:rPr>
          <w:lang w:val="es-ES"/>
        </w:rPr>
        <w:t xml:space="preserve">compromisos anteriores se refieren al tiempo </w:t>
      </w:r>
      <w:r>
        <w:rPr>
          <w:lang w:val="es-ES"/>
        </w:rPr>
        <w:t xml:space="preserve">necesario </w:t>
      </w:r>
      <w:r>
        <w:rPr>
          <w:b/>
          <w:bCs/>
          <w:lang w:val="es-ES"/>
        </w:rPr>
        <w:t xml:space="preserve">para tener </w:t>
      </w:r>
      <w:r>
        <w:rPr>
          <w:lang w:val="es-ES"/>
        </w:rPr>
        <w:t xml:space="preserve"/>
      </w:r>
      <w:r>
        <w:rPr>
          <w:lang w:val="es-ES"/>
        </w:rPr>
        <w:t xml:space="preserve">en cuenta la solicitud (acuse de recibo cualificado e inicio del diagnóstico), y no a un tiempo de resolución garantizado, dependiendo el tiempo de resolución de la naturaleza y complejidad del Incidente. La calificación del nivel de gravedad la lleva a cabo OHADJA en consulta con el Cliente sobre la base de elementos objetivos.</w:t>
      </w:r>
    </w:p>
    <w:bookmarkEnd w:id="39"/>
    <w:bookmarkStart w:id="40" w:name="Xcd695a3a3eea8e699acc22ae062ec58b1732093"/>
    <w:p>
      <w:pPr>
        <w:pStyle w:val="Heading3"/>
        <w:keepNext/>
        <w:keepLines/>
      </w:pPr>
      <w:r>
        <w:rPr>
          <w:color w:val="000000"/>
          <w:lang w:val="es-ES"/>
        </w:rPr>
        <w:t xml:space="preserve">6.5 Objetivos operativos y disponibilidad</w:t>
      </w:r>
    </w:p>
    <w:p>
      <w:pPr>
        <w:pStyle w:val="FirstParagraph"/>
      </w:pPr>
      <w:r>
        <w:rPr>
          <w:lang w:val="es-ES"/>
        </w:rPr>
        <w:t xml:space="preserve">En Modo SaaS, OHADJA implementa medios razonables para garantizar la disponibilidad y continuidad de la Solución: supervisión, reanudación automática de procesamiento bloqueado, separación de componentes, copias de seguridad.</w:t>
      </w:r>
    </w:p>
    <w:p>
      <w:pPr>
        <w:pStyle w:val="BodyText"/>
      </w:pPr>
      <w:r>
        <w:rPr>
          <w:lang w:val="es-ES"/>
        </w:rPr>
        <w:t xml:space="preserve">Los objetivos operativos aplicables al plan de continuidad son: </w:t>
      </w:r>
      <w:r>
        <w:rPr>
          <w:lang w:val="es-ES"/>
        </w:rPr>
        <w:t xml:space="preserve"/>
      </w:r>
      <w:r>
        <w:rPr>
          <w:b/>
          <w:bCs/>
          <w:lang w:val="es-ES"/>
        </w:rPr>
        <w:t xml:space="preserve">objetivo de punto de recuperación (RPO) de 24 </w:t>
      </w:r>
      <w:r>
        <w:rPr>
          <w:lang w:val="es-ES"/>
        </w:rPr>
        <w:t xml:space="preserve">horas </w:t>
      </w:r>
      <w:r>
        <w:rPr>
          <w:lang w:val="es-ES"/>
        </w:rPr>
        <w:t xml:space="preserve"/>
      </w:r>
      <w:r>
        <w:rPr>
          <w:lang w:val="es-ES"/>
        </w:rPr>
        <w:t xml:space="preserve"/>
      </w:r>
      <w:r>
        <w:rPr>
          <w:b/>
          <w:bCs/>
          <w:lang w:val="es-ES"/>
        </w:rPr>
        <w:t xml:space="preserve">y objetivo de tiempo de recuperación (RTO) de 4 </w:t>
      </w:r>
      <w:r>
        <w:rPr>
          <w:lang w:val="es-ES"/>
        </w:rPr>
        <w:t xml:space="preserve">horas. Estos valores constituyen objetivos operativos destinados a enmarcar planes de continuidad, y no compromisos contractuales de resultados.</w:t>
      </w:r>
    </w:p>
    <w:p>
      <w:pPr>
        <w:pStyle w:val="BodyText"/>
      </w:pPr>
      <w:r>
        <w:rPr>
          <w:b/>
          <w:bCs/>
          <w:lang w:val="es-ES"/>
        </w:rPr>
        <w:t xml:space="preserve">Compromiso contractual de disponibilidad: [A DEFINIR comercialmente]. </w:t>
      </w:r>
      <w:r>
        <w:rPr>
          <w:lang w:val="es-ES"/>
        </w:rPr>
        <w:t xml:space="preserve"/>
      </w:r>
      <w:r>
        <w:rPr>
          <w:lang w:val="es-ES"/>
        </w:rPr>
        <w:t xml:space="preserve">En estas Condiciones no se estipula ninguna tarifa de disponibilidad garantizada; dicho compromiso, si se acuerda, está sujeto a un anexo de nivel de servicio (SLA) separado de la orden de compra.</w:t>
      </w:r>
    </w:p>
    <w:p>
      <w:r>
        <w:pict>
          <v:rect style="width:0;height:1.5pt" o:hralign="center" o:hrstd="t" o:hr="t"/>
        </w:pict>
      </w:r>
    </w:p>
    <w:bookmarkEnd w:id="40"/>
    <w:bookmarkEnd w:id="41"/>
    <w:bookmarkStart w:id="42" w:name="article-7--obligations-du-client"/>
    <w:p>
      <w:pPr>
        <w:pStyle w:val="Heading2"/>
        <w:keepNext/>
        <w:keepLines/>
      </w:pPr>
      <w:r>
        <w:rPr>
          <w:color w:val="000000"/>
          <w:lang w:val="es-ES"/>
        </w:rPr>
        <w:t xml:space="preserve">Artículo 7 — Obligaciones del cliente</w:t>
      </w:r>
    </w:p>
    <w:p>
      <w:pPr>
        <w:pStyle w:val="FirstParagraph"/>
      </w:pPr>
      <w:r>
        <w:rPr>
          <w:lang w:val="es-ES"/>
        </w:rPr>
        <w:t xml:space="preserve">El Cliente se compromete a:</w:t>
      </w:r>
    </w:p>
    <w:p>
      <w:pPr>
        <w:pStyle w:val="Compact"/>
        <w:numPr>
          <w:ilvl w:val="0"/>
          <w:numId w:val="1003"/>
        </w:numPr>
      </w:pPr>
      <w:r>
        <w:rPr>
          <w:lang w:val="es-ES"/>
        </w:rPr>
        <w:t xml:space="preserve">utilizar la Solución de acuerdo con la Documentación, estas Condiciones y la normativa aplicable;</w:t>
      </w:r>
    </w:p>
    <w:p>
      <w:pPr>
        <w:pStyle w:val="Compact"/>
        <w:numPr>
          <w:ilvl w:val="0"/>
          <w:numId w:val="1003"/>
        </w:numPr>
      </w:pPr>
      <w:r>
        <w:rPr>
          <w:lang w:val="es-ES"/>
        </w:rPr>
        <w:t xml:space="preserve">designar un contacto autorizado para las relaciones contractuales, técnicas y de soporte;</w:t>
      </w:r>
    </w:p>
    <w:p>
      <w:pPr>
        <w:pStyle w:val="Compact"/>
        <w:numPr>
          <w:ilvl w:val="0"/>
          <w:numId w:val="1003"/>
        </w:numPr>
      </w:pPr>
      <w:r>
        <w:rPr>
          <w:lang w:val="es-ES"/>
        </w:rPr>
        <w:t xml:space="preserve">gestionar sus propios usuarios, asignación de roles y protección de medios de autenticación, y eliminar cuentas obsoletas;</w:t>
      </w:r>
    </w:p>
    <w:p>
      <w:pPr>
        <w:pStyle w:val="Compact"/>
        <w:numPr>
          <w:ilvl w:val="0"/>
          <w:numId w:val="1003"/>
        </w:numPr>
      </w:pPr>
      <w:r>
        <w:rPr>
          <w:lang w:val="es-ES"/>
        </w:rPr>
        <w:t xml:space="preserve">cargar únicamente contenido para el cual posea los derechos necesarios y determinar el procesamiento realizado utilizando la Solución;</w:t>
      </w:r>
    </w:p>
    <w:p>
      <w:pPr>
        <w:pStyle w:val="Compact"/>
        <w:numPr>
          <w:ilvl w:val="0"/>
          <w:numId w:val="1003"/>
        </w:numPr>
      </w:pPr>
      <w:r>
        <w:rPr>
          <w:lang w:val="es-ES"/>
        </w:rPr>
        <w:t xml:space="preserve">en su calidad de responsable del tratamiento, determinar los fines, las bases jurídicas, los plazos de conservación y asegurar la información de los interesados (ver artículo 11);</w:t>
      </w:r>
    </w:p>
    <w:p>
      <w:pPr>
        <w:pStyle w:val="Compact"/>
        <w:numPr>
          <w:ilvl w:val="0"/>
          <w:numId w:val="1003"/>
        </w:numPr>
      </w:pPr>
      <w:r>
        <w:rPr>
          <w:lang w:val="es-ES"/>
        </w:rPr>
        <w:t xml:space="preserve">en modo local, garantizar el alojamiento, la administración, la seguridad, las copias de seguridad y la supervisión de su entorno, así como el despliegue de las actualizaciones puestas a su disposición;</w:t>
      </w:r>
    </w:p>
    <w:p>
      <w:pPr>
        <w:pStyle w:val="Compact"/>
        <w:numPr>
          <w:ilvl w:val="0"/>
          <w:numId w:val="1003"/>
        </w:numPr>
      </w:pPr>
      <w:r>
        <w:rPr>
          <w:lang w:val="es-ES"/>
        </w:rPr>
        <w:t xml:space="preserve">pagar las cantidades adeudadas en las fechas de vencimiento acordadas.</w:t>
      </w:r>
    </w:p>
    <w:p>
      <w:r>
        <w:pict>
          <v:rect style="width:0;height:1.5pt" o:hralign="center" o:hrstd="t" o:hr="t"/>
        </w:pict>
      </w:r>
    </w:p>
    <w:bookmarkEnd w:id="42"/>
    <w:bookmarkStart w:id="46" w:name="article-8--propriété-intellectuelle"/>
    <w:p>
      <w:pPr>
        <w:pStyle w:val="Heading2"/>
        <w:keepNext/>
        <w:keepLines/>
      </w:pPr>
      <w:r>
        <w:rPr>
          <w:color w:val="000000"/>
          <w:lang w:val="es-ES"/>
        </w:rPr>
        <w:t xml:space="preserve">Artículo 8 — Propiedad intelectual</w:t>
      </w:r>
    </w:p>
    <w:bookmarkStart w:id="43" w:name="Xdb6c9f18f52406e0a3aeb8932bb1097c849f525"/>
    <w:p>
      <w:pPr>
        <w:pStyle w:val="Heading3"/>
        <w:keepNext/>
        <w:keepLines/>
      </w:pPr>
      <w:r>
        <w:rPr>
          <w:color w:val="000000"/>
          <w:lang w:val="es-ES"/>
        </w:rPr>
        <w:t xml:space="preserve">8.1 Propiedad</w:t>
      </w:r>
    </w:p>
    <w:p>
      <w:pPr>
        <w:pStyle w:val="FirstParagraph"/>
      </w:pPr>
      <w:r>
        <w:rPr>
          <w:lang w:val="es-ES"/>
        </w:rPr>
        <w:t xml:space="preserve">La Solución, sus componentes de software, su código fuente, sus interfaces, su Documentación y todos los derechos de propiedad intelectual relacionados siguen siendo propiedad exclusiva de OHADJA o sus licenciantes. Las presentes Condiciones no suponen </w:t>
      </w:r>
      <w:r>
        <w:rPr>
          <w:lang w:val="es-ES"/>
        </w:rPr>
        <w:t xml:space="preserve"/>
      </w:r>
      <w:r>
        <w:rPr>
          <w:b/>
          <w:bCs/>
          <w:lang w:val="es-ES"/>
        </w:rPr>
        <w:t xml:space="preserve">ninguna cesión de </w:t>
      </w:r>
      <w:r>
        <w:rPr>
          <w:lang w:val="es-ES"/>
        </w:rPr>
        <w:t xml:space="preserve"/>
      </w:r>
      <w:r>
        <w:rPr>
          <w:lang w:val="es-ES"/>
        </w:rPr>
        <w:t xml:space="preserve">derechos de propiedad intelectual en beneficio del Cliente.</w:t>
      </w:r>
    </w:p>
    <w:bookmarkEnd w:id="43"/>
    <w:bookmarkStart w:id="44" w:name="X23e72cf2dfa34ed7f0b7cccaffd4dea4d0da1dc"/>
    <w:p>
      <w:pPr>
        <w:pStyle w:val="Heading3"/>
        <w:keepNext/>
        <w:keepLines/>
      </w:pPr>
      <w:r>
        <w:rPr>
          <w:color w:val="000000"/>
          <w:lang w:val="es-ES"/>
        </w:rPr>
        <w:t xml:space="preserve">8.2 Licencia de usuario</w:t>
      </w:r>
    </w:p>
    <w:p>
      <w:pPr>
        <w:pStyle w:val="FirstParagraph"/>
      </w:pPr>
      <w:r>
        <w:rPr>
          <w:lang w:val="es-ES"/>
        </w:rPr>
        <w:t xml:space="preserve">OHADJA otorga al Cliente, durante la duración del Contrato, un derecho no exclusivo, no asignable e intransferible a utilizar la Solución, limitado a las necesidades internas del Cliente y al alcance definido en el formulario de pedido. El Cliente se compromete a no copiar, descompilar (salvo en los casos de interoperabilidad legalmente autorizados), modificar, adaptar, distribuir o poner a disposición de terceros la Solución, total o parcialmente, fuera de los derechos expresamente otorgados.</w:t>
      </w:r>
    </w:p>
    <w:bookmarkEnd w:id="44"/>
    <w:bookmarkStart w:id="45" w:name="X7543e65181d4e5fb2ed4e9ea316659a0c55d9fe"/>
    <w:p>
      <w:pPr>
        <w:pStyle w:val="Heading3"/>
        <w:keepNext/>
        <w:keepLines/>
      </w:pPr>
      <w:r>
        <w:rPr>
          <w:color w:val="000000"/>
          <w:lang w:val="es-ES"/>
        </w:rPr>
        <w:t xml:space="preserve">8.3 Datos y contenido del cliente</w:t>
      </w:r>
    </w:p>
    <w:p>
      <w:pPr>
        <w:pStyle w:val="FirstParagraph"/>
      </w:pPr>
      <w:r>
        <w:rPr>
          <w:lang w:val="es-ES"/>
        </w:rPr>
        <w:t xml:space="preserve">Los datos, archivos y contenidos cargados o producidos por el Cliente utilizando la Solución siguen siendo propiedad del Cliente o de los titulares de derechos interesados. OHADJA no adquiere ningún derecho sobre este contenido, salvo el derecho a procesarlo con el único fin de prestar el Servicio y siguiendo las instrucciones del Cliente, en las condiciones del DPA.</w:t>
      </w:r>
    </w:p>
    <w:p>
      <w:r>
        <w:pict>
          <v:rect style="width:0;height:1.5pt" o:hralign="center" o:hrstd="t" o:hr="t"/>
        </w:pict>
      </w:r>
    </w:p>
    <w:bookmarkEnd w:id="45"/>
    <w:bookmarkEnd w:id="46"/>
    <w:bookmarkStart w:id="50" w:name="article-9--garanties-et-responsabilité"/>
    <w:p>
      <w:pPr>
        <w:pStyle w:val="Heading2"/>
        <w:keepNext/>
        <w:keepLines/>
      </w:pPr>
      <w:r>
        <w:rPr>
          <w:color w:val="000000"/>
          <w:lang w:val="es-ES"/>
        </w:rPr>
        <w:t xml:space="preserve">Artículo 9 — Garantías y responsabilidad</w:t>
      </w:r>
    </w:p>
    <w:bookmarkStart w:id="47" w:name="X0b8e400bf6a0a70396db777e88e8d798a868c12"/>
    <w:p>
      <w:pPr>
        <w:pStyle w:val="Heading3"/>
        <w:keepNext/>
        <w:keepLines/>
      </w:pPr>
      <w:r>
        <w:rPr>
          <w:color w:val="000000"/>
          <w:lang w:val="es-ES"/>
        </w:rPr>
        <w:t xml:space="preserve">9.1 Garantía de conformidad</w:t>
      </w:r>
    </w:p>
    <w:p>
      <w:pPr>
        <w:pStyle w:val="FirstParagraph"/>
      </w:pPr>
      <w:r>
        <w:rPr>
          <w:lang w:val="es-ES"/>
        </w:rPr>
        <w:t xml:space="preserve">OHADJA garantiza que la Solución se ajusta sustancialmente a la Documentación. Esta garantía se ejerce mediante mantenimiento correctivo (Artículo 6). No se aplica a los fallos de funcionamiento comprendidos en las exclusiones del artículo 6.2.</w:t>
      </w:r>
    </w:p>
    <w:p>
      <w:pPr>
        <w:pStyle w:val="BodyText"/>
      </w:pPr>
      <w:r>
        <w:rPr>
          <w:lang w:val="es-ES"/>
        </w:rPr>
        <w:t xml:space="preserve">La Solución se proporciona en el estado de la técnica; OHADJA no garantiza que la transcripción y el procesamiento automáticos asistidos por inteligencia artificial estén libres de errores. Los resultados producidos por la inteligencia artificial constituyen sugerencias, que deben estar sujetas a la validación humana por parte del Cliente antes de cualquier uso (ver también el Artículo 11).</w:t>
      </w:r>
    </w:p>
    <w:bookmarkEnd w:id="47"/>
    <w:bookmarkStart w:id="48" w:name="X0ad58a635193231982d26b1a55fb3177fe222b4"/>
    <w:p>
      <w:pPr>
        <w:pStyle w:val="Heading3"/>
        <w:keepNext/>
        <w:keepLines/>
      </w:pPr>
      <w:r>
        <w:rPr>
          <w:color w:val="000000"/>
          <w:lang w:val="es-ES"/>
        </w:rPr>
        <w:t xml:space="preserve">9.2 Responsabilidad</w:t>
      </w:r>
    </w:p>
    <w:p>
      <w:pPr>
        <w:pStyle w:val="FirstParagraph"/>
      </w:pPr>
      <w:r>
        <w:rPr>
          <w:lang w:val="es-ES"/>
        </w:rPr>
        <w:t xml:space="preserve">Cada Parte es responsable del daño directo causado a la otra por un incumplimiento comprobado de sus obligaciones contractuales.</w:t>
      </w:r>
    </w:p>
    <w:p>
      <w:pPr>
        <w:pStyle w:val="BodyText"/>
      </w:pPr>
      <w:r>
        <w:rPr>
          <w:lang w:val="es-ES"/>
        </w:rPr>
        <w:t xml:space="preserve">La responsabilidad general de OHADJA, todos los daños y todas las causas combinadas, según el Contrato, tiene un límite </w:t>
      </w:r>
      <w:r>
        <w:rPr>
          <w:lang w:val="es-ES"/>
        </w:rPr>
        <w:t xml:space="preserve"/>
      </w:r>
      <w:r>
        <w:rPr>
          <w:b/>
          <w:bCs/>
          <w:lang w:val="es-ES"/>
        </w:rPr>
        <w:t xml:space="preserve">de [PARA COMPLETAR: límite máximo de responsabilidad, p. importe de las sumas pagadas por el Cliente durante los doce (12) meses anteriores al </w:t>
      </w:r>
      <w:r>
        <w:rPr>
          <w:lang w:val="es-ES"/>
        </w:rPr>
        <w:t xml:space="preserve">evento].</w:t>
      </w:r>
    </w:p>
    <w:p>
      <w:pPr>
        <w:pStyle w:val="BodyText"/>
      </w:pPr>
      <w:r>
        <w:rPr>
          <w:lang w:val="es-ES"/>
        </w:rPr>
        <w:t xml:space="preserve">Quedan excluidos de cualquier indemnización los daños indirectos, en particular: pérdida de explotación, pérdida de volumen de negocios, pérdida de datos no atribuible a una infracción de OHADJA, pérdida de clientes, daños a la imagen o daños comerciales.</w:t>
      </w:r>
    </w:p>
    <w:bookmarkEnd w:id="48"/>
    <w:bookmarkStart w:id="49" w:name="X1ab4bdd050dbff59b5dd52c5ce452ee2ff9286c"/>
    <w:p>
      <w:pPr>
        <w:pStyle w:val="Heading3"/>
        <w:keepNext/>
        <w:keepLines/>
      </w:pPr>
      <w:r>
        <w:rPr>
          <w:color w:val="000000"/>
          <w:lang w:val="es-ES"/>
        </w:rPr>
        <w:t xml:space="preserve">9.3 Exclusiones del techo</w:t>
      </w:r>
    </w:p>
    <w:p>
      <w:pPr>
        <w:pStyle w:val="FirstParagraph"/>
      </w:pPr>
      <w:r>
        <w:rPr>
          <w:lang w:val="es-ES"/>
        </w:rPr>
        <w:t xml:space="preserve">Los límites y exclusiones del artículo 9.2 no se aplican en casos de fraude, negligencia grave, incumplimiento de la obligación de confidencialidad, infracción de derechos de propiedad intelectual, o en los casos en que la ley prohíba dicha limitación.</w:t>
      </w:r>
    </w:p>
    <w:p>
      <w:r>
        <w:pict>
          <v:rect style="width:0;height:1.5pt" o:hralign="center" o:hrstd="t" o:hr="t"/>
        </w:pict>
      </w:r>
    </w:p>
    <w:bookmarkEnd w:id="49"/>
    <w:bookmarkEnd w:id="50"/>
    <w:bookmarkStart w:id="51" w:name="article-10--confidentialité"/>
    <w:p>
      <w:pPr>
        <w:pStyle w:val="Heading2"/>
        <w:keepNext/>
        <w:keepLines/>
      </w:pPr>
      <w:r>
        <w:rPr>
          <w:color w:val="000000"/>
          <w:lang w:val="es-ES"/>
        </w:rPr>
        <w:t xml:space="preserve">Artículo 10 — Confidencialidad</w:t>
      </w:r>
    </w:p>
    <w:p>
      <w:pPr>
        <w:pStyle w:val="FirstParagraph"/>
      </w:pPr>
      <w:r>
        <w:rPr>
          <w:lang w:val="es-ES"/>
        </w:rPr>
        <w:t xml:space="preserve">Cada Parte se compromete a mantener la confidencialidad de la información no pública de la otra Parte a la que acceda en el marco del Contrato, a utilizarla únicamente para la ejecución del Contrato y a no revelarla a terceros sin autorización escrita, salvo que lo exija la ley.</w:t>
      </w:r>
    </w:p>
    <w:p>
      <w:pPr>
        <w:pStyle w:val="BodyText"/>
      </w:pPr>
      <w:r>
        <w:rPr>
          <w:lang w:val="es-ES"/>
        </w:rPr>
        <w:t xml:space="preserve">Esta obligación se aplica durante toda la duración del Contrato y subsiste durante [PARA COMPLETAR: duración, p.e. 5 años] desde su finalización. No se cubre la información pública, la información ya conocida por la Parte Receptora sin obligación de confidencialidad o la información desarrollada de forma independiente.</w:t>
      </w:r>
    </w:p>
    <w:p>
      <w:pPr>
        <w:pStyle w:val="BodyText"/>
      </w:pPr>
      <w:r>
        <w:rPr>
          <w:lang w:val="es-ES"/>
        </w:rPr>
        <w:t xml:space="preserve">Las obligaciones relativas a datos personales se rigen por el artículo 11 y la DPA, que tienen prioridad sobre este artículo en lo que a ellas respecta.</w:t>
      </w:r>
    </w:p>
    <w:p>
      <w:r>
        <w:pict>
          <v:rect style="width:0;height:1.5pt" o:hralign="center" o:hrstd="t" o:hr="t"/>
        </w:pict>
      </w:r>
    </w:p>
    <w:bookmarkEnd w:id="51"/>
    <w:bookmarkStart w:id="52" w:name="X77a4dab9227de10d97e2d40aab3b65bdd005a15"/>
    <w:p>
      <w:pPr>
        <w:pStyle w:val="Heading2"/>
        <w:keepNext/>
        <w:keepLines/>
      </w:pPr>
      <w:r>
        <w:rPr>
          <w:color w:val="000000"/>
          <w:lang w:val="es-ES"/>
        </w:rPr>
        <w:t xml:space="preserve">Artículo 11 — Datos personales</w:t>
      </w:r>
    </w:p>
    <w:p>
      <w:pPr>
        <w:pStyle w:val="FirstParagraph"/>
      </w:pPr>
      <w:r>
        <w:rPr>
          <w:lang w:val="es-ES"/>
        </w:rPr>
        <w:t xml:space="preserve">En el marco del suministro de la Solución, OHADJA actúa como encargado </w:t>
      </w:r>
      <w:r>
        <w:rPr>
          <w:lang w:val="es-ES"/>
        </w:rPr>
        <w:t xml:space="preserve"/>
      </w:r>
      <w:r>
        <w:rPr>
          <w:b/>
          <w:bCs/>
          <w:lang w:val="es-ES"/>
        </w:rPr>
        <w:t xml:space="preserve">del tratamiento </w:t>
      </w:r>
      <w:r>
        <w:rPr>
          <w:lang w:val="es-ES"/>
        </w:rPr>
        <w:t xml:space="preserve"/>
      </w:r>
      <w:r>
        <w:rPr>
          <w:lang w:val="es-ES"/>
        </w:rPr>
        <w:t xml:space="preserve">en el sentido del artículo 28 del Reglamento (UE) 2016/679 (RGPD), y el Cliente actúa como </w:t>
      </w:r>
      <w:r>
        <w:rPr>
          <w:lang w:val="es-ES"/>
        </w:rPr>
        <w:t xml:space="preserve"/>
      </w:r>
      <w:r>
        <w:rPr>
          <w:b/>
          <w:bCs/>
          <w:lang w:val="es-ES"/>
        </w:rPr>
        <w:t xml:space="preserve">responsable del </w:t>
      </w:r>
      <w:r>
        <w:rPr>
          <w:lang w:val="es-ES"/>
        </w:rPr>
        <w:t xml:space="preserve">tratamiento.</w:t>
      </w:r>
    </w:p>
    <w:p>
      <w:pPr>
        <w:pStyle w:val="BodyText"/>
      </w:pPr>
      <w:r>
        <w:rPr>
          <w:lang w:val="es-ES"/>
        </w:rPr>
        <w:t xml:space="preserve">Las condiciones de tratamiento de datos personales (instrucciones documentadas, confidencialidad, medidas técnicas y organizativas (artículo 32), utilización de subencargados del tratamiento, transferencias, notificación de infracciones, asistencia en el ejercicio de derechos, auditoría, restitución y supresión) se rigen por </w:t>
      </w:r>
      <w:r>
        <w:rPr>
          <w:b/>
          <w:bCs/>
          <w:lang w:val="es-ES"/>
        </w:rPr>
        <w:t xml:space="preserve">el Acuerdo de Tratamiento datos personales (DPA, artículo 28 RGPD) adjunto al </w:t>
      </w:r>
      <w:r>
        <w:rPr>
          <w:lang w:val="es-ES"/>
        </w:rPr>
        <w:t xml:space="preserve"/>
      </w:r>
      <w:r>
        <w:rPr>
          <w:lang w:val="es-ES"/>
        </w:rPr>
        <w:t xml:space="preserve">Contrato, que forma parte integrante del mismo.</w:t>
      </w:r>
    </w:p>
    <w:p>
      <w:pPr>
        <w:pStyle w:val="BodyText"/>
      </w:pPr>
      <w:r>
        <w:rPr>
          <w:lang w:val="es-ES"/>
        </w:rPr>
        <w:t xml:space="preserve">En caso de contradicción entre estas Condiciones y la DPA relativa a la protección de datos personales, prevalecerán las estipulaciones de la DPA.</w:t>
      </w:r>
    </w:p>
    <w:p>
      <w:pPr>
        <w:pStyle w:val="BodyText"/>
      </w:pPr>
      <w:r>
        <w:rPr>
          <w:lang w:val="es-ES"/>
        </w:rPr>
        <w:t xml:space="preserve">El Cliente sigue siendo responsable de la licitud del tratamiento, la determinación de las finalidades y bases jurídicas, la información de los interesados, la gestión de sus derechos y, en su caso, la realización de un análisis de impacto en materia de protección de datos (artículo 35 RGPD).</w:t>
      </w:r>
    </w:p>
    <w:p>
      <w:r>
        <w:pict>
          <v:rect style="width:0;height:1.5pt" o:hralign="center" o:hrstd="t" o:hr="t"/>
        </w:pict>
      </w:r>
    </w:p>
    <w:bookmarkEnd w:id="52"/>
    <w:bookmarkStart w:id="53" w:name="article-12--réversibilité"/>
    <w:p>
      <w:pPr>
        <w:pStyle w:val="Heading2"/>
        <w:keepNext/>
        <w:keepLines/>
      </w:pPr>
      <w:r>
        <w:rPr>
          <w:color w:val="000000"/>
          <w:lang w:val="es-ES"/>
        </w:rPr>
        <w:t xml:space="preserve">Artículo 12 — Reversibilidad</w:t>
      </w:r>
    </w:p>
    <w:p>
      <w:pPr>
        <w:pStyle w:val="FirstParagraph"/>
      </w:pPr>
      <w:r>
        <w:rPr>
          <w:lang w:val="es-ES"/>
        </w:rPr>
        <w:t xml:space="preserve">Al finalizar el Contrato, cualquiera que sea la causa, OHADJA implementa las operaciones de reversibilidad previstas </w:t>
      </w:r>
      <w:r>
        <w:rPr>
          <w:lang w:val="es-ES"/>
        </w:rPr>
        <w:t xml:space="preserve">en </w:t>
      </w:r>
      <w:r>
        <w:rPr>
          <w:b/>
          <w:bCs/>
          <w:lang w:val="es-ES"/>
        </w:rPr>
        <w:t xml:space="preserve">el párrafo 11 del </w:t>
      </w:r>
      <w:r>
        <w:rPr>
          <w:lang w:val="es-ES"/>
        </w:rPr>
        <w:t xml:space="preserve"/>
      </w:r>
      <w:r>
        <w:rPr>
          <w:lang w:val="es-ES"/>
        </w:rPr>
        <w:t xml:space="preserve">DPA:</w:t>
      </w:r>
    </w:p>
    <w:p>
      <w:pPr>
        <w:pStyle w:val="Compact"/>
        <w:numPr>
          <w:ilvl w:val="0"/>
          <w:numId w:val="1004"/>
        </w:numPr>
      </w:pPr>
      <w:r>
        <w:rPr>
          <w:b/>
          <w:bCs/>
          <w:lang w:val="es-ES"/>
        </w:rPr>
        <w:t xml:space="preserve">Restitución: </w:t>
      </w:r>
      <w:r>
        <w:rPr>
          <w:lang w:val="es-ES"/>
        </w:rPr>
        <w:t xml:space="preserve"/>
      </w:r>
      <w:r>
        <w:rPr>
          <w:lang w:val="es-ES"/>
        </w:rPr>
        <w:t xml:space="preserve">provisión al Cliente de datos exportables en un formato estándar disponible en la Solución (exportación completa por organización, firmada). El Cliente también podrá realizar esta exportación de autoservicio desde la Solución antes de la fecha de finalización.</w:t>
      </w:r>
    </w:p>
    <w:p>
      <w:pPr>
        <w:pStyle w:val="Compact"/>
        <w:numPr>
          <w:ilvl w:val="0"/>
          <w:numId w:val="1004"/>
        </w:numPr>
      </w:pPr>
      <w:r>
        <w:rPr>
          <w:b/>
          <w:bCs/>
          <w:lang w:val="es-ES"/>
        </w:rPr>
        <w:t xml:space="preserve">Eliminación: </w:t>
      </w:r>
      <w:r>
        <w:rPr>
          <w:lang w:val="es-ES"/>
        </w:rPr>
        <w:t xml:space="preserve"/>
      </w:r>
      <w:r>
        <w:rPr>
          <w:lang w:val="es-ES"/>
        </w:rPr>
        <w:t xml:space="preserve">eliminación de los datos de producción del Cliente en un plazo máximo de </w:t>
      </w:r>
      <w:r>
        <w:rPr>
          <w:lang w:val="es-ES"/>
        </w:rPr>
        <w:t xml:space="preserve"/>
      </w:r>
      <w:r>
        <w:rPr>
          <w:b/>
          <w:bCs/>
          <w:lang w:val="es-ES"/>
        </w:rPr>
        <w:t xml:space="preserve">treinta (30) días calendario </w:t>
      </w:r>
      <w:r>
        <w:rPr>
          <w:lang w:val="es-ES"/>
        </w:rPr>
        <w:t xml:space="preserve"/>
      </w:r>
      <w:r>
        <w:rPr>
          <w:lang w:val="es-ES"/>
        </w:rPr>
        <w:t xml:space="preserve">siguientes a la finalización efectiva del Contrato o la recepción de la instrucción de eliminación por escrito, lo que ocurra más tarde.</w:t>
      </w:r>
    </w:p>
    <w:p>
      <w:pPr>
        <w:pStyle w:val="Compact"/>
        <w:numPr>
          <w:ilvl w:val="0"/>
          <w:numId w:val="1004"/>
        </w:numPr>
      </w:pPr>
      <w:r>
        <w:rPr>
          <w:b/>
          <w:bCs/>
          <w:lang w:val="es-ES"/>
        </w:rPr>
        <w:t xml:space="preserve">Depuración de </w:t>
      </w:r>
      <w:r>
        <w:rPr>
          <w:lang w:val="es-ES"/>
        </w:rPr>
        <w:t xml:space="preserve">respaldos: </w:t>
      </w:r>
      <w:r>
        <w:rPr>
          <w:lang w:val="es-ES"/>
        </w:rPr>
        <w:t xml:space="preserve">depuración de respaldos técnicos residuales según su ciclo de rotación normal, en un plazo </w:t>
      </w:r>
      <w:r>
        <w:rPr>
          <w:lang w:val="es-ES"/>
        </w:rPr>
        <w:t xml:space="preserve"/>
      </w:r>
      <w:r>
        <w:rPr>
          <w:b/>
          <w:bCs/>
          <w:lang w:val="es-ES"/>
        </w:rPr>
        <w:t xml:space="preserve">máximo de noventa (90) días </w:t>
      </w:r>
      <w:r>
        <w:rPr>
          <w:lang w:val="es-ES"/>
        </w:rPr>
        <w:t xml:space="preserve">naturales.</w:t>
      </w:r>
    </w:p>
    <w:p>
      <w:pPr>
        <w:pStyle w:val="Compact"/>
        <w:numPr>
          <w:ilvl w:val="0"/>
          <w:numId w:val="1004"/>
        </w:numPr>
      </w:pPr>
      <w:r>
        <w:rPr>
          <w:b/>
          <w:bCs/>
          <w:lang w:val="es-ES"/>
        </w:rPr>
        <w:t xml:space="preserve">Certificado: </w:t>
      </w:r>
      <w:r>
        <w:rPr>
          <w:lang w:val="es-ES"/>
        </w:rPr>
        <w:t xml:space="preserve"/>
      </w:r>
      <w:r>
        <w:rPr>
          <w:lang w:val="es-ES"/>
        </w:rPr>
        <w:t xml:space="preserve">previa solicitud por escrito, entrega de un certificado de cancelación o restitución dentro de los treinta (30) días naturales siguientes a la realización de la operación de que se trate.</w:t>
      </w:r>
    </w:p>
    <w:p>
      <w:pPr>
        <w:pStyle w:val="FirstParagraph"/>
      </w:pPr>
      <w:r>
        <w:rPr>
          <w:lang w:val="es-ES"/>
        </w:rPr>
        <w:t xml:space="preserve">Los objetivos operativos vinculados al plan de continuidad (RPO de 24 horas / RTO de 4 horas) se recuerdan en el artículo 6.5. No se estipula ningún compromiso contractual de disponibilidad; queda por definirse comercialmente si es necesario.</w:t>
      </w:r>
    </w:p>
    <w:p>
      <w:r>
        <w:pict>
          <v:rect style="width:0;height:1.5pt" o:hralign="center" o:hrstd="t" o:hr="t"/>
        </w:pict>
      </w:r>
    </w:p>
    <w:bookmarkEnd w:id="53"/>
    <w:bookmarkStart w:id="54" w:name="article-13--force-majeure"/>
    <w:p>
      <w:pPr>
        <w:pStyle w:val="Heading2"/>
        <w:keepNext/>
        <w:keepLines/>
      </w:pPr>
      <w:r>
        <w:rPr>
          <w:color w:val="000000"/>
          <w:lang w:val="es-ES"/>
        </w:rPr>
        <w:t xml:space="preserve">Artículo 13 — Fuerza mayor</w:t>
      </w:r>
    </w:p>
    <w:p>
      <w:pPr>
        <w:pStyle w:val="FirstParagraph"/>
      </w:pPr>
      <w:r>
        <w:rPr>
          <w:lang w:val="es-ES"/>
        </w:rPr>
        <w:t xml:space="preserve">Ninguna de las Partes podrá ser considerada responsable del incumplimiento de sus obligaciones resultante de un caso de fuerza mayor en el sentido del artículo 1218 del Código Civil y de la jurisprudencia de los tribunales franceses.</w:t>
      </w:r>
    </w:p>
    <w:p>
      <w:pPr>
        <w:pStyle w:val="BodyText"/>
      </w:pPr>
      <w:r>
        <w:rPr>
          <w:lang w:val="es-ES"/>
        </w:rPr>
        <w:t xml:space="preserve">La Parte afectada informará a la otra sin demora. Las obligaciones afectadas quedan suspendidas mientras dure el evento. Si la fuerza mayor continúa más allá de [PARA COMPLETAR: duración, p. 60 días], cada Parte podrá rescindir el Contrato automáticamente, sin compensación, mediante carta certificada con acuse de recibo.</w:t>
      </w:r>
    </w:p>
    <w:p>
      <w:r>
        <w:pict>
          <v:rect style="width:0;height:1.5pt" o:hralign="center" o:hrstd="t" o:hr="t"/>
        </w:pict>
      </w:r>
    </w:p>
    <w:bookmarkEnd w:id="54"/>
    <w:bookmarkStart w:id="55" w:name="Xc4b392dafc8714d4a4ae6a67b462422fb2e378b"/>
    <w:p>
      <w:pPr>
        <w:pStyle w:val="Heading2"/>
        <w:keepNext/>
        <w:keepLines/>
      </w:pPr>
      <w:r>
        <w:rPr>
          <w:color w:val="000000"/>
          <w:lang w:val="es-ES"/>
        </w:rPr>
        <w:t xml:space="preserve">Artículo 14 — Ley aplicable y jurisdicción</w:t>
      </w:r>
    </w:p>
    <w:p>
      <w:pPr>
        <w:pStyle w:val="FirstParagraph"/>
      </w:pPr>
      <w:r>
        <w:rPr>
          <w:lang w:val="es-ES"/>
        </w:rPr>
        <w:t xml:space="preserve">Las presentes Condiciones se rigen por el </w:t>
      </w:r>
      <w:r>
        <w:rPr>
          <w:lang w:val="es-ES"/>
        </w:rPr>
        <w:t xml:space="preserve"/>
      </w:r>
      <w:r>
        <w:rPr>
          <w:b/>
          <w:bCs/>
          <w:lang w:val="es-ES"/>
        </w:rPr>
        <w:t xml:space="preserve">Derecho </w:t>
      </w:r>
      <w:r>
        <w:rPr>
          <w:lang w:val="es-ES"/>
        </w:rPr>
        <w:t xml:space="preserve">francés.</w:t>
      </w:r>
    </w:p>
    <w:p>
      <w:pPr>
        <w:pStyle w:val="BodyText"/>
      </w:pPr>
      <w:r>
        <w:rPr>
          <w:lang w:val="es-ES"/>
        </w:rPr>
        <w:t xml:space="preserve">Cualquier controversia relativa a su validez, interpretación, ejecución o resolución, a falta de solución amistosa, corresponde exclusivamente a los órganos jurisdiccionales </w:t>
      </w:r>
      <w:r>
        <w:rPr>
          <w:lang w:val="es-ES"/>
        </w:rPr>
        <w:t xml:space="preserve"/>
      </w:r>
      <w:r>
        <w:rPr>
          <w:b/>
          <w:bCs/>
          <w:lang w:val="es-ES"/>
        </w:rPr>
        <w:t xml:space="preserve">de París, salvo </w:t>
      </w:r>
      <w:r>
        <w:rPr>
          <w:lang w:val="es-ES"/>
        </w:rPr>
        <w:t xml:space="preserve">disposición imperativa contraria aplicable al Cliente, en particular cuando este sea una persona jurídica pública.</w:t>
      </w:r>
    </w:p>
    <w:p>
      <w:r>
        <w:pict>
          <v:rect style="width:0;height:1.5pt" o:hralign="center" o:hrstd="t" o:hr="t"/>
        </w:pict>
      </w:r>
    </w:p>
    <w:bookmarkEnd w:id="55"/>
    <w:bookmarkStart w:id="56" w:name="article-15--stipulations-diverses"/>
    <w:p>
      <w:pPr>
        <w:pStyle w:val="Heading2"/>
        <w:keepNext/>
        <w:keepLines/>
      </w:pPr>
      <w:r>
        <w:rPr>
          <w:color w:val="000000"/>
          <w:lang w:val="es-ES"/>
        </w:rPr>
        <w:t xml:space="preserve">Artículo 15 — Disposiciones diversas</w:t>
      </w:r>
    </w:p>
    <w:p>
      <w:pPr>
        <w:pStyle w:val="Compact"/>
        <w:numPr>
          <w:ilvl w:val="0"/>
          <w:numId w:val="1005"/>
        </w:numPr>
      </w:pPr>
      <w:r>
        <w:rPr>
          <w:b/>
          <w:bCs/>
          <w:lang w:val="es-ES"/>
        </w:rPr>
        <w:t xml:space="preserve">Integridad: </w:t>
      </w:r>
      <w:r>
        <w:rPr>
          <w:lang w:val="es-ES"/>
        </w:rPr>
        <w:t xml:space="preserve"/>
      </w:r>
      <w:r>
        <w:rPr>
          <w:lang w:val="es-ES"/>
        </w:rPr>
        <w:t xml:space="preserve">el Contrato expresa el acuerdo total de las Partes sobre su objeto y prevalece sobre cualquier intercambio previo.</w:t>
      </w:r>
    </w:p>
    <w:p>
      <w:pPr>
        <w:pStyle w:val="Compact"/>
        <w:numPr>
          <w:ilvl w:val="0"/>
          <w:numId w:val="1005"/>
        </w:numPr>
      </w:pPr>
      <w:r>
        <w:rPr>
          <w:b/>
          <w:bCs/>
          <w:lang w:val="es-ES"/>
        </w:rPr>
        <w:t xml:space="preserve">Nulidad parcial: </w:t>
      </w:r>
      <w:r>
        <w:rPr>
          <w:lang w:val="es-ES"/>
        </w:rPr>
        <w:t xml:space="preserve"/>
      </w:r>
      <w:r>
        <w:rPr>
          <w:lang w:val="es-ES"/>
        </w:rPr>
        <w:t xml:space="preserve">si una estipulación se declara nula o inaplicable, las demás siguen vigentes; las Partes la sustituyen por una estipulación de efecto equivalente.</w:t>
      </w:r>
    </w:p>
    <w:p>
      <w:pPr>
        <w:pStyle w:val="Compact"/>
        <w:numPr>
          <w:ilvl w:val="0"/>
          <w:numId w:val="1005"/>
        </w:numPr>
      </w:pPr>
      <w:r>
        <w:rPr>
          <w:b/>
          <w:bCs/>
          <w:lang w:val="es-ES"/>
        </w:rPr>
        <w:t xml:space="preserve">No renuncia: el </w:t>
      </w:r>
      <w:r>
        <w:rPr>
          <w:lang w:val="es-ES"/>
        </w:rPr>
        <w:t xml:space="preserve"/>
      </w:r>
      <w:r>
        <w:rPr>
          <w:lang w:val="es-ES"/>
        </w:rPr>
        <w:t xml:space="preserve">hecho de que una Parte no aproveche un incumplimiento no constituye una renuncia al derecho a aprovecharlo posteriormente.</w:t>
      </w:r>
    </w:p>
    <w:p>
      <w:pPr>
        <w:pStyle w:val="Compact"/>
        <w:numPr>
          <w:ilvl w:val="0"/>
          <w:numId w:val="1005"/>
        </w:numPr>
      </w:pPr>
      <w:r>
        <w:rPr>
          <w:b/>
          <w:bCs/>
          <w:lang w:val="es-ES"/>
        </w:rPr>
        <w:t xml:space="preserve">Cesión: </w:t>
      </w:r>
      <w:r>
        <w:rPr>
          <w:lang w:val="es-ES"/>
        </w:rPr>
        <w:t xml:space="preserve"/>
      </w:r>
      <w:r>
        <w:rPr>
          <w:lang w:val="es-ES"/>
        </w:rPr>
        <w:t xml:space="preserve">el Contrato no podrá ser cedido por el Cliente sin el consentimiento previo por escrito de OHADJA.</w:t>
      </w:r>
    </w:p>
    <w:p>
      <w:pPr>
        <w:pStyle w:val="Compact"/>
        <w:numPr>
          <w:ilvl w:val="0"/>
          <w:numId w:val="1005"/>
        </w:numPr>
      </w:pPr>
      <w:r>
        <w:rPr>
          <w:b/>
          <w:bCs/>
          <w:lang w:val="es-ES"/>
        </w:rPr>
        <w:t xml:space="preserve">Modificación: </w:t>
      </w:r>
      <w:r>
        <w:rPr>
          <w:lang w:val="es-ES"/>
        </w:rPr>
        <w:t xml:space="preserve"/>
      </w:r>
      <w:r>
        <w:rPr>
          <w:lang w:val="es-ES"/>
        </w:rPr>
        <w:t xml:space="preserve">cualquier modificación está sujeta a una enmienda escrita aceptada por las Partes.</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bookmarkEnd w:id="56"/>
    <w:bookmarkEnd w:id="57"/>
    <w:p>
      <w:pPr>
        <w:pStyle w:val="Heading1"/>
        <w:pageBreakBefore/>
        <w:keepNext/>
        <w:keepLines/>
      </w:pPr>
      <w:r>
        <w:rPr>
          <w:lang w:val="es-ES"/>
          <w:color w:val="000000"/>
        </w:rPr>
        <w:t xml:space="preserve">Anexo sobre las normas nacionales de despliegue</w:t>
      </w:r>
    </w:p>
    <w:p>
      <w:pPr>
        <w:pStyle w:val="Heading2"/>
        <w:keepNext/>
        <w:keepLines/>
      </w:pPr>
      <w:r>
        <w:rPr>
          <w:lang w:val="es-ES"/>
          <w:color w:val="000000"/>
        </w:rPr>
        <w:t xml:space="preserve">Alcance de este anexo</w:t>
      </w:r>
    </w:p>
    <w:p>
      <w:pPr>
        <w:pStyle w:val="BodyText"/>
      </w:pPr>
      <w:r>
        <w:rPr>
          <w:lang w:val="es-ES"/>
        </w:rPr>
        <w:t xml:space="preserve">Esta edición cubre la base del RGPD de la Unión Europea y los aspectos de despliegue que se indican a continuación para Francia, Irlanda, los Países Bajos, España y Portugal. Estas notas deben leerse según el país y el uso reales del Cliente, sea cual sea el idioma del documento. Complementan los documentos del proyecto sin modificar automáticamente la identidad de las partes, el Derecho francés elegido ni los órganos jurisdiccionales designados. Se mantienen a salvo las normas imperativas aplicables al Cliente. Las referencias nacionales francesas del cuerpo del documento siguen identificadas como tales; no constituyen una equivalencia extranjera.</w:t>
      </w:r>
    </w:p>
    <w:p>
      <w:pPr>
        <w:pStyle w:val="Heading2"/>
        <w:keepNext/>
        <w:keepLines/>
      </w:pPr>
      <w:r>
        <w:rPr>
          <w:lang w:val="es-ES"/>
          <w:color w:val="000000"/>
        </w:rPr>
        <w:t xml:space="preserve">Base europea que debe documentarse antes de la puesta en servicio</w:t>
      </w:r>
    </w:p>
    <w:p>
      <w:pPr>
        <w:pStyle w:val="BodyText"/>
      </w:pPr>
      <w:r>
        <w:rPr>
          <w:lang w:val="es-ES"/>
        </w:rPr>
        <w:t xml:space="preserve">El Cliente debe determinar la finalidad, la necesidad, la proporcionalidad y la base jurídica de cada grabación y tratamiento; informar a las personas antes de recoger los datos; definir los destinatarios, los plazos y los medios para ejercer los derechos; y celebrar un acuerdo conforme al artículo 28 para las operaciones confiadas a un encargado del tratamiento. La información, la consulta o la validación humana no bastan para que un tratamiento sea lícito. El consentimiento de los empleados debe examinarse con prudencia dado el desequilibrio frente al empleador.</w:t>
      </w:r>
    </w:p>
    <w:p>
      <w:pPr>
        <w:pStyle w:val="BodyText"/>
      </w:pPr>
      <w:r>
        <w:rPr>
          <w:lang w:val="es-ES"/>
        </w:rPr>
        <w:t xml:space="preserve">Si se tratan categorías especiales de datos, debe identificarse una condición aplicable del artículo 9 además de la base del artículo 6. Una comparación vocal destinada a la identificación unívoca debe analizarse en relación con la biometría, incluso sin una plantilla persistente. Debe realizarse una evaluación de impacto antes de los tratamientos que puedan entrañar un alto riesgo y siguen siendo aplicables las normas de consulta previa a la autoridad cuando se cumplan las condiciones del artículo 36. Ni el alojamiento local ni un anexo contractual eximen de este análisis.</w:t>
      </w:r>
    </w:p>
    <w:p>
      <w:pPr>
        <w:pStyle w:val="BodyText"/>
      </w:pPr>
      <w:r>
        <w:rPr>
          <w:lang w:val="es-ES"/>
        </w:rPr>
        <w:t xml:space="preserve">La autoridad competente depende de las normas del RGPD, en particular en los tratamientos transfronterizos; no depende del idioma elegido. El encargado del tratamiento alerta al Cliente sin dilación indebida. El responsable notifica a la autoridad competente en las condiciones del artículo 33, de ser posible en las 72 horas siguientes a tener conocimiento de una violación, salvo que sea improbable que esta entrañe un riesgo para los derechos y libertades. La comunicación a los interesados está sujeta a las condiciones del artículo 34.</w:t>
      </w:r>
    </w:p>
    <w:p>
      <w:pPr>
        <w:pStyle w:val="BodyText"/>
      </w:pPr>
      <w:r>
        <w:rPr>
          <w:lang w:val="es-ES"/>
        </w:rPr>
        <w:t xml:space="preserve">Fuentes europeas https://eur-lex.europa.eu/eli/reg/2016/679/oj y https://www.edpb.europa.eu/documents/guideline/guidelines-052020-on-consent-under-regulation-2016679_en</w:t>
      </w:r>
    </w:p>
    <w:p>
      <w:pPr>
        <w:pStyle w:val="Heading2"/>
        <w:keepNext/>
        <w:keepLines/>
      </w:pPr>
      <w:r>
        <w:rPr>
          <w:lang w:val="es-ES"/>
          <w:color w:val="000000"/>
        </w:rPr>
        <w:t xml:space="preserve">Francia</w:t>
      </w:r>
    </w:p>
    <w:p>
      <w:pPr>
        <w:pStyle w:val="BodyText"/>
      </w:pPr>
      <w:r>
        <w:rPr>
          <w:lang w:val="es-ES"/>
        </w:rPr>
        <w:t xml:space="preserve">Para un despliegue en Francia, determinar las obligaciones de información a los empleados y de consulta previa al CSE según el dispositivo, la plantilla y el ámbito legal aplicable. El Code du travail francés contempla, en particular, las técnicas que permiten controlar la actividad, aunque el producto se presente como una ayuda a la redacción. La información y la consulta no sustituyen el análisis de licitud, necesidad y proporcionalidad ni las normas específicas sobre conversaciones privadas, datos sensibles y confidencialidad. La CNIL es la autoridad nacional, sin perjuicio de las normas de competencia del RGPD.</w:t>
      </w:r>
    </w:p>
    <w:p>
      <w:pPr>
        <w:pStyle w:val="BodyText"/>
      </w:pPr>
      <w:r>
        <w:rPr>
          <w:lang w:val="es-ES"/>
        </w:rPr>
        <w:t xml:space="preserve">Fuentes de Francia Code du travail, artículos L1222-4 y L2312-38 https://www.legifrance.gouv.fr/codes/article_lc/LEGIARTI000006900861 y https://www.legifrance.gouv.fr/codes/section_lc/LEGITEXT000006072050/LEGISCTA000035610273/</w:t>
      </w:r>
    </w:p>
    <w:p>
      <w:pPr>
        <w:pStyle w:val="Heading2"/>
        <w:keepNext/>
        <w:keepLines/>
      </w:pPr>
      <w:r>
        <w:rPr>
          <w:lang w:val="es-ES"/>
          <w:color w:val="000000"/>
        </w:rPr>
        <w:t xml:space="preserve">Irlanda</w:t>
      </w:r>
    </w:p>
    <w:p>
      <w:pPr>
        <w:pStyle w:val="BodyText"/>
      </w:pPr>
      <w:r>
        <w:rPr>
          <w:lang w:val="es-ES"/>
        </w:rPr>
        <w:t xml:space="preserve">Para un despliegue en Irlanda, aplicar el RGPD y el marco nacional; documentar la base jurídica e informar a los participantes antes de la grabación. Examinar las obligaciones de información y consulta a los empleados según el ámbito, la plantilla, los convenios colectivos y los mecanismos existentes. El régimen irlandés no equivale al CSE francés ni establece una consulta idéntica para todos los empleadores. La Data Protection Commission es la autoridad nacional, sin perjuicio de las normas de competencia transfronteriza.</w:t>
      </w:r>
    </w:p>
    <w:p>
      <w:pPr>
        <w:pStyle w:val="BodyText"/>
      </w:pPr>
      <w:r>
        <w:rPr>
          <w:lang w:val="es-ES"/>
        </w:rPr>
        <w:t xml:space="preserve">Fuentes de Irlanda https://www.dataprotection.ie/en/dpc-guidance/video-recording y Employees Provision of Information and Consultation Act 2006 https://www.irishstatutebook.ie/eli/2006/act/9/enacted/en/print</w:t>
      </w:r>
    </w:p>
    <w:p>
      <w:pPr>
        <w:pStyle w:val="Heading2"/>
        <w:keepNext/>
        <w:keepLines/>
      </w:pPr>
      <w:r>
        <w:rPr>
          <w:lang w:val="es-ES"/>
          <w:color w:val="000000"/>
        </w:rPr>
        <w:t xml:space="preserve">Países Bajos</w:t>
      </w:r>
    </w:p>
    <w:p>
      <w:pPr>
        <w:pStyle w:val="BodyText"/>
      </w:pPr>
      <w:r>
        <w:rPr>
          <w:lang w:val="es-ES"/>
        </w:rPr>
        <w:t xml:space="preserve">Para un despliegue en los Países Bajos, examinar las competencias del ondernemingsraad u OR. Un dispositivo que pueda permitir el seguimiento de la presencia, el comportamiento o el rendimiento puede estar sujeto a su derecho de aprobación previa conforme a la Wet op de ondernemingsraden, aunque todavía no se utilice con ese fin. La aprobación del OR no sustituye la base jurídica del tratamiento ni las condiciones aplicables a la biometría y a los datos sensibles. La Autoriteit Persoonsgegevens es la autoridad nacional, sin perjuicio de las normas de competencia del RGPD.</w:t>
      </w:r>
    </w:p>
    <w:p>
      <w:pPr>
        <w:pStyle w:val="BodyText"/>
      </w:pPr>
      <w:r>
        <w:rPr>
          <w:lang w:val="es-ES"/>
        </w:rPr>
        <w:t xml:space="preserve">Fuente de los Países Bajos Autoriteit Persoonsgegevens https://autoriteitpersoonsgegevens.nl/en/themes/employment-and-benefits/works-council/the-works-council-and-staff-tracking-systems</w:t>
      </w:r>
    </w:p>
    <w:p>
      <w:pPr>
        <w:pStyle w:val="Heading2"/>
        <w:keepNext/>
        <w:keepLines/>
      </w:pPr>
      <w:r>
        <w:rPr>
          <w:lang w:val="es-ES"/>
          <w:color w:val="000000"/>
        </w:rPr>
        <w:t xml:space="preserve">España</w:t>
      </w:r>
    </w:p>
    <w:p>
      <w:pPr>
        <w:pStyle w:val="BodyText"/>
      </w:pPr>
      <w:r>
        <w:rPr>
          <w:lang w:val="es-ES"/>
        </w:rPr>
        <w:t xml:space="preserve">Para un despliegue en España, distinguir la transcripción de reuniones del uso de dispositivos de vigilancia sonora. Dentro del ámbito del artículo 89 de la Ley Orgánica 3/2018, la grabación de sonidos en el trabajo está estrictamente limitada a determinados riesgos de seguridad, con proporcionalidad, intervención mínima y garantías; los espacios de descanso están protegidos. Examinar los derechos de información y consulta de los representantes y los acuerdos aplicables. Estas disposiciones no deben extenderse sin análisis a cualquier reunión puntual y el acuerdo de los participantes no constituye una autorización general. Identificar a la AEPD o a la autoridad autonómica competente según el tratamiento.</w:t>
      </w:r>
    </w:p>
    <w:p>
      <w:pPr>
        <w:pStyle w:val="BodyText"/>
      </w:pPr>
      <w:r>
        <w:rPr>
          <w:lang w:val="es-ES"/>
        </w:rPr>
        <w:t xml:space="preserve">Fuentes de España Ley Orgánica 3/2018, artículo 89 https://www.boe.es/buscar/act.php?id=BOE-A-2018-16673#a89 y Estatuto de los Trabajadores, artículo 64 https://www.boe.es/buscar/act.php?id=BOE-A-2015-11430#a64</w:t>
      </w:r>
    </w:p>
    <w:p>
      <w:pPr>
        <w:pStyle w:val="Heading2"/>
        <w:keepNext/>
        <w:keepLines/>
      </w:pPr>
      <w:r>
        <w:rPr>
          <w:lang w:val="es-ES"/>
          <w:color w:val="000000"/>
        </w:rPr>
        <w:t xml:space="preserve">Portugal</w:t>
      </w:r>
    </w:p>
    <w:p>
      <w:pPr>
        <w:pStyle w:val="BodyText"/>
      </w:pPr>
      <w:r>
        <w:rPr>
          <w:lang w:val="es-ES"/>
        </w:rPr>
        <w:t xml:space="preserve">Para un despliegue en Portugal, examinar el Código do Trabalho, la Lei 58/2019 y las normas aplicables al dispositivo concreto. Está prohibida la vigilancia a distancia destinada a controlar el rendimiento profesional. La captación de sonidos mediante un dispositivo de videovigilancia está sujeta a restricciones específicas; esta norma no significa que toda grabación de reuniones esté prohibida ni que esté siempre autorizada. Determinar las obligaciones frente a los trabajadores y sus representantes antes de la puesta en servicio. La Comissão Nacional de Proteção de Dados es la autoridad nacional, sin perjuicio de las normas de competencia del RGPD.</w:t>
      </w:r>
    </w:p>
    <w:p>
      <w:pPr>
        <w:pStyle w:val="BodyText"/>
      </w:pPr>
      <w:r>
        <w:rPr>
          <w:lang w:val="es-ES"/>
        </w:rPr>
        <w:t xml:space="preserve">Fuentes de Portugal Código do Trabalho, artículos 20 y 21 https://diariodarepublica.pt/dr/legislacao-consolidada/lei/2009-34546475-211441911 y CNPD https://www.cnpd.pt/organizacoes/areas-tematicas/videovigilancia/</w:t>
      </w:r>
    </w:p>
    <w:p>
      <w:pPr>
        <w:pStyle w:val="Heading2"/>
        <w:keepNext/>
        <w:keepLines/>
      </w:pPr>
      <w:r>
        <w:rPr>
          <w:lang w:val="es-ES"/>
          <w:color w:val="000000"/>
        </w:rPr>
        <w:t xml:space="preserve">Marcos franceses y compromisos del proyecto</w:t>
      </w:r>
    </w:p>
    <w:p>
      <w:pPr>
        <w:pStyle w:val="BodyText"/>
      </w:pPr>
      <w:r>
        <w:rPr>
          <w:lang w:val="es-ES"/>
        </w:rPr>
        <w:t xml:space="preserve">Los términos CSE, CGCT, HDS, SecNumCloud, ANSSI y RGAA designan instituciones, normas o marcos franceses. No acreditan una certificación de TranscribIA ni el cumplimiento automático de un marco extranjero. Los importes y mecanismos de pago de las condiciones generales de venta, incluida la remisión al Code de commerce francés, deben articularse con el Derecho elegido, la condición del Cliente y las normas imperativas aplicables; no deben presentarse como una reproducción de cada Derecho nacional. Las modalidades aplicables a la contratación pública, los consumidores y los sectores regulados deben precisarse por separado cuando proceda.</w:t>
      </w:r>
    </w:p>
    <w:p>
      <w:pPr>
        <w:pStyle w:val="BodyText"/>
      </w:pPr>
      <w:r>
        <w:rPr>
          <w:lang w:val="es-ES"/>
        </w:rPr>
        <w:t xml:space="preserve">Antes de firmar, completar y verificar los anexos del proyecto relativos a las partes, la configuración SaaS o local, los lugares de tratamiento y acceso, los subencargados del tratamiento, las transferencias, las medidas de seguridad efectivas, la conservación y los niveles de servicio. Este anexo no acredita que una medida técnica ya esté desplegada ni sustituye los compromisos particulares acordados. Los regímenes británicos, belgas y de los demás países no están cubiertos por estas notas nacionales; requieren una adaptación específica.</w:t>
      </w:r>
    </w:p>
    <w:p>
      <w:pPr>
        <w:pStyle w:val="BodyText"/>
      </w:pPr>
      <w:r>
        <w:rPr>
          <w:lang w:val="es-ES"/>
        </w:rPr>
        <w:t xml:space="preserve">Las capturas de interfaz y los ejemplos tomados de la aplicación pueden permanecer en francés. Se traducen las explicaciones y los pies de figura de la documentación; los comandos, nombres de archivos, identificadores técnicos y referencias documentales deben conservarse idénticos.</w:t>
      </w:r>
    </w:p>
    <w:p>
      <w:pPr>
        <w:pStyle w:val="Heading1"/>
        <w:keepNext/>
        <w:keepLines/>
      </w:pPr>
      <w:r>
        <w:rPr>
          <w:lang w:val="es-ES"/>
          <w:color w:val="000000"/>
        </w:rPr>
        <w:t>Historial de esta edición</w:t>
      </w:r>
    </w:p>
    <w:p>
      <w:pPr>
        <w:pStyle w:val="BodyText"/>
      </w:pPr>
      <w:r>
        <w:rPr>
          <w:lang w:val="es-ES"/>
        </w:rPr>
        <w:t>1.1 — 2026-10-17</w:t>
      </w:r>
    </w:p>
    <w:p>
      <w:pPr>
        <w:pStyle w:val="BodyText"/>
      </w:pPr>
      <w:r>
        <w:rPr>
          <w:lang w:val="es-ES"/>
        </w:rPr>
        <w:t>Edición multilingüe y correcciones documentales. Se conservan las versiones anteriores y sus fechas. El texto francés prevalece; las traducciones facilitan la lectura y no modifican las partes ni la ley aplicable.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