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00aa6aba2b399654b9aa2d8ce2e008f4b303369"/>
    <w:p>
      <w:pPr>
        <w:pStyle w:val="Title"/>
        <w:keepNext/>
        <w:keepLines/>
      </w:pPr>
      <w:r>
        <w:rPr>
          <w:color w:val="000000"/>
          <w:lang w:val="es-ES"/>
        </w:rPr>
        <w:t xml:space="preserve">Acuerdo de encargo del tratamiento conforme al RGPD (artículo 28) — TranscribIA</w:t>
      </w:r>
    </w:p>
    <w:p>
      <w:pPr>
        <w:pStyle w:val="BodyText"/>
      </w:pPr>
      <w:r>
        <w:rPr>
          <w:lang w:val="es-ES"/>
        </w:rPr>
        <w:t xml:space="preserve">Edición localizada v1.2-draft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TRB-CONF-01.02</w:t>
            </w:r>
          </w:p>
        </w:tc>
      </w:tr>
      <w:tr>
        <w:trPr>
          <w:cantSplit/>
        </w:trPr>
        <w:tc>
          <w:tcPr/>
          <w:p>
            <w:pPr>
              <w:pStyle w:val="Compact"/>
            </w:pPr>
            <w:r>
              <w:rPr>
                <w:lang w:val="es-ES"/>
              </w:rPr>
              <w:t xml:space="preserve">Versión</w:t>
            </w:r>
          </w:p>
        </w:tc>
        <w:tc>
          <w:tcPr/>
          <w:p>
            <w:pPr>
              <w:pStyle w:val="Compact"/>
            </w:pPr>
            <w:r>
              <w:rPr>
                <w:lang w:val="es-ES"/>
              </w:rPr>
              <w:t xml:space="preserve">1.1-borrador — 2026-07-24</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modelo de contrato (v1.1-borrador, que será validado por asesoramiento jurídico antes de la firma)</w:t>
            </w:r>
          </w:p>
        </w:tc>
      </w:tr>
    </w:tbl>
    <w:bookmarkStart w:id="9" w:name="historique-des-versions"/>
    <w:p>
      <w:pPr>
        <w:pStyle w:val="Heading2"/>
        <w:keepNext/>
        <w:keepLines/>
      </w:pPr>
      <w:r>
        <w:rPr>
          <w:color w:val="000000"/>
          <w:lang w:val="es-ES"/>
        </w:rPr>
        <w:t xml:space="preserve">Historial de versiones</w:t>
      </w:r>
    </w:p>
    <w:tbl>
      <w:tblPr>
        <w:tblStyle w:val="Table"/>
        <w:tblW w:type="dxa" w:w="9360"/>
        <w:tblLook w:firstRow="1" w:lastRow="0" w:firstColumn="0" w:lastColumn="0" w:noHBand="0" w:noVBand="0" w:val="0020"/>
        <w:tblLayout w:type="fixed"/>
      </w:tblPr>
      <w:tblGrid>
        <w:gridCol w:w="1310"/>
        <w:gridCol w:w="1778"/>
        <w:gridCol w:w="6272"/>
      </w:tblGrid>
      <w:tr>
        <w:trPr>
          <w:tblHeader w:val="on"/>
          <w:cantSplit/>
        </w:trPr>
        <w:tc>
          <w:tcPr>
            <w:tcW w:type="dxa" w:w="1310"/>
            <w:tcMar>
              <w:left w:type="dxa" w:w="80"/>
              <w:right w:type="dxa" w:w="80"/>
            </w:tcMar>
          </w:tcPr>
          <w:p>
            <w:pPr>
              <w:pStyle w:val="Compact"/>
            </w:pPr>
            <w:r>
              <w:rPr>
                <w:lang w:val="es-ES"/>
              </w:rPr>
              <w:t xml:space="preserve">Versión</w:t>
            </w:r>
          </w:p>
        </w:tc>
        <w:tc>
          <w:tcPr>
            <w:tcW w:type="dxa" w:w="1778"/>
            <w:tcMar>
              <w:left w:type="dxa" w:w="80"/>
              <w:right w:type="dxa" w:w="80"/>
            </w:tcMar>
          </w:tcPr>
          <w:p>
            <w:pPr>
              <w:pStyle w:val="Compact"/>
            </w:pPr>
            <w:r>
              <w:rPr>
                <w:lang w:val="es-ES"/>
              </w:rPr>
              <w:t xml:space="preserve">Fecha</w:t>
            </w:r>
          </w:p>
        </w:tc>
        <w:tc>
          <w:tcPr>
            <w:tcW w:type="dxa" w:w="6272"/>
            <w:tcMar>
              <w:left w:type="dxa" w:w="80"/>
              <w:right w:type="dxa" w:w="80"/>
            </w:tcMar>
          </w:tcPr>
          <w:p>
            <w:pPr>
              <w:pStyle w:val="Compact"/>
            </w:pPr>
            <w:r>
              <w:rPr>
                <w:lang w:val="es-ES"/>
              </w:rPr>
              <w:t xml:space="preserve">Propósito</w:t>
            </w:r>
          </w:p>
        </w:tc>
      </w:tr>
      <w:tr>
        <w:trPr>
          <w:cantSplit/>
        </w:trPr>
        <w:tc>
          <w:tcPr>
            <w:tcW w:type="dxa" w:w="1310"/>
            <w:tcMar>
              <w:left w:type="dxa" w:w="80"/>
              <w:right w:type="dxa" w:w="80"/>
            </w:tcMar>
          </w:tcPr>
          <w:p>
            <w:pPr>
              <w:pStyle w:val="Compact"/>
            </w:pPr>
            <w:r>
              <w:rPr>
                <w:lang w:val="es-ES"/>
              </w:rPr>
              <w:t xml:space="preserve">1.0</w:t>
            </w:r>
          </w:p>
        </w:tc>
        <w:tc>
          <w:tcPr>
            <w:tcW w:type="dxa" w:w="1778"/>
            <w:tcMar>
              <w:left w:type="dxa" w:w="80"/>
              <w:right w:type="dxa" w:w="80"/>
            </w:tcMar>
          </w:tcPr>
          <w:p>
            <w:pPr>
              <w:pStyle w:val="Compact"/>
            </w:pPr>
            <w:r>
              <w:rPr>
                <w:lang w:val="es-ES"/>
              </w:rPr>
              <w:t xml:space="preserve">19 de mayo de 2026</w:t>
            </w:r>
          </w:p>
        </w:tc>
        <w:tc>
          <w:tcPr>
            <w:tcW w:type="dxa" w:w="6272"/>
            <w:tcMar>
              <w:left w:type="dxa" w:w="80"/>
              <w:right w:type="dxa" w:w="80"/>
            </w:tcMar>
          </w:tcPr>
          <w:p>
            <w:pPr>
              <w:pStyle w:val="Compact"/>
            </w:pPr>
            <w:r>
              <w:rPr>
                <w:lang w:val="es-ES"/>
              </w:rPr>
              <w:t xml:space="preserve">Versión inicial. Entidad encargada del tratamiento: AMBASSADIA SARL.</w:t>
            </w:r>
          </w:p>
        </w:tc>
      </w:tr>
      <w:tr>
        <w:trPr>
          <w:cantSplit/>
        </w:trPr>
        <w:tc>
          <w:tcPr>
            <w:tcW w:type="dxa" w:w="1310"/>
            <w:tcMar>
              <w:left w:type="dxa" w:w="80"/>
              <w:right w:type="dxa" w:w="80"/>
            </w:tcMar>
          </w:tcPr>
          <w:p>
            <w:pPr>
              <w:pStyle w:val="Compact"/>
            </w:pPr>
            <w:r>
              <w:rPr>
                <w:lang w:val="es-ES"/>
              </w:rPr>
              <w:t xml:space="preserve">1.1-borrador</w:t>
            </w:r>
          </w:p>
        </w:tc>
        <w:tc>
          <w:tcPr>
            <w:tcW w:type="dxa" w:w="1778"/>
            <w:tcMar>
              <w:left w:type="dxa" w:w="80"/>
              <w:right w:type="dxa" w:w="80"/>
            </w:tcMar>
          </w:tcPr>
          <w:p>
            <w:pPr>
              <w:pStyle w:val="Compact"/>
            </w:pPr>
            <w:r>
              <w:rPr>
                <w:lang w:val="es-ES"/>
              </w:rPr>
              <w:t xml:space="preserve">2026-07-24</w:t>
            </w:r>
          </w:p>
        </w:tc>
        <w:tc>
          <w:tcPr>
            <w:tcW w:type="dxa" w:w="6272"/>
            <w:tcMar>
              <w:left w:type="dxa" w:w="80"/>
              <w:right w:type="dxa" w:w="80"/>
            </w:tcMar>
          </w:tcPr>
          <w:p>
            <w:pPr>
              <w:pStyle w:val="Compact"/>
            </w:pPr>
            <w:r>
              <w:rPr>
                <w:lang w:val="es-ES"/>
              </w:rPr>
              <w:t xml:space="preserve">Sustitución de la entidad encargada del tratamiento (OHADJA, editor establecido en París, sustituye a AMBASSADIA SARL, que pasa a ser revendedor / distribuidor comercial); actualización de la URL de producción (client.transcribia.eu), de los subencargados del tratamiento (vía principal de IA en servidores vLLM controlados en la UE, OpenRouter de respaldo, copias de seguridad Scaleway) y de la ubicación (administración y soporte exclusivamente desde Francia/UE). Borrador que debe validar el asesor jurídico antes de la firma.</w:t>
            </w:r>
          </w:p>
        </w:tc>
      </w:tr>
    </w:tbl>
    <w:bookmarkEnd w:id="9"/>
    <w:bookmarkStart w:id="11" w:name="X8dc6cc9f59c22f3e6d209c81e77fec2d0b2e226"/>
    <w:p>
      <w:pPr>
        <w:pStyle w:val="Heading2"/>
        <w:keepNext/>
        <w:keepLines/>
      </w:pPr>
      <w:r>
        <w:rPr>
          <w:color w:val="000000"/>
          <w:lang w:val="es-ES"/>
        </w:rPr>
        <w:t xml:space="preserve">1. PREÁMBULO E IDENTIFICACIÓN DE LAS PARTES</w:t>
      </w:r>
    </w:p>
    <w:p>
      <w:pPr>
        <w:pStyle w:val="FirstParagraph"/>
      </w:pPr>
      <w:r>
        <w:rPr>
          <w:lang w:val="es-ES"/>
        </w:rPr>
        <w:t xml:space="preserve">El presente Acuerdo de encargo del tratamiento conforme al RGPD, versión 1.1-draft de 2026-07-24 (véase el historial de versiones anterior), se celebra entre el Cliente, que actúa como responsable del tratamiento en el sentido del RGPD, y OHADJA, que actúa como encargado del tratamiento para la operación de la solución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Parte</w:t>
            </w:r>
          </w:p>
        </w:tc>
        <w:tc>
          <w:tcPr/>
          <w:p>
            <w:pPr>
              <w:pStyle w:val="Compact"/>
            </w:pPr>
            <w:r>
              <w:rPr>
                <w:lang w:val="es-ES"/>
              </w:rPr>
              <w:t xml:space="preserve">Identificación</w:t>
            </w:r>
          </w:p>
        </w:tc>
      </w:tr>
      <w:tr>
        <w:trPr>
          <w:cantSplit/>
        </w:trPr>
        <w:tc>
          <w:tcPr/>
          <w:p>
            <w:pPr>
              <w:pStyle w:val="Compact"/>
            </w:pPr>
            <w:r>
              <w:rPr>
                <w:lang w:val="es-ES"/>
              </w:rPr>
              <w:t xml:space="preserve">Cliente / Responsable del tratamiento</w:t>
            </w:r>
          </w:p>
        </w:tc>
        <w:tc>
          <w:tcPr/>
          <w:p>
            <w:pPr>
              <w:pStyle w:val="Compact"/>
            </w:pPr>
            <w:r>
              <w:rPr>
                <w:lang w:val="es-ES"/>
              </w:rPr>
              <w:t xml:space="preserve">[nombre de la empresa a completar por el cliente]</w:t>
            </w:r>
          </w:p>
        </w:tc>
      </w:tr>
      <w:tr>
        <w:trPr>
          <w:cantSplit/>
        </w:trPr>
        <w:tc>
          <w:tcPr/>
          <w:p>
            <w:pPr>
              <w:pStyle w:val="Compact"/>
            </w:pPr>
            <w:r>
              <w:rPr>
                <w:lang w:val="es-ES"/>
              </w:rPr>
              <w:t xml:space="preserve">forma jurídica</w:t>
            </w:r>
          </w:p>
        </w:tc>
        <w:tc>
          <w:tcPr/>
          <w:p>
            <w:pPr>
              <w:pStyle w:val="Compact"/>
            </w:pPr>
            <w:r>
              <w:rPr>
                <w:lang w:val="es-ES"/>
              </w:rPr>
              <w:t xml:space="preserve">[a completar por el cliente]</w:t>
            </w:r>
          </w:p>
        </w:tc>
      </w:tr>
      <w:tr>
        <w:trPr>
          <w:cantSplit/>
        </w:trPr>
        <w:tc>
          <w:tcPr/>
          <w:p>
            <w:pPr>
              <w:pStyle w:val="Compact"/>
            </w:pPr>
            <w:r>
              <w:rPr>
                <w:lang w:val="es-ES"/>
              </w:rPr>
              <w:t xml:space="preserve">Capital social</w:t>
            </w:r>
          </w:p>
        </w:tc>
        <w:tc>
          <w:tcPr/>
          <w:p>
            <w:pPr>
              <w:pStyle w:val="Compact"/>
            </w:pPr>
            <w:r>
              <w:rPr>
                <w:lang w:val="es-ES"/>
              </w:rPr>
              <w:t xml:space="preserve">[a completar por el cliente]</w:t>
            </w:r>
          </w:p>
        </w:tc>
      </w:tr>
      <w:tr>
        <w:trPr>
          <w:cantSplit/>
        </w:trPr>
        <w:tc>
          <w:tcPr/>
          <w:p>
            <w:pPr>
              <w:pStyle w:val="Compact"/>
            </w:pPr>
            <w:r>
              <w:rPr>
                <w:lang w:val="es-ES"/>
              </w:rPr>
              <w:t xml:space="preserve">Registro</w:t>
            </w:r>
          </w:p>
        </w:tc>
        <w:tc>
          <w:tcPr/>
          <w:p>
            <w:pPr>
              <w:pStyle w:val="Compact"/>
            </w:pPr>
            <w:r>
              <w:rPr>
                <w:lang w:val="es-ES"/>
              </w:rPr>
              <w:t xml:space="preserve">[a completar por el cliente]</w:t>
            </w:r>
          </w:p>
        </w:tc>
      </w:tr>
      <w:tr>
        <w:trPr>
          <w:cantSplit/>
        </w:trPr>
        <w:tc>
          <w:tcPr/>
          <w:p>
            <w:pPr>
              <w:pStyle w:val="Compact"/>
            </w:pPr>
            <w:r>
              <w:rPr>
                <w:lang w:val="es-ES"/>
              </w:rPr>
              <w:t xml:space="preserve">Oficina central</w:t>
            </w:r>
          </w:p>
        </w:tc>
        <w:tc>
          <w:tcPr/>
          <w:p>
            <w:pPr>
              <w:pStyle w:val="Compact"/>
            </w:pPr>
            <w:r>
              <w:rPr>
                <w:lang w:val="es-ES"/>
              </w:rPr>
              <w:t xml:space="preserve">[a completar por el cliente]</w:t>
            </w:r>
          </w:p>
        </w:tc>
      </w:tr>
      <w:tr>
        <w:trPr>
          <w:cantSplit/>
        </w:trPr>
        <w:tc>
          <w:tcPr/>
          <w:p>
            <w:pPr>
              <w:pStyle w:val="Compact"/>
            </w:pPr>
            <w:r>
              <w:rPr>
                <w:lang w:val="es-ES"/>
              </w:rPr>
              <w:t xml:space="preserve">Representante legal</w:t>
            </w:r>
          </w:p>
        </w:tc>
        <w:tc>
          <w:tcPr/>
          <w:p>
            <w:pPr>
              <w:pStyle w:val="Compact"/>
            </w:pPr>
            <w:r>
              <w:rPr>
                <w:lang w:val="es-ES"/>
              </w:rPr>
              <w:t xml:space="preserve">[nombre, calidad a completar por el cliente]</w:t>
            </w:r>
          </w:p>
        </w:tc>
      </w:tr>
      <w:tr>
        <w:trPr>
          <w:cantSplit/>
        </w:trPr>
        <w:tc>
          <w:tcPr/>
          <w:p>
            <w:pPr>
              <w:pStyle w:val="Compact"/>
            </w:pPr>
            <w:r>
              <w:rPr>
                <w:lang w:val="es-ES"/>
              </w:rPr>
              <w:t xml:space="preserve">Contacto RGPD / DPO</w:t>
            </w:r>
          </w:p>
        </w:tc>
        <w:tc>
          <w:tcPr/>
          <w:p>
            <w:pPr>
              <w:pStyle w:val="Compact"/>
            </w:pPr>
            <w:r>
              <w:rPr>
                <w:lang w:val="es-ES"/>
              </w:rPr>
              <w:t xml:space="preserve">[correo electrónico a completar por el cliente]</w:t>
            </w:r>
          </w:p>
        </w:tc>
      </w:tr>
      <w:tr>
        <w:trPr>
          <w:cantSplit/>
        </w:trPr>
        <w:tc>
          <w:tcPr/>
          <w:p>
            <w:pPr>
              <w:pStyle w:val="Compact"/>
            </w:pPr>
            <w:r>
              <w:rPr>
                <w:lang w:val="es-ES"/>
              </w:rPr>
              <w:t xml:space="preserve">Encargado del tratamiento</w:t>
            </w:r>
          </w:p>
        </w:tc>
        <w:tc>
          <w:tcPr/>
          <w:p>
            <w:pPr>
              <w:pStyle w:val="Compact"/>
            </w:pPr>
            <w:r>
              <w:rPr>
                <w:lang w:val="es-ES"/>
              </w:rPr>
              <w:t xml:space="preserve">OHADJA</w:t>
            </w:r>
          </w:p>
        </w:tc>
      </w:tr>
      <w:tr>
        <w:trPr>
          <w:cantSplit/>
        </w:trPr>
        <w:tc>
          <w:tcPr/>
          <w:p>
            <w:pPr>
              <w:pStyle w:val="Compact"/>
            </w:pPr>
            <w:r>
              <w:rPr>
                <w:lang w:val="es-ES"/>
              </w:rPr>
              <w:t xml:space="preserve">forma jurídica</w:t>
            </w:r>
          </w:p>
        </w:tc>
        <w:tc>
          <w:tcPr/>
          <w:p>
            <w:pPr>
              <w:pStyle w:val="Compact"/>
            </w:pPr>
            <w:r>
              <w:rPr>
                <w:lang w:val="es-ES"/>
              </w:rPr>
              <w:t xml:space="preserve">Société par actions simplifiée (SAS), forma jurídica francesa</w:t>
            </w:r>
          </w:p>
        </w:tc>
      </w:tr>
      <w:tr>
        <w:trPr>
          <w:cantSplit/>
        </w:trPr>
        <w:tc>
          <w:tcPr/>
          <w:p>
            <w:pPr>
              <w:pStyle w:val="Compact"/>
            </w:pPr>
            <w:r>
              <w:rPr>
                <w:lang w:val="es-ES"/>
              </w:rPr>
              <w:t xml:space="preserve">Número de IVA intracomunitario</w:t>
            </w:r>
          </w:p>
        </w:tc>
        <w:tc>
          <w:tcPr/>
          <w:p>
            <w:pPr>
              <w:pStyle w:val="Compact"/>
            </w:pPr>
            <w:r>
              <w:rPr>
                <w:lang w:val="es-ES"/>
              </w:rPr>
              <w:t xml:space="preserve">FR78992146480</w:t>
            </w:r>
          </w:p>
        </w:tc>
      </w:tr>
      <w:tr>
        <w:trPr>
          <w:cantSplit/>
        </w:trPr>
        <w:tc>
          <w:tcPr/>
          <w:p>
            <w:pPr>
              <w:pStyle w:val="Compact"/>
            </w:pPr>
            <w:r>
              <w:rPr>
                <w:lang w:val="es-ES"/>
              </w:rPr>
              <w:t xml:space="preserve">Registro</w:t>
            </w:r>
          </w:p>
        </w:tc>
        <w:tc>
          <w:tcPr/>
          <w:p>
            <w:pPr>
              <w:pStyle w:val="Compact"/>
            </w:pPr>
            <w:r>
              <w:rPr>
                <w:lang w:val="es-ES"/>
              </w:rPr>
              <w:t xml:space="preserve">992 146 480 R.C.S. París — SIRET de la sede: 992 146 480 00015</w:t>
            </w:r>
          </w:p>
        </w:tc>
      </w:tr>
      <w:tr>
        <w:trPr>
          <w:cantSplit/>
        </w:trPr>
        <w:tc>
          <w:tcPr/>
          <w:p>
            <w:pPr>
              <w:pStyle w:val="Compact"/>
            </w:pPr>
            <w:r>
              <w:rPr>
                <w:lang w:val="es-ES"/>
              </w:rPr>
              <w:t xml:space="preserve">Oficina central</w:t>
            </w:r>
          </w:p>
        </w:tc>
        <w:tc>
          <w:tcPr/>
          <w:p>
            <w:pPr>
              <w:pStyle w:val="Compact"/>
            </w:pPr>
            <w:r>
              <w:rPr>
                <w:lang w:val="es-ES"/>
              </w:rPr>
              <w:t xml:space="preserve">60 rue François 1er, 75008 París, Francia</w:t>
            </w:r>
          </w:p>
        </w:tc>
      </w:tr>
      <w:tr>
        <w:trPr>
          <w:cantSplit/>
        </w:trPr>
        <w:tc>
          <w:tcPr/>
          <w:p>
            <w:pPr>
              <w:pStyle w:val="Compact"/>
            </w:pPr>
            <w:r>
              <w:rPr>
                <w:lang w:val="es-ES"/>
              </w:rPr>
              <w:t xml:space="preserve">Representante legal</w:t>
            </w:r>
          </w:p>
        </w:tc>
        <w:tc>
          <w:tcPr/>
          <w:p>
            <w:pPr>
              <w:pStyle w:val="Compact"/>
            </w:pPr>
            <w:r>
              <w:rPr>
                <w:lang w:val="es-ES"/>
              </w:rPr>
              <w:t xml:space="preserve">Olivier Dupont, presidente</w:t>
            </w:r>
          </w:p>
        </w:tc>
      </w:tr>
      <w:tr>
        <w:trPr>
          <w:cantSplit/>
        </w:trPr>
        <w:tc>
          <w:tcPr/>
          <w:p>
            <w:pPr>
              <w:pStyle w:val="Compact"/>
            </w:pPr>
            <w:r>
              <w:rPr>
                <w:lang w:val="es-ES"/>
              </w:rPr>
              <w:t xml:space="preserve">Contacto RGPD / DPO</w:t>
            </w:r>
          </w:p>
        </w:tc>
        <w:tc>
          <w:tcPr/>
          <w:p>
            <w:pPr>
              <w:pStyle w:val="Compact"/>
            </w:pPr>
            <w:hyperlink r:id="rId10">
              <w:r>
                <w:rPr>
                  <w:rStyle w:val="Hyperlink"/>
                  <w:lang w:val="es-ES"/>
                </w:rPr>
                <w:t xml:space="preserve">privacy@transcribia.eu</w:t>
              </w:r>
            </w:hyperlink>
          </w:p>
        </w:tc>
      </w:tr>
      <w:tr>
        <w:trPr>
          <w:cantSplit/>
        </w:trPr>
        <w:tc>
          <w:tcPr/>
          <w:p>
            <w:pPr>
              <w:pStyle w:val="Compact"/>
            </w:pPr>
            <w:r>
              <w:rPr>
                <w:lang w:val="es-ES"/>
              </w:rPr>
              <w:t xml:space="preserve">Departamento afectado</w:t>
            </w:r>
          </w:p>
        </w:tc>
        <w:tc>
          <w:tcPr/>
          <w:p>
            <w:pPr>
              <w:pStyle w:val="Compact"/>
            </w:pPr>
            <w:r>
              <w:rPr>
                <w:lang w:val="es-ES"/>
              </w:rPr>
              <w:t xml:space="preserve">TranscribIA, solución SaaS y/o implementación de Docker local para transcripción de audio, explotación de transcripciones, asistencia de IA y sugerencia de identificación de oradores</w:t>
            </w:r>
          </w:p>
        </w:tc>
      </w:tr>
      <w:tr>
        <w:trPr>
          <w:cantSplit/>
        </w:trPr>
        <w:tc>
          <w:tcPr/>
          <w:p>
            <w:pPr>
              <w:pStyle w:val="Compact"/>
            </w:pPr>
            <w:r>
              <w:rPr>
                <w:lang w:val="es-ES"/>
              </w:rPr>
              <w:t xml:space="preserve">Versión del Acuerdo</w:t>
            </w:r>
          </w:p>
        </w:tc>
        <w:tc>
          <w:tcPr/>
          <w:p>
            <w:pPr>
              <w:pStyle w:val="Compact"/>
            </w:pPr>
            <w:r>
              <w:rPr>
                <w:lang w:val="es-ES"/>
              </w:rPr>
              <w:t xml:space="preserve">1.1-borrador — 2026-07-24</w:t>
            </w:r>
          </w:p>
        </w:tc>
      </w:tr>
      <w:tr>
        <w:trPr>
          <w:cantSplit/>
        </w:trPr>
        <w:tc>
          <w:tcPr/>
          <w:p>
            <w:pPr>
              <w:pStyle w:val="Compact"/>
            </w:pPr>
            <w:r>
              <w:rPr>
                <w:lang w:val="es-ES"/>
              </w:rPr>
              <w:t xml:space="preserve">Fecha de vigencia</w:t>
            </w:r>
          </w:p>
        </w:tc>
        <w:tc>
          <w:tcPr/>
          <w:p>
            <w:pPr>
              <w:pStyle w:val="Compact"/>
            </w:pPr>
            <w:r>
              <w:rPr>
                <w:lang w:val="es-ES"/>
              </w:rPr>
              <w:t xml:space="preserve">[fecha por completar]</w:t>
            </w:r>
          </w:p>
        </w:tc>
      </w:tr>
    </w:tbl>
    <w:p>
      <w:pPr>
        <w:pStyle w:val="BodyText"/>
      </w:pPr>
      <w:r>
        <w:rPr>
          <w:lang w:val="es-ES"/>
        </w:rPr>
        <w:t xml:space="preserve">Las Partes acuerdan que el Cliente determina los fines y medios esenciales del procesamiento realizado utilizando el Servicio. OHADJA procesa Datos personales únicamente en nombre del Cliente, sujeto al Acuerdo Marco, este Acuerdo y las instrucciones documentadas del Cliente.</w:t>
      </w:r>
    </w:p>
    <w:bookmarkEnd w:id="11"/>
    <w:bookmarkStart w:id="13" w:name="X0e1a19f325594220583e00426b84baa7865d939"/>
    <w:p>
      <w:pPr>
        <w:pStyle w:val="Heading2"/>
        <w:keepNext/>
        <w:keepLines/>
      </w:pPr>
      <w:r>
        <w:rPr>
          <w:color w:val="000000"/>
          <w:lang w:val="es-ES"/>
        </w:rPr>
        <w:t xml:space="preserve">2. DEFINICIONES</w:t>
      </w:r>
    </w:p>
    <w:p>
      <w:pPr>
        <w:pStyle w:val="FirstParagraph"/>
      </w:pPr>
      <w:r>
        <w:rPr>
          <w:lang w:val="es-ES"/>
        </w:rPr>
        <w:t xml:space="preserve">"Aplicación" o "Servicio" se refiere a la solución TranscribIA, accesible en particular en la dirección </w:t>
      </w:r>
      <w:r>
        <w:rPr>
          <w:lang w:val="es-ES"/>
        </w:rPr>
        <w:t xml:space="preserve"/>
      </w:r>
      <w:r>
        <w:rPr>
          <w:rStyle w:val="VerbatimChar"/>
          <w:lang w:val="es-ES"/>
        </w:rPr>
        <w:t xml:space="preserve">https://client.transcribia.eu</w:t>
      </w:r>
      <w:r>
        <w:rPr>
          <w:lang w:val="es-ES"/>
        </w:rPr>
        <w:t xml:space="preserve"> </w:t>
      </w:r>
      <w:r>
        <w:rPr>
          <w:lang w:val="es-ES"/>
        </w:rPr>
        <w:t xml:space="preserve">en modo SaaS, así como a sus componentes de aplicación, API, interfaces de administración, procesamiento de transcripción, procesamiento de IA, funcionalidades de correlación de voz, exportaciones, registros de auditoría y, cuando corresponda, su implementación local de Docker.</w:t>
      </w:r>
    </w:p>
    <w:p>
      <w:pPr>
        <w:pStyle w:val="BodyText"/>
      </w:pPr>
      <w:r>
        <w:rPr>
          <w:lang w:val="es-ES"/>
        </w:rPr>
        <w:t xml:space="preserve">“Datos personales” significa cualquier información relativa a una persona física identificada o identificable, en el sentido del artículo 4.1 de RGPD.</w:t>
      </w:r>
    </w:p>
    <w:p>
      <w:pPr>
        <w:pStyle w:val="BodyText"/>
      </w:pPr>
      <w:r>
        <w:rPr>
          <w:lang w:val="es-ES"/>
        </w:rPr>
        <w:t xml:space="preserve">"Incidente de seguridad" significa cualquier evento que comprometa o pueda comprometer la confidencialidad, integridad, disponibilidad o resiliencia de los sistemas o Datos, incluida cualquier violación de Datos personales en el sentido del artículo 4.12 de RGPD.</w:t>
      </w:r>
    </w:p>
    <w:p>
      <w:pPr>
        <w:pStyle w:val="BodyText"/>
      </w:pPr>
      <w:r>
        <w:rPr>
          <w:lang w:val="es-ES"/>
        </w:rPr>
        <w:t xml:space="preserve">“MTO” designa las medidas técnicas y organizativas implementadas para garantizar un nivel de seguridad adaptado al riesgo, en particular de conformidad con el artículo 32 de RGPD.</w:t>
      </w:r>
    </w:p>
    <w:p>
      <w:pPr>
        <w:pStyle w:val="BodyText"/>
      </w:pPr>
      <w:r>
        <w:rPr>
          <w:lang w:val="es-ES"/>
        </w:rPr>
        <w:t xml:space="preserve">“Sujeto de datos” significa cualquier persona física cuyos datos Datos personales se procesan como parte del Servicio, en particular los usuarios del Cliente, oradores grabados, participantes de reuniones, personas mencionadas en transcripciones, documentos o metadatos.</w:t>
      </w:r>
    </w:p>
    <w:p>
      <w:pPr>
        <w:pStyle w:val="BodyText"/>
      </w:pPr>
      <w:r>
        <w:rPr>
          <w:lang w:val="es-ES"/>
        </w:rPr>
        <w:t xml:space="preserve">«Responsable del tratamiento» designa a la persona jurídica u organismo que determina los fines y los medios del Tratamiento, en el sentido del artículo 4.7 del RGPD. En el presente Acuerdo, el Cliente actúa en esa calidad.</w:t>
      </w:r>
    </w:p>
    <w:p>
      <w:pPr>
        <w:pStyle w:val="BodyText"/>
      </w:pPr>
      <w:r>
        <w:rPr>
          <w:lang w:val="es-ES"/>
        </w:rPr>
        <w:t xml:space="preserve">“RGPD” significa el Reglamento (UE) 2016/679 de 27 de abril de 2016, en particular sus artículos 28, 32, 33, 34, 35 y 36, cuyo texto oficial es publicado por la CNIL en la siguiente dirección: </w:t>
      </w:r>
      <w:r>
        <w:rPr>
          <w:lang w:val="es-ES"/>
        </w:rPr>
        <w:t xml:space="preserve"/>
      </w:r>
      <w:hyperlink r:id="rId12">
        <w:r>
          <w:rPr>
            <w:rStyle w:val="Hyperlink"/>
            <w:lang w:val="es-ES"/>
          </w:rPr>
          <w:t xml:space="preserve">https://www.cnil.fr/fr/reglement-europeen-protection-donnees/chapitre4</w:t>
        </w:r>
      </w:hyperlink>
      <w:r>
        <w:rPr>
          <w:lang w:val="es-ES"/>
        </w:rPr>
        <w:t xml:space="preserve">.</w:t>
      </w:r>
    </w:p>
    <w:p>
      <w:pPr>
        <w:pStyle w:val="BodyText"/>
      </w:pPr>
      <w:r>
        <w:rPr>
          <w:lang w:val="es-ES"/>
        </w:rPr>
        <w:t xml:space="preserve">«Encargado del tratamiento» designa a la persona jurídica que trata Datos personales por cuenta del Responsable del tratamiento, en el sentido del artículo 4.8 del RGPD. En el presente Acuerdo, OHADJA actúa en esa calidad.</w:t>
      </w:r>
    </w:p>
    <w:p>
      <w:pPr>
        <w:pStyle w:val="BodyText"/>
      </w:pPr>
      <w:r>
        <w:rPr>
          <w:lang w:val="es-ES"/>
        </w:rPr>
        <w:t xml:space="preserve">«Subencargado del tratamiento» designa a cualquier proveedor contratado por OHADJA para realizar actividades específicas de tratamiento por cuenta del Cliente, conforme a los artículos 28.2 y 28.4 del RGPD.</w:t>
      </w:r>
    </w:p>
    <w:p>
      <w:pPr>
        <w:pStyle w:val="BodyText"/>
      </w:pPr>
      <w:r>
        <w:rPr>
          <w:lang w:val="es-ES"/>
        </w:rPr>
        <w:t xml:space="preserve">“Tratamiento” significa cualquier operación o conjunto de operaciones realizadas o no mediante procesos automatizados y aplicadas a Datos personales, en el sentido del artículo 4.2 de RGPD.</w:t>
      </w:r>
    </w:p>
    <w:bookmarkEnd w:id="13"/>
    <w:bookmarkStart w:id="14" w:name="Xc17c9d865baca38989ae11d25b8e8a34111b524"/>
    <w:p>
      <w:pPr>
        <w:pStyle w:val="Heading2"/>
        <w:keepNext/>
        <w:keepLines/>
      </w:pPr>
      <w:r>
        <w:rPr>
          <w:color w:val="000000"/>
          <w:lang w:val="es-ES"/>
        </w:rPr>
        <w:t xml:space="preserve">3. FINALIDAD Y JERARQUÍA CONTRACTUAL</w:t>
      </w:r>
    </w:p>
    <w:p>
      <w:pPr>
        <w:pStyle w:val="FirstParagraph"/>
      </w:pPr>
      <w:r>
        <w:rPr>
          <w:lang w:val="es-ES"/>
        </w:rPr>
        <w:t xml:space="preserve">El objeto de este Acuerdo es definir las condiciones bajo las cuales OHADJA procesa Datos personales en nombre del Cliente en el marco del Servicio TranscribIA, de conformidad con el artículo 28 de RGPD.</w:t>
      </w:r>
    </w:p>
    <w:p>
      <w:pPr>
        <w:pStyle w:val="BodyText"/>
      </w:pPr>
      <w:r>
        <w:rPr>
          <w:lang w:val="es-ES"/>
        </w:rPr>
        <w:t xml:space="preserve">Este Acuerdo complementa el contrato principal, las condiciones especiales, órdenes de compra, cotizaciones aceptadas, condiciones generales de servicio, anexos técnicos y cualquier otro documento contractual que rija la prestación del Servicio al Cliente.</w:t>
      </w:r>
    </w:p>
    <w:p>
      <w:pPr>
        <w:pStyle w:val="BodyText"/>
      </w:pPr>
      <w:r>
        <w:rPr>
          <w:lang w:val="es-ES"/>
        </w:rPr>
        <w:t xml:space="preserve">En caso de cualquier contradicción entre este Acuerdo y el Contrato Principal con respecto a la protección de Datos personales, la seguridad del procesamiento, las instrucciones del Cliente, Subencargados del tratamiento, transferencias internacionales, restitución o eliminación de Datos, prevalecerán las disposiciones de este Acuerdo.</w:t>
      </w:r>
    </w:p>
    <w:p>
      <w:pPr>
        <w:pStyle w:val="BodyText"/>
      </w:pPr>
      <w:r>
        <w:rPr>
          <w:lang w:val="es-ES"/>
        </w:rPr>
        <w:t xml:space="preserve">Este Acuerdo no transfiere a OHADJA el estatus de Responsable del tratamiento para el procesamiento realizado en nombre del Cliente. El Cliente sigue siendo responsable de la licitud del tratamiento, la determinación de las finalidades, la base jurídica, la información de los Interesados, la gestión de los derechos y, en su caso, la realización de un análisis de impacto en materia de protección de datos de conformidad con el artículo 35 de RGPD.</w:t>
      </w:r>
    </w:p>
    <w:bookmarkEnd w:id="14"/>
    <w:bookmarkStart w:id="15" w:name="X4deae1a1998fbf12bc78ab23704a7b9750f2830"/>
    <w:p>
      <w:pPr>
        <w:pStyle w:val="Heading2"/>
        <w:keepNext/>
        <w:keepLines/>
      </w:pPr>
      <w:r>
        <w:rPr>
          <w:color w:val="000000"/>
          <w:lang w:val="es-ES"/>
        </w:rPr>
        <w:t xml:space="preserve">4. DESCRIPCIÓN DEL TRATAMIENTO</w:t>
      </w:r>
    </w:p>
    <w:p>
      <w:pPr>
        <w:pStyle w:val="FirstParagraph"/>
      </w:pPr>
      <w:r>
        <w:rPr>
          <w:lang w:val="es-ES"/>
        </w:rPr>
        <w:t xml:space="preserve">Las características detalladas del Tratamiento, incluido su objeto, su duración, su naturaleza, sus finalidades, las categorías de Datos tratados, las categorías de Personas interesadas, los plazos de conservación y las garantías específicas de la funcionalidad de correlación de voz, aparecen en el Apéndice 1.</w:t>
      </w:r>
    </w:p>
    <w:p>
      <w:pPr>
        <w:pStyle w:val="BodyText"/>
      </w:pPr>
      <w:r>
        <w:rPr>
          <w:lang w:val="es-ES"/>
        </w:rPr>
        <w:t xml:space="preserve">El Servicio se presta según una de las siguientes opciones, a comprobar por las Partes:</w:t>
      </w:r>
    </w:p>
    <w:tbl>
      <w:tblPr>
        <w:tblStyle w:val="Table"/>
        <w:tblW w:type="dxa" w:w="9360"/>
        <w:tblLook w:firstRow="1" w:lastRow="0" w:firstColumn="0" w:lastColumn="0" w:noHBand="0" w:noVBand="0" w:val="0020"/>
        <w:tblLayout w:type="fixed"/>
      </w:tblPr>
      <w:tblGrid>
        <w:gridCol w:w="1498"/>
        <w:gridCol w:w="6926"/>
        <w:gridCol w:w="936"/>
      </w:tblGrid>
      <w:tr>
        <w:trPr>
          <w:tblHeader w:val="on"/>
          <w:cantSplit/>
        </w:trPr>
        <w:tc>
          <w:tcPr>
            <w:tcW w:type="dxa" w:w="1498"/>
            <w:tcMar>
              <w:left w:type="dxa" w:w="80"/>
              <w:right w:type="dxa" w:w="80"/>
            </w:tcMar>
          </w:tcPr>
          <w:p>
            <w:pPr>
              <w:pStyle w:val="Compact"/>
            </w:pPr>
            <w:r>
              <w:rPr>
                <w:lang w:val="es-ES"/>
              </w:rPr>
              <w:t xml:space="preserve">Opciones</w:t>
            </w:r>
          </w:p>
        </w:tc>
        <w:tc>
          <w:tcPr>
            <w:tcW w:type="dxa" w:w="6926"/>
            <w:tcMar>
              <w:left w:type="dxa" w:w="80"/>
              <w:right w:type="dxa" w:w="80"/>
            </w:tcMar>
          </w:tcPr>
          <w:p>
            <w:pPr>
              <w:pStyle w:val="Compact"/>
            </w:pPr>
            <w:r>
              <w:rPr>
                <w:lang w:val="es-ES"/>
              </w:rPr>
              <w:t xml:space="preserve">Modo de suministro</w:t>
            </w:r>
          </w:p>
        </w:tc>
        <w:tc>
          <w:tcPr>
            <w:tcW w:type="dxa" w:w="936"/>
            <w:tcMar>
              <w:left w:type="dxa" w:w="80"/>
              <w:right w:type="dxa" w:w="80"/>
            </w:tcMar>
          </w:tcPr>
          <w:p>
            <w:pPr>
              <w:pStyle w:val="Compact"/>
            </w:pPr>
            <w:r>
              <w:rPr>
                <w:lang w:val="es-ES"/>
              </w:rPr>
              <w:t xml:space="preserve">Elección</w:t>
            </w:r>
          </w:p>
        </w:tc>
      </w:tr>
      <w:tr>
        <w:trPr>
          <w:cantSplit/>
        </w:trPr>
        <w:tc>
          <w:tcPr>
            <w:tcW w:type="dxa" w:w="1498"/>
            <w:tcMar>
              <w:left w:type="dxa" w:w="80"/>
              <w:right w:type="dxa" w:w="80"/>
            </w:tcMar>
          </w:tcPr>
          <w:p>
            <w:pPr>
              <w:pStyle w:val="Compact"/>
            </w:pPr>
            <w:r>
              <w:rPr>
                <w:lang w:val="es-ES"/>
              </w:rPr>
              <w:t xml:space="preserve">Opción A</w:t>
            </w:r>
          </w:p>
        </w:tc>
        <w:tc>
          <w:tcPr>
            <w:tcW w:type="dxa" w:w="6926"/>
            <w:tcMar>
              <w:left w:type="dxa" w:w="80"/>
              <w:right w:type="dxa" w:w="80"/>
            </w:tcMar>
          </w:tcPr>
          <w:p>
            <w:pPr>
              <w:pStyle w:val="Compact"/>
            </w:pPr>
            <w:r>
              <w:rPr>
                <w:lang w:val="es-ES"/>
              </w:rPr>
              <w:t xml:space="preserve">SaaS TranscribIA alojado y operado por OHADJA, con hosting en Francia o la Unión Europea</w:t>
            </w:r>
          </w:p>
        </w:tc>
        <w:tc>
          <w:tcPr>
            <w:tcW w:type="dxa" w:w="936"/>
            <w:tcMar>
              <w:left w:type="dxa" w:w="80"/>
              <w:right w:type="dxa" w:w="80"/>
            </w:tcMar>
          </w:tcPr>
          <w:p>
            <w:pPr>
              <w:pStyle w:val="Compact"/>
            </w:pPr>
            <w:r>
              <w:rPr>
                <w:lang w:val="es-ES"/>
              </w:rPr>
              <w:t xml:space="preserve">[ ]</w:t>
            </w:r>
          </w:p>
        </w:tc>
      </w:tr>
      <w:tr>
        <w:trPr>
          <w:cantSplit/>
        </w:trPr>
        <w:tc>
          <w:tcPr>
            <w:tcW w:type="dxa" w:w="1498"/>
            <w:tcMar>
              <w:left w:type="dxa" w:w="80"/>
              <w:right w:type="dxa" w:w="80"/>
            </w:tcMar>
          </w:tcPr>
          <w:p>
            <w:pPr>
              <w:pStyle w:val="Compact"/>
            </w:pPr>
            <w:r>
              <w:rPr>
                <w:lang w:val="es-ES"/>
              </w:rPr>
              <w:t xml:space="preserve">Opción B</w:t>
            </w:r>
          </w:p>
        </w:tc>
        <w:tc>
          <w:tcPr>
            <w:tcW w:type="dxa" w:w="6926"/>
            <w:tcMar>
              <w:left w:type="dxa" w:w="80"/>
              <w:right w:type="dxa" w:w="80"/>
            </w:tcMar>
          </w:tcPr>
          <w:p>
            <w:pPr>
              <w:pStyle w:val="Compact"/>
            </w:pPr>
            <w:r>
              <w:rPr>
                <w:lang w:val="es-ES"/>
              </w:rPr>
              <w:t xml:space="preserve">Implementación de Docker en las instalaciones del Cliente o en la infraestructura designada por el Cliente</w:t>
            </w:r>
          </w:p>
        </w:tc>
        <w:tc>
          <w:tcPr>
            <w:tcW w:type="dxa" w:w="936"/>
            <w:tcMar>
              <w:left w:type="dxa" w:w="80"/>
              <w:right w:type="dxa" w:w="80"/>
            </w:tcMar>
          </w:tcPr>
          <w:p>
            <w:pPr>
              <w:pStyle w:val="Compact"/>
            </w:pPr>
            <w:r>
              <w:rPr>
                <w:lang w:val="es-ES"/>
              </w:rPr>
              <w:t xml:space="preserve">[ ]</w:t>
            </w:r>
          </w:p>
        </w:tc>
      </w:tr>
    </w:tbl>
    <w:p>
      <w:pPr>
        <w:pStyle w:val="BodyText"/>
      </w:pPr>
      <w:r>
        <w:rPr>
          <w:lang w:val="es-ES"/>
        </w:rPr>
        <w:t xml:space="preserve">En la Opción A, OHADJA garantiza la operación, alojamiento, mantenimiento, supervisión, respaldos técnicos, actualizaciones y seguridad operativa de la aplicación del Servicio, dentro de los límites del Contrato Principal y los MTO descritos en el Apéndice 3.</w:t>
      </w:r>
    </w:p>
    <w:p>
      <w:pPr>
        <w:pStyle w:val="BodyText"/>
      </w:pPr>
      <w:r>
        <w:rPr>
          <w:lang w:val="es-ES"/>
        </w:rPr>
        <w:t xml:space="preserve">En la Opción B, el Cliente proporciona hosting, administración de infraestructura, seguridad de red, respaldo, supervisión y acceso al sistema de su entorno, a menos que se estipule lo contrario. OHADJA sigue siendo Encargado del tratamiento para las operaciones que efectivamente realiza en nombre del Cliente, en particular soporte, mantenimiento, acceso remoto autorizado, actualizaciones de aplicaciones, asistencia técnica, procesamiento de IA o transcripción externa activada por el Cliente.</w:t>
      </w:r>
    </w:p>
    <w:bookmarkEnd w:id="15"/>
    <w:bookmarkStart w:id="24" w:name="X6fbe77c1f2ceb9b8fe7ce4f91ca5eec1189f452"/>
    <w:p>
      <w:pPr>
        <w:pStyle w:val="Heading2"/>
        <w:keepNext/>
        <w:keepLines/>
      </w:pPr>
      <w:r>
        <w:rPr>
          <w:color w:val="000000"/>
          <w:lang w:val="es-ES"/>
        </w:rPr>
        <w:t xml:space="preserve">5. OBLIGACIONES DE Encargado del tratamiento</w:t>
      </w:r>
    </w:p>
    <w:bookmarkStart w:id="16" w:name="X85011d02b5293815d8a137ad98420bb0d38d2c8"/>
    <w:p>
      <w:pPr>
        <w:pStyle w:val="Heading3"/>
        <w:keepNext/>
        <w:keepLines/>
      </w:pPr>
      <w:r>
        <w:rPr>
          <w:color w:val="000000"/>
          <w:lang w:val="es-ES"/>
        </w:rPr>
        <w:t xml:space="preserve">5.1 INSTRUCCIONES DOCUMENTADAS DEL CLIENTE — ARTÍCULO 28.3.A DEL RGPD</w:t>
      </w:r>
    </w:p>
    <w:p>
      <w:pPr>
        <w:pStyle w:val="FirstParagraph"/>
      </w:pPr>
      <w:r>
        <w:rPr>
          <w:lang w:val="es-ES"/>
        </w:rPr>
        <w:t xml:space="preserve">OHADJA solo procesa Datos personales según las instrucciones documentadas del Cliente, incluso con respecto a transferencias de Datos a un tercer país o una organización internacional.</w:t>
      </w:r>
    </w:p>
    <w:p>
      <w:pPr>
        <w:pStyle w:val="BodyText"/>
      </w:pPr>
      <w:r>
        <w:rPr>
          <w:lang w:val="es-ES"/>
        </w:rPr>
        <w:t xml:space="preserve">Las instrucciones documentadas incluyen el Contrato Principal, este Acuerdo, las configuraciones realizadas por el Cliente en la Aplicación, las solicitudes escritas dirigidas al soporte, las configuraciones técnicas validadas por el Cliente y las instrucciones adicionales formalizadas por escrito.</w:t>
      </w:r>
    </w:p>
    <w:p>
      <w:pPr>
        <w:pStyle w:val="BodyText"/>
      </w:pPr>
      <w:r>
        <w:rPr>
          <w:lang w:val="es-ES"/>
        </w:rPr>
        <w:t xml:space="preserve">OHADJA informará al Cliente sin demora si considera que una instrucción constituye una violación de RGPD u otra disposición aplicable del derecho de la Unión o francesa en materia de protección de datos, de conformidad con el artículo 28.3.h de RGPD.</w:t>
      </w:r>
    </w:p>
    <w:p>
      <w:pPr>
        <w:pStyle w:val="BodyText"/>
      </w:pPr>
      <w:r>
        <w:rPr>
          <w:lang w:val="es-ES"/>
        </w:rPr>
        <w:t xml:space="preserve">Si OHADJA debe procesar Datos según la ley de la Unión o la ley de un Estado miembro, informará al Cliente antes del Procesamiento, a menos que lo prohíba la ley por una razón importante de interés público.</w:t>
      </w:r>
    </w:p>
    <w:bookmarkEnd w:id="16"/>
    <w:bookmarkStart w:id="17" w:name="X640541e1c00603a23593b291bac8ac454affb4b"/>
    <w:p>
      <w:pPr>
        <w:pStyle w:val="Heading3"/>
        <w:keepNext/>
        <w:keepLines/>
      </w:pPr>
      <w:r>
        <w:rPr>
          <w:color w:val="000000"/>
          <w:lang w:val="es-ES"/>
        </w:rPr>
        <w:t xml:space="preserve">5.2 CONFIDENCIALIDAD — ARTÍCULO 28.3.B RGPD</w:t>
      </w:r>
    </w:p>
    <w:p>
      <w:pPr>
        <w:pStyle w:val="FirstParagraph"/>
      </w:pPr>
      <w:r>
        <w:rPr>
          <w:lang w:val="es-ES"/>
        </w:rPr>
        <w:t xml:space="preserve">OHADJA garantiza que las personas autorizadas para procesar Datos personales se comprometen a mantener la confidencialidad o están sujetas a una obligación legal adecuada de confidencialidad.</w:t>
      </w:r>
    </w:p>
    <w:p>
      <w:pPr>
        <w:pStyle w:val="BodyText"/>
      </w:pPr>
      <w:r>
        <w:rPr>
          <w:lang w:val="es-ES"/>
        </w:rPr>
        <w:t xml:space="preserve">El acceso a los Datos está limitado al personal, agentes o proveedores de servicios que necesitan conocerlos para la ejecución del Servicio, soporte, mantenimiento, seguridad o una instrucción documentada del Cliente.</w:t>
      </w:r>
    </w:p>
    <w:p>
      <w:pPr>
        <w:pStyle w:val="BodyText"/>
      </w:pPr>
      <w:r>
        <w:rPr>
          <w:lang w:val="es-ES"/>
        </w:rPr>
        <w:t xml:space="preserve">Los compromisos de confidencialidad siguen siendo aplicables una vez finalizada la relación contractual de los interesados con OHADJA.</w:t>
      </w:r>
    </w:p>
    <w:bookmarkEnd w:id="17"/>
    <w:bookmarkStart w:id="18" w:name="X386434ff447907cb8c97496307d45663c82d3f0"/>
    <w:p>
      <w:pPr>
        <w:pStyle w:val="Heading3"/>
        <w:keepNext/>
        <w:keepLines/>
      </w:pPr>
      <w:r>
        <w:rPr>
          <w:color w:val="000000"/>
          <w:lang w:val="es-ES"/>
        </w:rPr>
        <w:t xml:space="preserve">5.3 SEGURIDAD DEL TRATAMIENTO — ARTÍCULOS 28.3.C Y 32 RGPD</w:t>
      </w:r>
    </w:p>
    <w:p>
      <w:pPr>
        <w:pStyle w:val="FirstParagraph"/>
      </w:pPr>
      <w:r>
        <w:rPr>
          <w:lang w:val="es-ES"/>
        </w:rPr>
        <w:t xml:space="preserve">OHADJA implementa los MTO descritos en el Anexo 3 con el fin de garantizar un nivel de seguridad adaptado al riesgo, de acuerdo con los artículos 32.1.a, 32.1.b, 32.1.c y 32.1.d de RGPD.</w:t>
      </w:r>
    </w:p>
    <w:p>
      <w:pPr>
        <w:pStyle w:val="BodyText"/>
      </w:pPr>
      <w:r>
        <w:rPr>
          <w:lang w:val="es-ES"/>
        </w:rPr>
        <w:t xml:space="preserve">Estos MTO cubren en particular el cifrado en tránsito, el aislamiento lógico de los inquilinos, la gestión de acceso, el registro, las copias de seguridad, la continuidad del servicio, la gestión de vulnerabilidades, la seguridad del procesamiento de la IA y las garantías específicas de la correlación de voz.</w:t>
      </w:r>
    </w:p>
    <w:p>
      <w:pPr>
        <w:pStyle w:val="BodyText"/>
      </w:pPr>
      <w:r>
        <w:rPr>
          <w:lang w:val="es-ES"/>
        </w:rPr>
        <w:t xml:space="preserve">El Cliente reconoce que la seguridad del Tratamiento depende también de sus propias obligaciones, en particular de la gestión de sus usuarios, la asignación de roles, la protección de los identificadores, la elección de los archivos cargados, la información de las Personas interesadas y, en la Opción B, la seguridad de su infraestructura.</w:t>
      </w:r>
    </w:p>
    <w:bookmarkEnd w:id="18"/>
    <w:bookmarkStart w:id="19" w:name="Xb3486bc07c2cb7b33a0dadd72b9c7237bf29d3f"/>
    <w:p>
      <w:pPr>
        <w:pStyle w:val="Heading3"/>
        <w:keepNext/>
        <w:keepLines/>
      </w:pPr>
      <w:r>
        <w:rPr>
          <w:color w:val="000000"/>
          <w:lang w:val="es-ES"/>
        </w:rPr>
        <w:t xml:space="preserve">5.4 Subencargados del tratamiento — ARTÍCULOS 28.3.D, 28.2 Y 28.4 RGPD</w:t>
      </w:r>
    </w:p>
    <w:p>
      <w:pPr>
        <w:pStyle w:val="FirstParagraph"/>
      </w:pPr>
      <w:r>
        <w:rPr>
          <w:lang w:val="es-ES"/>
        </w:rPr>
        <w:t xml:space="preserve">OHADJA cumple con las condiciones previstas en los artículos 28.2 y 28.4 de RGPD para contratar un Subencargado del tratamiento.</w:t>
      </w:r>
    </w:p>
    <w:p>
      <w:pPr>
        <w:pStyle w:val="BodyText"/>
      </w:pPr>
      <w:r>
        <w:rPr>
          <w:lang w:val="es-ES"/>
        </w:rPr>
        <w:t xml:space="preserve">OHADJA impone a cualquier Subencargado del tratamiento, por contrato o acto jurídico equivalente, obligaciones de protección de datos al menos equivalentes a las del presente Acuerdo, en particular en materia de confidencialidad, seguridad, asistencia, notificación de incidentes, restitución, supresión y auditoría.</w:t>
      </w:r>
    </w:p>
    <w:p>
      <w:pPr>
        <w:pStyle w:val="BodyText"/>
      </w:pPr>
      <w:r>
        <w:rPr>
          <w:lang w:val="es-ES"/>
        </w:rPr>
        <w:t xml:space="preserve">OHADJA sigue siendo plenamente responsable ante el Cliente de la ejecución por parte de Subencargados del tratamiento de sus obligaciones relativas a la protección de datos.</w:t>
      </w:r>
    </w:p>
    <w:bookmarkEnd w:id="19"/>
    <w:bookmarkStart w:id="20" w:name="X181e667c542a4869513196e0a56998cd3261e78"/>
    <w:p>
      <w:pPr>
        <w:pStyle w:val="Heading3"/>
        <w:keepNext/>
        <w:keepLines/>
      </w:pPr>
      <w:r>
        <w:rPr>
          <w:color w:val="000000"/>
          <w:lang w:val="es-ES"/>
        </w:rPr>
        <w:t xml:space="preserve">5.5 ASISTENCIA PARA DERECHOS PERSONALES — ARTÍCULO 28.3.E RGPD</w:t>
      </w:r>
    </w:p>
    <w:p>
      <w:pPr>
        <w:pStyle w:val="FirstParagraph"/>
      </w:pPr>
      <w:r>
        <w:rPr>
          <w:lang w:val="es-ES"/>
        </w:rPr>
        <w:t xml:space="preserve">Teniendo en cuenta la naturaleza del Tratamiento, OHADJA ayuda al Cliente, a través de medidas técnicas y organizativas apropiadas y en la mayor medida posible, a cumplir con su obligación de responder a las solicitudes de ejercicio de los derechos de los Interesados previstos en los artículos 12 a 22 de RGPD.</w:t>
      </w:r>
    </w:p>
    <w:p>
      <w:pPr>
        <w:pStyle w:val="BodyText"/>
      </w:pPr>
      <w:r>
        <w:rPr>
          <w:lang w:val="es-ES"/>
        </w:rPr>
        <w:t xml:space="preserve">Esta asistencia puede incluir la exportación de Datos, la búsqueda de sesiones, la eliminación de cuentas de usuario, la eliminación de archivos, la rectificación de información ingresada en la Aplicación, el acceso a los registros disponibles y la asistencia técnica necesaria para identificar los Datos en cuestión.</w:t>
      </w:r>
    </w:p>
    <w:p>
      <w:pPr>
        <w:pStyle w:val="BodyText"/>
      </w:pPr>
      <w:r>
        <w:rPr>
          <w:lang w:val="es-ES"/>
        </w:rPr>
        <w:t xml:space="preserve">OHADJA no responde directamente a un Interesado por cuenta del Cliente, salvo que reciba instrucciones documentadas de este o exista una obligación legal.</w:t>
      </w:r>
    </w:p>
    <w:bookmarkEnd w:id="20"/>
    <w:bookmarkStart w:id="21" w:name="X60f5f7b3d003ca48ae8ede0476f5c4b860bfbca"/>
    <w:p>
      <w:pPr>
        <w:pStyle w:val="Heading3"/>
        <w:keepNext/>
        <w:keepLines/>
      </w:pPr>
      <w:r>
        <w:rPr>
          <w:color w:val="000000"/>
          <w:lang w:val="es-ES"/>
        </w:rPr>
        <w:t xml:space="preserve">5.6 ASISTENCIA PARA LAS OBLIGACIONES DE LOS ARTÍCULOS 32 A 36 — ARTÍCULO 28.3.F RGPD</w:t>
      </w:r>
    </w:p>
    <w:p>
      <w:pPr>
        <w:pStyle w:val="FirstParagraph"/>
      </w:pPr>
      <w:r>
        <w:rPr>
          <w:lang w:val="es-ES"/>
        </w:rPr>
        <w:t xml:space="preserve">OHADJA ayuda al Cliente a garantizar el cumplimiento de sus obligaciones previstas en los artículos 32 a 36 de RGPD, teniendo en cuenta la naturaleza del Tratamiento y la información de que dispone.</w:t>
      </w:r>
    </w:p>
    <w:p>
      <w:pPr>
        <w:pStyle w:val="BodyText"/>
      </w:pPr>
      <w:r>
        <w:rPr>
          <w:lang w:val="es-ES"/>
        </w:rPr>
        <w:t xml:space="preserve">Esta asistencia cubre en particular la seguridad del Tratamiento, la notificación de violaciones de Datos personales, la posible comunicación a los Interesados, el análisis de impacto relacionado con la protección de datos y la consulta previa a la autoridad de control cuando estas obligaciones recaen en el Cliente.</w:t>
      </w:r>
    </w:p>
    <w:p>
      <w:pPr>
        <w:pStyle w:val="BodyText"/>
      </w:pPr>
      <w:r>
        <w:rPr>
          <w:lang w:val="es-ES"/>
        </w:rPr>
        <w:t xml:space="preserve">OHADJA proporciona al Cliente, previa solicitud razonable, información técnica disponible sobre la arquitectura del Servicio, MTO, procesamiento de transcripción, procesamiento de IA, Subencargados del tratamiento autorizado y garantías relacionadas con la correlación de voz.</w:t>
      </w:r>
    </w:p>
    <w:bookmarkEnd w:id="21"/>
    <w:bookmarkStart w:id="22" w:name="X371a2d02ebe98ae60d5f35283993a98ae6374bb"/>
    <w:p>
      <w:pPr>
        <w:pStyle w:val="Heading3"/>
        <w:keepNext/>
        <w:keepLines/>
      </w:pPr>
      <w:r>
        <w:rPr>
          <w:color w:val="000000"/>
          <w:lang w:val="es-ES"/>
        </w:rPr>
        <w:t xml:space="preserve">5.7 RESTITUCIÓN O ELIMINACIÓN — ARTÍCULO 28.3.G RGPD</w:t>
      </w:r>
    </w:p>
    <w:p>
      <w:pPr>
        <w:pStyle w:val="FirstParagraph"/>
      </w:pPr>
      <w:r>
        <w:rPr>
          <w:lang w:val="es-ES"/>
        </w:rPr>
        <w:t xml:space="preserve">Al terminar la prestación de servicios relativa al Tratamiento, OHADJA suprime o devuelve al Cliente, según la elección documentada de este, todos los Datos personales tratados por su cuenta y destruye las copias existentes, salvo que el Derecho de la Unión o el Derecho francés exijan conservarlos.</w:t>
      </w:r>
    </w:p>
    <w:p>
      <w:pPr>
        <w:pStyle w:val="BodyText"/>
      </w:pPr>
      <w:r>
        <w:rPr>
          <w:lang w:val="es-ES"/>
        </w:rPr>
        <w:t xml:space="preserve">Las modalidades operativas de restitución, supresión, exportación, plazos y certificado se definen en el artículo 11.</w:t>
      </w:r>
    </w:p>
    <w:bookmarkEnd w:id="22"/>
    <w:bookmarkStart w:id="23" w:name="Xbf1dd0c2929220af4686f03f916b0123ec6be16"/>
    <w:p>
      <w:pPr>
        <w:pStyle w:val="Heading3"/>
        <w:keepNext/>
        <w:keepLines/>
      </w:pPr>
      <w:r>
        <w:rPr>
          <w:color w:val="000000"/>
          <w:lang w:val="es-ES"/>
        </w:rPr>
        <w:t xml:space="preserve">5.8 DEMOSTRACIÓN DE CUMPLIMIENTO Y AUDITORÍA — ARTÍCULO 28.3.H RGPD</w:t>
      </w:r>
    </w:p>
    <w:p>
      <w:pPr>
        <w:pStyle w:val="FirstParagraph"/>
      </w:pPr>
      <w:r>
        <w:rPr>
          <w:lang w:val="es-ES"/>
        </w:rPr>
        <w:t xml:space="preserve">OHADJA proporciona al Cliente la información necesaria para demostrar el cumplimiento de las obligaciones previstas en el artículo 28 de RGPD y permite que el Cliente o un auditor designado por él realice auditorías, incluidas inspecciones, en las condiciones previstas en el apartado 10.</w:t>
      </w:r>
    </w:p>
    <w:p>
      <w:pPr>
        <w:pStyle w:val="BodyText"/>
      </w:pPr>
      <w:r>
        <w:rPr>
          <w:lang w:val="es-ES"/>
        </w:rPr>
        <w:t xml:space="preserve">OHADJA mantiene un registro de las categorías de actividades de tratamiento realizadas por cuenta del Cliente cuando así lo exige el artículo 30.2 de RGPD.</w:t>
      </w:r>
    </w:p>
    <w:bookmarkEnd w:id="23"/>
    <w:bookmarkEnd w:id="24"/>
    <w:bookmarkStart w:id="25" w:name="X6d69baf09f8184b2fba964eb0a06417a06d4abe"/>
    <w:p>
      <w:pPr>
        <w:pStyle w:val="Heading2"/>
        <w:keepNext/>
        <w:keepLines/>
      </w:pPr>
      <w:r>
        <w:rPr>
          <w:color w:val="000000"/>
          <w:lang w:val="es-ES"/>
        </w:rPr>
        <w:t xml:space="preserve">6. Subencargados del tratamiento</w:t>
      </w:r>
    </w:p>
    <w:p>
      <w:pPr>
        <w:pStyle w:val="FirstParagraph"/>
      </w:pPr>
      <w:r>
        <w:rPr>
          <w:lang w:val="es-ES"/>
        </w:rPr>
        <w:t xml:space="preserve">El Cliente otorga a OHADJA una autorización general por escrito para recurrir a los Subencargados del tratamiento enumerados en el Anexo 2 para los fines allí descritos, conforme al artículo 28.2 del RGPD.</w:t>
      </w:r>
    </w:p>
    <w:p>
      <w:pPr>
        <w:pStyle w:val="BodyText"/>
      </w:pPr>
      <w:r>
        <w:rPr>
          <w:lang w:val="es-ES"/>
        </w:rPr>
        <w:t xml:space="preserve">OHADJA informa al Cliente de cualquier incorporación o sustitución prevista de Subencargado del tratamiento al menos treinta (30) días naturales antes de su implementación, mediante correo electrónico, notificación contractual, notificación en la Aplicación o cualquier otro medio escrito que permita conservar prueba de ello.</w:t>
      </w:r>
    </w:p>
    <w:p>
      <w:pPr>
        <w:pStyle w:val="BodyText"/>
      </w:pPr>
      <w:r>
        <w:rPr>
          <w:lang w:val="es-ES"/>
        </w:rPr>
        <w:t xml:space="preserve">El Cliente podrá formular una objeción por escrito, motivada y razonable dentro de este plazo de treinta (30) días, cuando demuestre que el Subencargado del tratamiento previsto no presenta garantías suficientes con respecto al RGPD o crea un riesgo significativo para los derechos y libertades de las Personas interesadas.</w:t>
      </w:r>
    </w:p>
    <w:p>
      <w:pPr>
        <w:pStyle w:val="BodyText"/>
      </w:pPr>
      <w:r>
        <w:rPr>
          <w:lang w:val="es-ES"/>
        </w:rPr>
        <w:t xml:space="preserve">En caso de objeción, las Partes se consultarán de buena fe para identificar una solución alternativa razonable. Si no es posible una solución sin comprometer la prestación del Servicio, el Cliente podrá rescindir la parte correspondiente del Servicio en las condiciones del Contrato Principal, sin perjuicio de las sumas adeudadas por los servicios ya realizados.</w:t>
      </w:r>
    </w:p>
    <w:bookmarkEnd w:id="25"/>
    <w:bookmarkStart w:id="26" w:name="Xbaa5908aea5f579a0a9d81c1240fc2d1c4637db"/>
    <w:p>
      <w:pPr>
        <w:pStyle w:val="Heading2"/>
        <w:keepNext/>
        <w:keepLines/>
      </w:pPr>
      <w:r>
        <w:rPr>
          <w:color w:val="000000"/>
          <w:lang w:val="es-ES"/>
        </w:rPr>
        <w:t xml:space="preserve">7. LOCALIZACIÓN DE DATOS Y TRANSFERENCIAS FUERA DE LA UE</w:t>
      </w:r>
    </w:p>
    <w:p>
      <w:pPr>
        <w:pStyle w:val="FirstParagraph"/>
      </w:pPr>
      <w:r>
        <w:rPr>
          <w:lang w:val="es-ES"/>
        </w:rPr>
        <w:t xml:space="preserve">En la Opción A, OHADJA se compromete a alojar los Datos de Producción del Cliente en Francia o, en su defecto, en la Unión Europea o el Espacio Económico Europeo, con proveedores de servicios que ofrezcan garantías suficientes con respecto a RGPD.</w:t>
      </w:r>
    </w:p>
    <w:p>
      <w:pPr>
        <w:pStyle w:val="BodyText"/>
      </w:pPr>
      <w:r>
        <w:rPr>
          <w:lang w:val="es-ES"/>
        </w:rPr>
        <w:t xml:space="preserve">A la fecha de esta versión, el servicio SaaS TranscribIA está alojado en Francia en una infraestructura de Hostinger y se puede acceder a él a través de </w:t>
      </w:r>
      <w:r>
        <w:rPr>
          <w:lang w:val="es-ES"/>
        </w:rPr>
        <w:t xml:space="preserve"/>
      </w:r>
      <w:r>
        <w:rPr>
          <w:rStyle w:val="VerbatimChar"/>
          <w:lang w:val="es-ES"/>
        </w:rPr>
        <w:t xml:space="preserve">https://client.transcribia.eu</w:t>
      </w:r>
      <w:r>
        <w:rPr>
          <w:lang w:val="es-ES"/>
        </w:rPr>
        <w:t xml:space="preserve">. Las copias de seguridad de los datos de producción están cifradas antes de la subcontratación y se almacenan en Scaleway (Francia, Unión Europea).</w:t>
      </w:r>
    </w:p>
    <w:p>
      <w:pPr>
        <w:pStyle w:val="BodyText"/>
      </w:pPr>
      <w:r>
        <w:rPr>
          <w:lang w:val="es-ES"/>
        </w:rPr>
        <w:t xml:space="preserve">Las funciones de IA se basan por defecto en servidores de inferencia vLLM controlados por OHADJA, alojados en Europa (principalmente Estrasburgo y París), con modelos de peso abierto; En esta ruta principal, no se transmiten Datos a un proveedor de modelos externo ni se transfieren fuera de la Unión Europea. El procesamiento realizado a través de OpenRouter solo se produce como conmutación por error, está limitado a las instrucciones del Cliente y a los parámetros activados en el Servicio, y puede ser desactivado por el Cliente. OHADJA favorece configuraciones, puntos finales, regiones o compromisos contractuales que permitan el procesamiento en la Unión Europea o el Espacio Económico Europeo cuando estén disponibles para el servicio aplicable.</w:t>
      </w:r>
    </w:p>
    <w:p>
      <w:pPr>
        <w:pStyle w:val="BodyText"/>
      </w:pPr>
      <w:r>
        <w:rPr>
          <w:lang w:val="es-ES"/>
        </w:rPr>
        <w:t xml:space="preserve">El procesamiento de GPU bajo demanda, incluida la transcripción, la diarización o la correlación de voz, puede utilizar Vast.ai cuando esta opción está habilitada. OHADJA selecciona recursos ubicados en la Unión Europea o el Espacio Económico Europeo cuando esta ubicación sea requerida por el Cliente o esté prevista en el Contrato Principal.</w:t>
      </w:r>
    </w:p>
    <w:p>
      <w:pPr>
        <w:pStyle w:val="BodyText"/>
      </w:pPr>
      <w:r>
        <w:rPr>
          <w:lang w:val="es-ES"/>
        </w:rPr>
        <w:t xml:space="preserve">La administración y el soporte del Servicio se realizan exclusivamente desde Francia o la Unión Europea; no se realiza ningún acceso administrativo a los Datos de Producción desde un tercer país.</w:t>
      </w:r>
    </w:p>
    <w:p>
      <w:pPr>
        <w:pStyle w:val="BodyText"/>
      </w:pPr>
      <w:r>
        <w:rPr>
          <w:lang w:val="es-ES"/>
        </w:rPr>
        <w:t xml:space="preserve">OHADJA no podrá realizar ninguna transferencia de Datos a los Estados Unidos o a un tercer país en nombre del Cliente sin un mecanismo de transferencia válido en el sentido del capítulo V de RGPD. En particular, se excluyen las transferencias a Estados Unidos en ausencia de cláusulas contractuales tipo aplicables, medidas adicionales cuando sea necesario, o cualquier otro mecanismo reconocido como válido por RGPD.</w:t>
      </w:r>
    </w:p>
    <w:p>
      <w:pPr>
        <w:pStyle w:val="BodyText"/>
      </w:pPr>
      <w:r>
        <w:rPr>
          <w:lang w:val="es-ES"/>
        </w:rPr>
        <w:t xml:space="preserve">Si una transferencia fuera de la Unión Europea o del Espacio Económico Europeo resulta necesaria para la ejecución del Servicio, OHADJA informa al Cliente con antelación, identifica el país en cuestión, la finalidad, las categorías de Datos, el Subencargado del tratamiento en cuestión y el mecanismo de transferencia aplicable. El Cliente se reserva el derecho de oponerse en las condiciones del apartado 6.</w:t>
      </w:r>
    </w:p>
    <w:bookmarkEnd w:id="26"/>
    <w:bookmarkStart w:id="27" w:name="X27fdb3a5f0ec5197869ac1ed3c6478d6fcb4a09"/>
    <w:p>
      <w:pPr>
        <w:pStyle w:val="Heading2"/>
        <w:keepNext/>
        <w:keepLines/>
      </w:pPr>
      <w:r>
        <w:rPr>
          <w:color w:val="000000"/>
          <w:lang w:val="es-ES"/>
        </w:rPr>
        <w:t xml:space="preserve">8. SEGURIDAD Y NOTIFICACIÓN DE INCIDENTES</w:t>
      </w:r>
    </w:p>
    <w:p>
      <w:pPr>
        <w:pStyle w:val="FirstParagraph"/>
      </w:pPr>
      <w:r>
        <w:rPr>
          <w:lang w:val="es-ES"/>
        </w:rPr>
        <w:t xml:space="preserve">OHADJA implementa MTO apropiados de conformidad con los artículos 32.1.a a 32.1.d de RGPD, teniendo en cuenta el estado del conocimiento, los costos de implementación, la naturaleza, el alcance, el contexto, los propósitos del Procesamiento y los riesgos para los derechos y libertades de los Titulares de los datos.</w:t>
      </w:r>
    </w:p>
    <w:p>
      <w:pPr>
        <w:pStyle w:val="BodyText"/>
      </w:pPr>
      <w:r>
        <w:rPr>
          <w:lang w:val="es-ES"/>
        </w:rPr>
        <w:t xml:space="preserve">En caso de que se produzca un Incidente de Seguridad que afecte o pueda afectar los Datos del Cliente, OHADJA toma inmediatamente las medidas necesarias para analizar el incidente, limitar sus efectos, restablecer la seguridad del Servicio y preservar los elementos útiles para la investigación.</w:t>
      </w:r>
    </w:p>
    <w:p>
      <w:pPr>
        <w:pStyle w:val="BodyText"/>
      </w:pPr>
      <w:r>
        <w:rPr>
          <w:lang w:val="es-ES"/>
        </w:rPr>
        <w:t xml:space="preserve">Cuando OHADJA tenga conocimiento de una violación de la seguridad de los Datos personales del Cliente, informará al Cliente sin dilación indebida conforme al artículo 33.2 del RGPD, también fuera de los días laborables. La alerta inicial no se pospone a la espera de una investigación completa; se comunica la información disponible y después se completa de manera gradual. Ningún plazo contractual orientativo puede permitir una dilación indebida ni comprometer las obligaciones del Cliente.</w:t>
      </w:r>
    </w:p>
    <w:p>
      <w:pPr>
        <w:pStyle w:val="BodyText"/>
      </w:pPr>
      <w:r>
        <w:rPr>
          <w:lang w:val="es-ES"/>
        </w:rPr>
        <w:t xml:space="preserve">La notificación enviada al Cliente incluye, en la medida de la información disponible:</w:t>
      </w:r>
    </w:p>
    <w:p>
      <w:pPr>
        <w:pStyle w:val="Compact"/>
        <w:numPr>
          <w:ilvl w:val="0"/>
          <w:numId w:val="1001"/>
        </w:numPr>
      </w:pPr>
      <w:r>
        <w:rPr>
          <w:lang w:val="es-ES"/>
        </w:rPr>
        <w:t xml:space="preserve">la naturaleza de la infracción;</w:t>
      </w:r>
    </w:p>
    <w:p>
      <w:pPr>
        <w:pStyle w:val="Compact"/>
        <w:numPr>
          <w:ilvl w:val="0"/>
          <w:numId w:val="1001"/>
        </w:numPr>
      </w:pPr>
      <w:r>
        <w:rPr>
          <w:lang w:val="es-ES"/>
        </w:rPr>
        <w:t xml:space="preserve">las categorías de Datos en cuestión;</w:t>
      </w:r>
    </w:p>
    <w:p>
      <w:pPr>
        <w:pStyle w:val="Compact"/>
        <w:numPr>
          <w:ilvl w:val="0"/>
          <w:numId w:val="1001"/>
        </w:numPr>
      </w:pPr>
      <w:r>
        <w:rPr>
          <w:lang w:val="es-ES"/>
        </w:rPr>
        <w:t xml:space="preserve">las categorías y el número aproximado de Personas interesadas, cuando estén disponibles;</w:t>
      </w:r>
    </w:p>
    <w:p>
      <w:pPr>
        <w:pStyle w:val="Compact"/>
        <w:numPr>
          <w:ilvl w:val="0"/>
          <w:numId w:val="1001"/>
        </w:numPr>
      </w:pPr>
      <w:r>
        <w:rPr>
          <w:lang w:val="es-ES"/>
        </w:rPr>
        <w:t xml:space="preserve">las categorías y el número aproximado de registros en cuestión, cuando estén disponibles;</w:t>
      </w:r>
    </w:p>
    <w:p>
      <w:pPr>
        <w:pStyle w:val="Compact"/>
        <w:numPr>
          <w:ilvl w:val="0"/>
          <w:numId w:val="1001"/>
        </w:numPr>
      </w:pPr>
      <w:r>
        <w:rPr>
          <w:lang w:val="es-ES"/>
        </w:rPr>
        <w:t xml:space="preserve">las posibles consecuencias de la infracción;</w:t>
      </w:r>
    </w:p>
    <w:p>
      <w:pPr>
        <w:pStyle w:val="Compact"/>
        <w:numPr>
          <w:ilvl w:val="0"/>
          <w:numId w:val="1001"/>
        </w:numPr>
      </w:pPr>
      <w:r>
        <w:rPr>
          <w:lang w:val="es-ES"/>
        </w:rPr>
        <w:t xml:space="preserve">las medidas tomadas o propuestas para remediar la violación;</w:t>
      </w:r>
    </w:p>
    <w:p>
      <w:pPr>
        <w:pStyle w:val="Compact"/>
        <w:numPr>
          <w:ilvl w:val="0"/>
          <w:numId w:val="1001"/>
        </w:numPr>
      </w:pPr>
      <w:r>
        <w:rPr>
          <w:lang w:val="es-ES"/>
        </w:rPr>
        <w:t xml:space="preserve">las medidas propuestas para mitigar las consecuencias negativas;</w:t>
      </w:r>
    </w:p>
    <w:p>
      <w:pPr>
        <w:pStyle w:val="Compact"/>
        <w:numPr>
          <w:ilvl w:val="0"/>
          <w:numId w:val="1001"/>
        </w:numPr>
      </w:pPr>
      <w:r>
        <w:rPr>
          <w:lang w:val="es-ES"/>
        </w:rPr>
        <w:t xml:space="preserve">el punto de contacto desde el que obtener información adicional.</w:t>
      </w:r>
    </w:p>
    <w:p>
      <w:pPr>
        <w:pStyle w:val="FirstParagraph"/>
      </w:pPr>
      <w:r>
        <w:rPr>
          <w:lang w:val="es-ES"/>
        </w:rPr>
        <w:t xml:space="preserve">Cuando no pueda facilitarse toda la información simultáneamente, OHADJA la comunicará de forma escalonada, sin dilaciones indebidas, de conformidad con el artículo 33.4 de RGPD.</w:t>
      </w:r>
    </w:p>
    <w:p>
      <w:pPr>
        <w:pStyle w:val="BodyText"/>
      </w:pPr>
      <w:r>
        <w:rPr>
          <w:lang w:val="es-ES"/>
        </w:rPr>
        <w:t xml:space="preserve">El Cliente sigue siendo responsable de las notificaciones a la autoridad de control competente con arreglo al artículo 33.1 y, cuando proceda, de las comunicaciones a los Interesados con arreglo al artículo 34. OHADJA puede asistirle o actuar mediante mandato escrito, sin que dicho mandato transfiera las responsabilidades legales del Cliente ni dispense a OHADJA de sus propias obligaciones.</w:t>
      </w:r>
    </w:p>
    <w:bookmarkEnd w:id="27"/>
    <w:bookmarkStart w:id="28" w:name="Xf2744e74d29e6a4838bc4c0ddd7ec9c727a38c3"/>
    <w:p>
      <w:pPr>
        <w:pStyle w:val="Heading2"/>
        <w:keepNext/>
        <w:keepLines/>
      </w:pPr>
      <w:r>
        <w:rPr>
          <w:color w:val="000000"/>
          <w:lang w:val="es-ES"/>
        </w:rPr>
        <w:t xml:space="preserve">9. DERECHOS DE LOS INTERESADOS</w:t>
      </w:r>
    </w:p>
    <w:p>
      <w:pPr>
        <w:pStyle w:val="FirstParagraph"/>
      </w:pPr>
      <w:r>
        <w:rPr>
          <w:lang w:val="es-ES"/>
        </w:rPr>
        <w:t xml:space="preserve">El Cliente es responsable de tramitar las solicitudes de ejercicio de los derechos de los Interesados con arreglo a los artículos 12 a 22 del RGPD.</w:t>
      </w:r>
    </w:p>
    <w:p>
      <w:pPr>
        <w:pStyle w:val="BodyText"/>
      </w:pPr>
      <w:r>
        <w:rPr>
          <w:lang w:val="es-ES"/>
        </w:rPr>
        <w:t xml:space="preserve">OHADJA asiste al Cliente dentro de los siete (7) días hábiles siguientes a la recepción de una solicitud escrita completa del Cliente, a menos que exista una emergencia justificada o una complejidad particular que requiera un tiempo razonable adicional.</w:t>
      </w:r>
    </w:p>
    <w:p>
      <w:pPr>
        <w:pStyle w:val="BodyText"/>
      </w:pPr>
      <w:r>
        <w:rPr>
          <w:lang w:val="es-ES"/>
        </w:rPr>
        <w:t xml:space="preserve">La asistencia puede referirse a los derechos de acceso, rectificación, supresión, limitación, portabilidad y oposición, así como a las solicitudes relativas a decisiones individuales automatizadas, cuando estos derechos sean aplicables al Tratamiento correspondiente.</w:t>
      </w:r>
    </w:p>
    <w:p>
      <w:pPr>
        <w:pStyle w:val="BodyText"/>
      </w:pPr>
      <w:r>
        <w:rPr>
          <w:lang w:val="es-ES"/>
        </w:rPr>
        <w:t xml:space="preserve">Si OHADJA recibe directamente una solicitud de un Interesado en relación con los Datos del Cliente, transmitirá esta solicitud al Cliente lo antes posible, cuando pueda identificar al Cliente en cuestión, y se abstendrá de responder a ella en esencia a menos que reciba instrucciones documentadas del Cliente o una obligación legal.</w:t>
      </w:r>
    </w:p>
    <w:p>
      <w:pPr>
        <w:pStyle w:val="BodyText"/>
      </w:pPr>
      <w:r>
        <w:rPr>
          <w:lang w:val="es-ES"/>
        </w:rPr>
        <w:t xml:space="preserve">El Cliente reconoce que ciertos Datos pueden estar contenidos en grabaciones de audio, transcripciones textuales, documentos preparatorios o exportaciones realizadas por sus usuarios. Corresponde al Cliente determinar el seguimiento que debe darse a las solicitudes de los Interesados, en particular cuando la solicitud implica una evaluación jurídica, una ponderación de derechos o la preservación de pruebas.</w:t>
      </w:r>
    </w:p>
    <w:bookmarkEnd w:id="28"/>
    <w:bookmarkStart w:id="29" w:name="X5b9cdfc441acad2cdb70f1acdcfd7578fe2e93a"/>
    <w:p>
      <w:pPr>
        <w:pStyle w:val="Heading2"/>
        <w:keepNext/>
        <w:keepLines/>
      </w:pPr>
      <w:r>
        <w:rPr>
          <w:color w:val="000000"/>
          <w:lang w:val="es-ES"/>
        </w:rPr>
        <w:t xml:space="preserve">10. AUDITORÍA E INSPECCIÓN</w:t>
      </w:r>
    </w:p>
    <w:p>
      <w:pPr>
        <w:pStyle w:val="FirstParagraph"/>
      </w:pPr>
      <w:r>
        <w:rPr>
          <w:lang w:val="es-ES"/>
        </w:rPr>
        <w:t xml:space="preserve">El Cliente tiene derecho a auditar el cumplimiento por parte de OHADJA de las obligaciones previstas en este Acuerdo y en el artículo 28 de RGPD.</w:t>
      </w:r>
    </w:p>
    <w:p>
      <w:pPr>
        <w:pStyle w:val="BodyText"/>
      </w:pPr>
      <w:r>
        <w:rPr>
          <w:lang w:val="es-ES"/>
        </w:rPr>
        <w:t xml:space="preserve">Salvo que exista un incidente grave de seguridad o una solicitud de una autoridad de control, la auditoría se limita a una (1) auditoría por año calendario, con aviso escrito de al menos treinta (30) días calendario.</w:t>
      </w:r>
    </w:p>
    <w:p>
      <w:pPr>
        <w:pStyle w:val="BodyText"/>
      </w:pPr>
      <w:r>
        <w:rPr>
          <w:lang w:val="es-ES"/>
        </w:rPr>
        <w:t xml:space="preserve">La auditoría se realiza durante los días y horas hábiles OHADJA, para no alterar la seguridad, disponibilidad o continuidad del Servicio, ni la confidencialidad de los Datos de otros clientes.</w:t>
      </w:r>
    </w:p>
    <w:p>
      <w:pPr>
        <w:pStyle w:val="BodyText"/>
      </w:pPr>
      <w:r>
        <w:rPr>
          <w:lang w:val="es-ES"/>
        </w:rPr>
        <w:t xml:space="preserve">El Cliente podrá nombrar un auditor externo independiente, siempre que este último esté sujeto a una obligación escrita de confidencialidad, no sea un competidor directo de OHADJA y cumpla con las normas de seguridad aplicables.</w:t>
      </w:r>
    </w:p>
    <w:p>
      <w:pPr>
        <w:pStyle w:val="BodyText"/>
      </w:pPr>
      <w:r>
        <w:rPr>
          <w:lang w:val="es-ES"/>
        </w:rPr>
        <w:t xml:space="preserve">Los costos internos y externos de la auditoría, incluidos los honorarios del auditor designado por el Cliente, son responsabilidad del Cliente. OHADJA podrá facturar al Cliente el tiempo razonable dedicado a preparar, respaldar y monitorear la auditoría cuando esto exceda la información de cumplimiento estándar puesta a disposición.</w:t>
      </w:r>
    </w:p>
    <w:p>
      <w:pPr>
        <w:pStyle w:val="BodyText"/>
      </w:pPr>
      <w:r>
        <w:rPr>
          <w:lang w:val="es-ES"/>
        </w:rPr>
        <w:t xml:space="preserve">La auditoría no puede conducir al acceso a los Datos de otros clientes, a los secretos comerciales de OHADJA, a códigos fuente sin licencia, a informaciones de seguridad cuya divulgación crearía un riesgo desproporcionado, ni a informaciones cubiertas por una obligación de confidencialidad hacia un tercero.</w:t>
      </w:r>
    </w:p>
    <w:p>
      <w:pPr>
        <w:pStyle w:val="BodyText"/>
      </w:pPr>
      <w:r>
        <w:rPr>
          <w:lang w:val="es-ES"/>
        </w:rPr>
        <w:t xml:space="preserve">Cuando se detectan no conformidades sustanciales, OHADJA establece un plan de remediación proporcionado e informa al Cliente de su progreso.</w:t>
      </w:r>
    </w:p>
    <w:bookmarkEnd w:id="29"/>
    <w:bookmarkStart w:id="30" w:name="X73e59becb4c206e5b73713aa44c597c54fda0d1"/>
    <w:p>
      <w:pPr>
        <w:pStyle w:val="Heading2"/>
        <w:keepNext/>
        <w:keepLines/>
      </w:pPr>
      <w:r>
        <w:rPr>
          <w:color w:val="000000"/>
          <w:lang w:val="es-ES"/>
        </w:rPr>
        <w:t xml:space="preserve">11. DEVOLUCIÓN Y ELIMINACIÓN</w:t>
      </w:r>
    </w:p>
    <w:p>
      <w:pPr>
        <w:pStyle w:val="FirstParagraph"/>
      </w:pPr>
      <w:r>
        <w:rPr>
          <w:lang w:val="es-ES"/>
        </w:rPr>
        <w:t xml:space="preserve">Al finalizar el Contrato Principal, cualquiera que sea la causa, el Cliente elige mediante instrucción escrita entre la devolución o la eliminación del Datos personales procesado por su cuenta.</w:t>
      </w:r>
    </w:p>
    <w:p>
      <w:pPr>
        <w:pStyle w:val="BodyText"/>
      </w:pPr>
      <w:r>
        <w:rPr>
          <w:lang w:val="es-ES"/>
        </w:rPr>
        <w:t xml:space="preserve">En caso de restitución, OHADJA pone a disposición del Cliente, en un formato estándar disponible en el Servicio, los Datos exportables, en particular cuentas de usuario, metadatos de sesión, transcripciones, documentos, archivos de audio, registros disponibles y exportaciones generadas, sujeto a las funcionalidades efectivamente suscritas y a las limitaciones técnicas documentadas.</w:t>
      </w:r>
    </w:p>
    <w:p>
      <w:pPr>
        <w:pStyle w:val="BodyText"/>
      </w:pPr>
      <w:r>
        <w:rPr>
          <w:lang w:val="es-ES"/>
        </w:rPr>
        <w:t xml:space="preserve">En caso de eliminación, OHADJA elimina los Datos de Producción del Cliente en un plazo máximo de treinta (30) días calendario siguientes a la finalización efectiva del Contrato Principal o la recepción de la instrucción de eliminación por escrito, lo que ocurra más tarde.</w:t>
      </w:r>
    </w:p>
    <w:p>
      <w:pPr>
        <w:pStyle w:val="BodyText"/>
      </w:pPr>
      <w:r>
        <w:rPr>
          <w:lang w:val="es-ES"/>
        </w:rPr>
        <w:t xml:space="preserve">Las copias de seguridad técnicas residuales se aíslan del uso habitual y se eliminan según su ciclo normal de rotación, en un plazo máximo de noventa (90) días naturales. Solo es posible una conservación adicional en la medida y durante el plazo impuestos por el Derecho de la Unión o por el Derecho del Estado miembro al que esté sujeta OHADJA; se documentan su fundamento y su ámbito. Una necesidad general de seguridad, litigio o restauración no dispensa de respetar las instrucciones lícitas y el artículo 28.3.g.</w:t>
      </w:r>
    </w:p>
    <w:p>
      <w:pPr>
        <w:pStyle w:val="BodyText"/>
      </w:pPr>
      <w:r>
        <w:rPr>
          <w:lang w:val="es-ES"/>
        </w:rPr>
        <w:t xml:space="preserve">OHADJA proporciona al Cliente, previa solicitud por escrito, un certificado de eliminación o restitución dentro de los treinta (30) días calendario posteriores a la finalización de la transacción correspondiente.</w:t>
      </w:r>
    </w:p>
    <w:p>
      <w:pPr>
        <w:pStyle w:val="BodyText"/>
      </w:pPr>
      <w:r>
        <w:rPr>
          <w:lang w:val="es-ES"/>
        </w:rPr>
        <w:t xml:space="preserve">Las incrustaciones de voz temporales utilizadas para la correlación de voz están excluidas de cualquier restitución, ya que se calculan temporalmente en la RAM con el fin de sugerir la identificación del hablante y se destruyen al final de la solicitud, sin crear una plantilla biométrica persistente.</w:t>
      </w:r>
    </w:p>
    <w:bookmarkEnd w:id="30"/>
    <w:bookmarkStart w:id="31" w:name="X72b0836447daf89f47600fd048e1cdcf0812815"/>
    <w:p>
      <w:pPr>
        <w:pStyle w:val="Heading2"/>
        <w:keepNext/>
        <w:keepLines/>
      </w:pPr>
      <w:r>
        <w:rPr>
          <w:color w:val="000000"/>
          <w:lang w:val="es-ES"/>
        </w:rPr>
        <w:t xml:space="preserve">12. RESPONSABILIDAD, INDEMNIZACIÓN Y LIMITACIÓN</w:t>
      </w:r>
    </w:p>
    <w:p>
      <w:pPr>
        <w:pStyle w:val="FirstParagraph"/>
      </w:pPr>
      <w:r>
        <w:rPr>
          <w:lang w:val="es-ES"/>
        </w:rPr>
        <w:t xml:space="preserve">Cada Parte es responsable de cumplir con sus obligaciones en virtud de RGPD, la ley francesa aplicable, el Contrato Principal y este Acuerdo.</w:t>
      </w:r>
    </w:p>
    <w:p>
      <w:pPr>
        <w:pStyle w:val="BodyText"/>
      </w:pPr>
      <w:r>
        <w:rPr>
          <w:lang w:val="es-ES"/>
        </w:rPr>
        <w:t xml:space="preserve">OHADJA es responsable de los daños causados por el Tratamiento únicamente cuando éste no ha cumplido con las obligaciones de RGPD que incumben específicamente a encargados del tratamiento o cuando ha actuado al margen o en contra de las instrucciones legales del Cliente, de conformidad con los principios del artículo 82 de RGPD.</w:t>
      </w:r>
    </w:p>
    <w:p>
      <w:pPr>
        <w:pStyle w:val="BodyText"/>
      </w:pPr>
      <w:r>
        <w:rPr>
          <w:lang w:val="es-ES"/>
        </w:rPr>
        <w:t xml:space="preserve">El Cliente es responsable de los daños resultantes de sus fines, bases legales, información a los Interesados, instrucciones, configuraciones, contenido cargado, períodos de retención decididos, autorizaciones de usuario, procesamiento impuesto a OHADJA o defectos de seguridad que entren dentro de su alcance, particularmente en la Opción B.</w:t>
      </w:r>
    </w:p>
    <w:p>
      <w:pPr>
        <w:pStyle w:val="BodyText"/>
      </w:pPr>
      <w:r>
        <w:rPr>
          <w:lang w:val="es-ES"/>
        </w:rPr>
        <w:t xml:space="preserve">Cada Parte indemnizará a la otra contra las consecuencias directas de un reclamo, sanción, sentencia o transacción resultante de un incumplimiento probado de sus propias obligaciones bajo este Acuerdo, siempre que la Parte solicitante de la garantía informe a la otra Parte sin demora indebida, coopere razonablemente en la defensa y no admita responsabilidad alguna sin acuerdo previo por escrito.</w:t>
      </w:r>
    </w:p>
    <w:p>
      <w:pPr>
        <w:pStyle w:val="BodyText"/>
      </w:pPr>
      <w:r>
        <w:rPr>
          <w:lang w:val="es-ES"/>
        </w:rPr>
        <w:t xml:space="preserve">A menos que sea obligatorio, la responsabilidad general de OHADJA en virtud de este Acuerdo está sujeta a los límites máximos, exclusiones y limitaciones previstos en el Contrato principal.</w:t>
      </w:r>
    </w:p>
    <w:p>
      <w:pPr>
        <w:pStyle w:val="BodyText"/>
      </w:pPr>
      <w:r>
        <w:rPr>
          <w:lang w:val="es-ES"/>
        </w:rPr>
        <w:t xml:space="preserve">No se aplica ninguna limitación de responsabilidad en caso de fraude, mala conducta intencional, negligencia grave, incumplimiento intencional, violación intencional de las instrucciones documentadas del Cliente, violación intencional de la confidencialidad de los Datos o cuando la ley prohíba dicha limitación.</w:t>
      </w:r>
    </w:p>
    <w:bookmarkEnd w:id="31"/>
    <w:bookmarkStart w:id="32" w:name="Xdc52f2aec3a69fb47e64b781e77c3855826c6e4"/>
    <w:p>
      <w:pPr>
        <w:pStyle w:val="Heading2"/>
        <w:keepNext/>
        <w:keepLines/>
      </w:pPr>
      <w:r>
        <w:rPr>
          <w:color w:val="000000"/>
          <w:lang w:val="es-ES"/>
        </w:rPr>
        <w:t xml:space="preserve">13. DURACIÓN Y TERMINACIÓN</w:t>
      </w:r>
    </w:p>
    <w:p>
      <w:pPr>
        <w:pStyle w:val="FirstParagraph"/>
      </w:pPr>
      <w:r>
        <w:rPr>
          <w:lang w:val="es-ES"/>
        </w:rPr>
        <w:t xml:space="preserve">Este Acuerdo entra en vigor en la fecha indicada en la sección 1 y sigue siendo aplicable durante la vigencia del Acuerdo Principal, siempre que OHADJA procese Datos personales en nombre del Cliente.</w:t>
      </w:r>
    </w:p>
    <w:p>
      <w:pPr>
        <w:pStyle w:val="BodyText"/>
      </w:pPr>
      <w:r>
        <w:rPr>
          <w:lang w:val="es-ES"/>
        </w:rPr>
        <w:t xml:space="preserve">Este Acuerdo finaliza automáticamente cuando todo el Datos personales procesado en nombre del Cliente ha sido devuelto o eliminado de acuerdo con la Sección 11, sujeto a obligaciones que sobreviven a la terminación del Acuerdo principal, incluida la confidencialidad, las pruebas, la responsabilidad, la auditoría posterior al incidente y la retención legalmente requerida.</w:t>
      </w:r>
    </w:p>
    <w:p>
      <w:pPr>
        <w:pStyle w:val="BodyText"/>
      </w:pPr>
      <w:r>
        <w:rPr>
          <w:lang w:val="es-ES"/>
        </w:rPr>
        <w:t xml:space="preserve">En caso de incumplimiento grave por parte de una Parte de sus obligaciones RGPD o del presente Acuerdo, no subsanado dentro de los treinta (30) días naturales siguientes a la notificación escrita motivada, la otra Parte podrá rescindir el Contrato Principal o la parte del Servicio de que se trate, sin perjuicio de los daños y perjuicios debidos.</w:t>
      </w:r>
    </w:p>
    <w:p>
      <w:pPr>
        <w:pStyle w:val="BodyText"/>
      </w:pPr>
      <w:r>
        <w:rPr>
          <w:lang w:val="es-ES"/>
        </w:rPr>
        <w:t xml:space="preserve">En caso de infracción grave que cree un riesgo inminente o significativo para los derechos y libertades de los Interesados, la Parte que no incumpla podrá suspender las operaciones de tratamiento en cuestión o poner fin inmediatamente a la parte del Servicio en cuestión, previa notificación escrita motivada, cuando la continuación del Tratamiento sea manifiestamente incompatible con RGPD.</w:t>
      </w:r>
    </w:p>
    <w:bookmarkEnd w:id="32"/>
    <w:bookmarkStart w:id="33" w:name="X19a4fc33a06919e64bf99252dd3d6d033695a83"/>
    <w:p>
      <w:pPr>
        <w:pStyle w:val="Heading2"/>
        <w:keepNext/>
        <w:keepLines/>
      </w:pPr>
      <w:r>
        <w:rPr>
          <w:color w:val="000000"/>
          <w:lang w:val="es-ES"/>
        </w:rPr>
        <w:t xml:space="preserve">14. ESTIPULACIONES FINALES</w:t>
      </w:r>
    </w:p>
    <w:p>
      <w:pPr>
        <w:pStyle w:val="FirstParagraph"/>
      </w:pPr>
      <w:r>
        <w:rPr>
          <w:lang w:val="es-ES"/>
        </w:rPr>
        <w:t xml:space="preserve">El presente Acuerdo se rige por el Derecho francés.</w:t>
      </w:r>
    </w:p>
    <w:p>
      <w:pPr>
        <w:pStyle w:val="BodyText"/>
      </w:pPr>
      <w:r>
        <w:rPr>
          <w:lang w:val="es-ES"/>
        </w:rPr>
        <w:t xml:space="preserve">Cualquier controversia relativa a la validez, interpretación, ejecución o resolución del presente Acuerdo corresponde a los órganos jurisdiccionales competentes de París, salvo disposición imperativa contraria aplicable al Cliente.</w:t>
      </w:r>
    </w:p>
    <w:p>
      <w:pPr>
        <w:pStyle w:val="BodyText"/>
      </w:pPr>
      <w:r>
        <w:rPr>
          <w:lang w:val="es-ES"/>
        </w:rPr>
        <w:t xml:space="preserve">La versión francesa es la auténtica. Cualquier traducción del presente Acuerdo se facilita únicamente por comodidad.</w:t>
      </w:r>
    </w:p>
    <w:p>
      <w:pPr>
        <w:pStyle w:val="BodyText"/>
      </w:pPr>
      <w:r>
        <w:rPr>
          <w:lang w:val="es-ES"/>
        </w:rPr>
        <w:t xml:space="preserve">Si alguna estipulación de este Acuerdo es declarada nula, inaplicable o no escrita, las demás estipulaciones siguen siendo plenamente aplicables. Las Partes sustituyen la estipulación en cuestión por una cláusula válida que produzca un efecto económico y jurídico lo más parecido posible.</w:t>
      </w:r>
    </w:p>
    <w:p>
      <w:pPr>
        <w:pStyle w:val="BodyText"/>
      </w:pPr>
      <w:r>
        <w:rPr>
          <w:lang w:val="es-ES"/>
        </w:rPr>
        <w:t xml:space="preserve">Cualquier modificación de este Acuerdo deberá formalizarse mediante modificación escrita o mediante actualización contractual aceptada por las Partes. OHADJA podrá proponer modificaciones impuestas por novedades legales o reglamentarias o por una autoridad competente con un aviso razonable.</w:t>
      </w:r>
    </w:p>
    <w:p>
      <w:pPr>
        <w:pStyle w:val="BodyText"/>
      </w:pPr>
      <w:r>
        <w:rPr>
          <w:lang w:val="es-ES"/>
        </w:rPr>
        <w:t xml:space="preserve">Este Acuerdo podrá firmarse a mano o mediante firma electrónica simple. La firma electrónica simple constituye prueba del acuerdo de las Partes, sujeta a las reglas de prueba aplicables.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Para el cliente</w:t>
            </w:r>
          </w:p>
        </w:tc>
        <w:tc>
          <w:tcPr/>
          <w:p>
            <w:pPr>
              <w:pStyle w:val="Compact"/>
            </w:pPr>
            <w:r>
              <w:rPr>
                <w:lang w:val="es-ES"/>
              </w:rPr>
              <w:t xml:space="preserve">Para Encargado del tratamiento</w:t>
            </w:r>
          </w:p>
        </w:tc>
      </w:tr>
      <w:tr>
        <w:trPr>
          <w:cantSplit/>
        </w:trPr>
        <w:tc>
          <w:tcPr/>
          <w:p>
            <w:pPr>
              <w:pStyle w:val="Compact"/>
            </w:pPr>
            <w:r>
              <w:rPr>
                <w:lang w:val="es-ES"/>
              </w:rPr>
              <w:t xml:space="preserve">Nombre: [a completar por el cliente]</w:t>
            </w:r>
          </w:p>
        </w:tc>
        <w:tc>
          <w:tcPr/>
          <w:p>
            <w:pPr>
              <w:pStyle w:val="Compact"/>
            </w:pPr>
            <w:r>
              <w:rPr>
                <w:lang w:val="es-ES"/>
              </w:rPr>
              <w:t xml:space="preserve">Nombre: Olivier Dupont</w:t>
            </w:r>
          </w:p>
        </w:tc>
      </w:tr>
      <w:tr>
        <w:trPr>
          <w:cantSplit/>
        </w:trPr>
        <w:tc>
          <w:tcPr/>
          <w:p>
            <w:pPr>
              <w:pStyle w:val="Compact"/>
            </w:pPr>
            <w:r>
              <w:rPr>
                <w:lang w:val="es-ES"/>
              </w:rPr>
              <w:t xml:space="preserve">Calidad: [a completar por el cliente]</w:t>
            </w:r>
          </w:p>
        </w:tc>
        <w:tc>
          <w:tcPr/>
          <w:p>
            <w:pPr>
              <w:pStyle w:val="Compact"/>
            </w:pPr>
            <w:r>
              <w:rPr>
                <w:lang w:val="es-ES"/>
              </w:rPr>
              <w:t xml:space="preserve">Calidad: Presidente</w:t>
            </w:r>
          </w:p>
        </w:tc>
      </w:tr>
      <w:tr>
        <w:trPr>
          <w:cantSplit/>
        </w:trPr>
        <w:tc>
          <w:tcPr/>
          <w:p>
            <w:pPr>
              <w:pStyle w:val="Compact"/>
            </w:pPr>
            <w:r>
              <w:rPr>
                <w:lang w:val="es-ES"/>
              </w:rPr>
              <w:t xml:space="preserve">Fecha: [fecha por completar]</w:t>
            </w:r>
          </w:p>
        </w:tc>
        <w:tc>
          <w:tcPr/>
          <w:p>
            <w:pPr>
              <w:pStyle w:val="Compact"/>
            </w:pPr>
            <w:r>
              <w:rPr>
                <w:lang w:val="es-ES"/>
              </w:rPr>
              <w:t xml:space="preserve">Fecha: [fecha por completar]</w:t>
            </w:r>
          </w:p>
        </w:tc>
      </w:tr>
      <w:tr>
        <w:trPr>
          <w:cantSplit/>
        </w:trPr>
        <w:tc>
          <w:tcPr/>
          <w:p>
            <w:pPr>
              <w:pStyle w:val="Compact"/>
            </w:pPr>
            <w:r>
              <w:rPr>
                <w:lang w:val="es-ES"/>
              </w:rPr>
              <w:t xml:space="preserve">Firma:</w:t>
            </w:r>
          </w:p>
        </w:tc>
        <w:tc>
          <w:tcPr/>
          <w:p>
            <w:pPr>
              <w:pStyle w:val="Compact"/>
            </w:pPr>
            <w:r>
              <w:rPr>
                <w:lang w:val="es-ES"/>
              </w:rPr>
              <w:t xml:space="preserve">Firma:</w:t>
            </w:r>
          </w:p>
        </w:tc>
      </w:tr>
    </w:tbl>
    <w:bookmarkEnd w:id="33"/>
    <w:bookmarkStart w:id="38" w:name="X3a93e8af784e1cb01eecc7ea42e691cc888db85"/>
    <w:p>
      <w:pPr>
        <w:pStyle w:val="Heading2"/>
        <w:keepNext/>
        <w:keepLines/>
      </w:pPr>
      <w:r>
        <w:rPr>
          <w:color w:val="000000"/>
          <w:lang w:val="es-ES"/>
        </w:rPr>
        <w:t xml:space="preserve">ANEXO 1 — DESCRIPCIÓN DETALLADA DEL TRATAMIENTO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Descripción</w:t>
            </w:r>
          </w:p>
        </w:tc>
      </w:tr>
      <w:tr>
        <w:trPr>
          <w:cantSplit/>
        </w:trPr>
        <w:tc>
          <w:tcPr/>
          <w:p>
            <w:pPr>
              <w:pStyle w:val="Compact"/>
            </w:pPr>
            <w:r>
              <w:rPr>
                <w:lang w:val="es-ES"/>
              </w:rPr>
              <w:t xml:space="preserve">Servicio</w:t>
            </w:r>
          </w:p>
        </w:tc>
        <w:tc>
          <w:tcPr/>
          <w:p>
            <w:pPr>
              <w:pStyle w:val="Compact"/>
            </w:pPr>
            <w:r>
              <w:rPr>
                <w:lang w:val="es-ES"/>
              </w:rPr>
              <w:t xml:space="preserve">TranscribIA</w:t>
            </w:r>
          </w:p>
        </w:tc>
      </w:tr>
      <w:tr>
        <w:trPr>
          <w:cantSplit/>
        </w:trPr>
        <w:tc>
          <w:tcPr/>
          <w:p>
            <w:pPr>
              <w:pStyle w:val="Compact"/>
            </w:pPr>
            <w:r>
              <w:rPr>
                <w:lang w:val="es-ES"/>
              </w:rPr>
              <w:t xml:space="preserve">Encargado del tratamiento</w:t>
            </w:r>
          </w:p>
        </w:tc>
        <w:tc>
          <w:tcPr/>
          <w:p>
            <w:pPr>
              <w:pStyle w:val="Compact"/>
            </w:pPr>
            <w:r>
              <w:rPr>
                <w:lang w:val="es-ES"/>
              </w:rPr>
              <w:t xml:space="preserve">OHADJA</w:t>
            </w:r>
          </w:p>
        </w:tc>
      </w:tr>
      <w:tr>
        <w:trPr>
          <w:cantSplit/>
        </w:trPr>
        <w:tc>
          <w:tcPr/>
          <w:p>
            <w:pPr>
              <w:pStyle w:val="Compact"/>
            </w:pPr>
            <w:r>
              <w:rPr>
                <w:lang w:val="es-ES"/>
              </w:rPr>
              <w:t xml:space="preserve">Responsable del tratamiento</w:t>
            </w:r>
          </w:p>
        </w:tc>
        <w:tc>
          <w:tcPr/>
          <w:p>
            <w:pPr>
              <w:pStyle w:val="Compact"/>
            </w:pPr>
            <w:r>
              <w:rPr>
                <w:lang w:val="es-ES"/>
              </w:rPr>
              <w:t xml:space="preserve">El cliente</w:t>
            </w:r>
          </w:p>
        </w:tc>
      </w:tr>
      <w:tr>
        <w:trPr>
          <w:cantSplit/>
        </w:trPr>
        <w:tc>
          <w:tcPr/>
          <w:p>
            <w:pPr>
              <w:pStyle w:val="Compact"/>
            </w:pPr>
            <w:r>
              <w:rPr>
                <w:lang w:val="es-ES"/>
              </w:rPr>
              <w:t xml:space="preserve">Finalidad del procesamiento</w:t>
            </w:r>
          </w:p>
        </w:tc>
        <w:tc>
          <w:tcPr/>
          <w:p>
            <w:pPr>
              <w:pStyle w:val="Compact"/>
            </w:pPr>
            <w:r>
              <w:rPr>
                <w:lang w:val="es-ES"/>
              </w:rPr>
              <w:t xml:space="preserve">Proporcionar una solución para transcripción de audio, diarización, estructuración de transcripción, explotación de inteligencia artificial, generación de documentos, gestión de sesiones, gestión de usuarios, registro y sugerencia de identificación de oradores.</w:t>
            </w:r>
          </w:p>
        </w:tc>
      </w:tr>
      <w:tr>
        <w:trPr>
          <w:cantSplit/>
        </w:trPr>
        <w:tc>
          <w:tcPr/>
          <w:p>
            <w:pPr>
              <w:pStyle w:val="Compact"/>
            </w:pPr>
            <w:r>
              <w:rPr>
                <w:lang w:val="es-ES"/>
              </w:rPr>
              <w:t xml:space="preserve">Naturaleza del tratamiento</w:t>
            </w:r>
          </w:p>
        </w:tc>
        <w:tc>
          <w:tcPr/>
          <w:p>
            <w:pPr>
              <w:pStyle w:val="Compact"/>
            </w:pPr>
            <w:r>
              <w:rPr>
                <w:lang w:val="es-ES"/>
              </w:rPr>
              <w:t xml:space="preserve">Recopilación mediante carga, alojamiento, almacenamiento, organización, consulta, extracción, transcripción, diarización, corrección, generación de IA, exportación, registro, copia de seguridad, eliminación y asistencia técnica.</w:t>
            </w:r>
          </w:p>
        </w:tc>
      </w:tr>
      <w:tr>
        <w:trPr>
          <w:cantSplit/>
        </w:trPr>
        <w:tc>
          <w:tcPr/>
          <w:p>
            <w:pPr>
              <w:pStyle w:val="Compact"/>
            </w:pPr>
            <w:r>
              <w:rPr>
                <w:lang w:val="es-ES"/>
              </w:rPr>
              <w:t xml:space="preserve">Fines del procesamiento</w:t>
            </w:r>
          </w:p>
        </w:tc>
        <w:tc>
          <w:tcPr/>
          <w:p>
            <w:pPr>
              <w:pStyle w:val="Compact"/>
            </w:pPr>
            <w:r>
              <w:rPr>
                <w:lang w:val="es-ES"/>
              </w:rPr>
              <w:t xml:space="preserve">Permitir al Cliente crear sesiones, cargar archivos de audio, obtener transcripciones, gestionar ponentes, corregir o enriquecer contenidos, producir resúmenes, actas, capítulos o análisis, gestionar documentos preparatorios, asegurar la trazabilidad y administrar el acceso.</w:t>
            </w:r>
          </w:p>
        </w:tc>
      </w:tr>
      <w:tr>
        <w:trPr>
          <w:cantSplit/>
        </w:trPr>
        <w:tc>
          <w:tcPr/>
          <w:p>
            <w:pPr>
              <w:pStyle w:val="Compact"/>
            </w:pPr>
            <w:r>
              <w:rPr>
                <w:lang w:val="es-ES"/>
              </w:rPr>
              <w:t xml:space="preserve">Opción A: SaaS</w:t>
            </w:r>
          </w:p>
        </w:tc>
        <w:tc>
          <w:tcPr/>
          <w:p>
            <w:pPr>
              <w:pStyle w:val="Compact"/>
            </w:pPr>
            <w:r>
              <w:rPr>
                <w:lang w:val="es-ES"/>
              </w:rPr>
              <w:t xml:space="preserve">[ ] Habilitado. OHADJA aloja y opera el Servicio en nombre del Cliente</w:t>
            </w:r>
          </w:p>
        </w:tc>
      </w:tr>
      <w:tr>
        <w:trPr>
          <w:cantSplit/>
        </w:trPr>
        <w:tc>
          <w:tcPr/>
          <w:p>
            <w:pPr>
              <w:pStyle w:val="Compact"/>
            </w:pPr>
            <w:r>
              <w:rPr>
                <w:lang w:val="es-ES"/>
              </w:rPr>
              <w:t xml:space="preserve">Opción B: Docker local</w:t>
            </w:r>
          </w:p>
        </w:tc>
        <w:tc>
          <w:tcPr/>
          <w:p>
            <w:pPr>
              <w:pStyle w:val="Compact"/>
            </w:pPr>
            <w:r>
              <w:rPr>
                <w:lang w:val="es-ES"/>
              </w:rPr>
              <w:t xml:space="preserve">[ ] Habilitado. El Cliente aloja el medio ambiente; OHADJA sólo interviene para las operaciones subcontratadas realmente realizadas</w:t>
            </w:r>
          </w:p>
        </w:tc>
      </w:tr>
      <w:tr>
        <w:trPr>
          <w:cantSplit/>
        </w:trPr>
        <w:tc>
          <w:tcPr/>
          <w:p>
            <w:pPr>
              <w:pStyle w:val="Compact"/>
            </w:pPr>
            <w:r>
              <w:rPr>
                <w:lang w:val="es-ES"/>
              </w:rPr>
              <w:t xml:space="preserve">Duración del tratamiento</w:t>
            </w:r>
          </w:p>
        </w:tc>
        <w:tc>
          <w:tcPr/>
          <w:p>
            <w:pPr>
              <w:pStyle w:val="Compact"/>
            </w:pPr>
            <w:r>
              <w:rPr>
                <w:lang w:val="es-ES"/>
              </w:rPr>
              <w:t xml:space="preserve">Duración del Contrato Principal, incrementada por los períodos de restitución, eliminación, respaldo residual y retención legal aplicables</w:t>
            </w:r>
          </w:p>
        </w:tc>
      </w:tr>
      <w:tr>
        <w:trPr>
          <w:cantSplit/>
        </w:trPr>
        <w:tc>
          <w:tcPr/>
          <w:p>
            <w:pPr>
              <w:pStyle w:val="Compact"/>
            </w:pPr>
            <w:r>
              <w:rPr>
                <w:lang w:val="es-ES"/>
              </w:rPr>
              <w:t xml:space="preserve">Frecuencia del tratamiento</w:t>
            </w:r>
          </w:p>
        </w:tc>
        <w:tc>
          <w:tcPr/>
          <w:p>
            <w:pPr>
              <w:pStyle w:val="Compact"/>
            </w:pPr>
            <w:r>
              <w:rPr>
                <w:lang w:val="es-ES"/>
              </w:rPr>
              <w:t xml:space="preserve">Continuo para funciones SaaS; Único o dependiendo de la activación por parte del Cliente para transcripción, IA, soporte, exportación, correlación de voz o mantenimiento</w:t>
            </w:r>
          </w:p>
        </w:tc>
      </w:tr>
      <w:tr>
        <w:trPr>
          <w:cantSplit/>
        </w:trPr>
        <w:tc>
          <w:tcPr/>
          <w:p>
            <w:pPr>
              <w:pStyle w:val="Compact"/>
            </w:pPr>
            <w:r>
              <w:rPr>
                <w:lang w:val="es-ES"/>
              </w:rPr>
              <w:t xml:space="preserve">Personas autorizadas del lado del Cliente</w:t>
            </w:r>
          </w:p>
        </w:tc>
        <w:tc>
          <w:tcPr/>
          <w:p>
            <w:pPr>
              <w:pStyle w:val="Compact"/>
            </w:pPr>
            <w:r>
              <w:rPr>
                <w:lang w:val="es-ES"/>
              </w:rPr>
              <w:t xml:space="preserve">Usuarios creados o invitados por el Cliente: administradores, gerentes, líderes de equipo, usuarios, agentes autorizados, miembros del equipo</w:t>
            </w:r>
          </w:p>
        </w:tc>
      </w:tr>
      <w:tr>
        <w:trPr>
          <w:cantSplit/>
        </w:trPr>
        <w:tc>
          <w:tcPr/>
          <w:p>
            <w:pPr>
              <w:pStyle w:val="Compact"/>
            </w:pPr>
            <w:r>
              <w:rPr>
                <w:lang w:val="es-ES"/>
              </w:rPr>
              <w:t xml:space="preserve">Personas autorizadas del lado Encargado del tratamiento</w:t>
            </w:r>
          </w:p>
        </w:tc>
        <w:tc>
          <w:tcPr/>
          <w:p>
            <w:pPr>
              <w:pStyle w:val="Compact"/>
            </w:pPr>
            <w:r>
              <w:rPr>
                <w:lang w:val="es-ES"/>
              </w:rPr>
              <w:t xml:space="preserve">Personal autorizado OHADJA y Subencargados del tratamiento, dentro de los límites de necesidad de saber</w:t>
            </w:r>
          </w:p>
        </w:tc>
      </w:tr>
    </w:tbl>
    <w:bookmarkStart w:id="34" w:name="catégories-de-données-traitées"/>
    <w:p>
      <w:pPr>
        <w:pStyle w:val="Heading3"/>
        <w:keepNext/>
        <w:keepLines/>
      </w:pPr>
      <w:r>
        <w:rPr>
          <w:color w:val="000000"/>
          <w:lang w:val="es-ES"/>
        </w:rPr>
        <w:t xml:space="preserve">Categorías de datos tratados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Ejemplos</w:t>
            </w:r>
          </w:p>
        </w:tc>
      </w:tr>
      <w:tr>
        <w:trPr>
          <w:cantSplit/>
        </w:trPr>
        <w:tc>
          <w:tcPr/>
          <w:p>
            <w:pPr>
              <w:pStyle w:val="Compact"/>
            </w:pPr>
            <w:r>
              <w:rPr>
                <w:lang w:val="es-ES"/>
              </w:rPr>
              <w:t xml:space="preserve">Posibles grabaciones de audio y vídeo.</w:t>
            </w:r>
          </w:p>
        </w:tc>
        <w:tc>
          <w:tcPr/>
          <w:p>
            <w:pPr>
              <w:pStyle w:val="Compact"/>
            </w:pPr>
            <w:r>
              <w:rPr>
                <w:lang w:val="es-ES"/>
              </w:rPr>
              <w:t xml:space="preserve">Archivos MP3, wav, ogg, m4a, flac, webm, mp4, avi, mkv, mov, wmv cargados por el Cliente</w:t>
            </w:r>
          </w:p>
        </w:tc>
      </w:tr>
      <w:tr>
        <w:trPr>
          <w:cantSplit/>
        </w:trPr>
        <w:tc>
          <w:tcPr/>
          <w:p>
            <w:pPr>
              <w:pStyle w:val="Compact"/>
            </w:pPr>
            <w:r>
              <w:rPr>
                <w:lang w:val="es-ES"/>
              </w:rPr>
              <w:t xml:space="preserve">Transcripciones</w:t>
            </w:r>
          </w:p>
        </w:tc>
        <w:tc>
          <w:tcPr/>
          <w:p>
            <w:pPr>
              <w:pStyle w:val="Compact"/>
            </w:pPr>
            <w:r>
              <w:rPr>
                <w:lang w:val="es-ES"/>
              </w:rPr>
              <w:t xml:space="preserve">Transcripción JSON, segmentos, marcas de tiempo, palabra por palabra, versiones, correcciones, capítulos, diarización</w:t>
            </w:r>
          </w:p>
        </w:tc>
      </w:tr>
      <w:tr>
        <w:trPr>
          <w:cantSplit/>
        </w:trPr>
        <w:tc>
          <w:tcPr/>
          <w:p>
            <w:pPr>
              <w:pStyle w:val="Compact"/>
            </w:pPr>
            <w:r>
              <w:rPr>
                <w:lang w:val="es-ES"/>
              </w:rPr>
              <w:t xml:space="preserve">Datos del hablante</w:t>
            </w:r>
          </w:p>
        </w:tc>
        <w:tc>
          <w:tcPr/>
          <w:p>
            <w:pPr>
              <w:pStyle w:val="Compact"/>
            </w:pPr>
            <w:r>
              <w:rPr>
                <w:lang w:val="es-ES"/>
              </w:rPr>
              <w:t xml:space="preserve">Nombres de oradores ingresados por los usuarios, etiquetas de oradores, coincidencias propuestas, correcciones humanas</w:t>
            </w:r>
          </w:p>
        </w:tc>
      </w:tr>
      <w:tr>
        <w:trPr>
          <w:cantSplit/>
        </w:trPr>
        <w:tc>
          <w:tcPr/>
          <w:p>
            <w:pPr>
              <w:pStyle w:val="Compact"/>
            </w:pPr>
            <w:r>
              <w:rPr>
                <w:lang w:val="es-ES"/>
              </w:rPr>
              <w:t xml:space="preserve">Documentos preparatorios</w:t>
            </w:r>
          </w:p>
        </w:tc>
        <w:tc>
          <w:tcPr/>
          <w:p>
            <w:pPr>
              <w:pStyle w:val="Compact"/>
            </w:pPr>
            <w:r>
              <w:rPr>
                <w:lang w:val="es-ES"/>
              </w:rPr>
              <w:t xml:space="preserve">Órdenes del día, actas anteriores, notas, documentos PDF/DOCX, texto o Markdown extraído</w:t>
            </w:r>
          </w:p>
        </w:tc>
      </w:tr>
      <w:tr>
        <w:trPr>
          <w:cantSplit/>
        </w:trPr>
        <w:tc>
          <w:tcPr/>
          <w:p>
            <w:pPr>
              <w:pStyle w:val="Compact"/>
            </w:pPr>
            <w:r>
              <w:rPr>
                <w:lang w:val="es-ES"/>
              </w:rPr>
              <w:t xml:space="preserve">Metadatos de sesión</w:t>
            </w:r>
          </w:p>
        </w:tc>
        <w:tc>
          <w:tcPr/>
          <w:p>
            <w:pPr>
              <w:pStyle w:val="Compact"/>
            </w:pPr>
            <w:r>
              <w:rPr>
                <w:lang w:val="es-ES"/>
              </w:rPr>
              <w:t xml:space="preserve">Título, fecha, ubicación, tipo de sesión, estado, calendario, equipo, organización, archivos vinculados, parámetros funcionales</w:t>
            </w:r>
          </w:p>
        </w:tc>
      </w:tr>
      <w:tr>
        <w:trPr>
          <w:cantSplit/>
        </w:trPr>
        <w:tc>
          <w:tcPr/>
          <w:p>
            <w:pPr>
              <w:pStyle w:val="Compact"/>
            </w:pPr>
            <w:r>
              <w:rPr>
                <w:lang w:val="es-ES"/>
              </w:rPr>
              <w:t xml:space="preserve">Cuentas de usuario</w:t>
            </w:r>
          </w:p>
        </w:tc>
        <w:tc>
          <w:tcPr/>
          <w:p>
            <w:pPr>
              <w:pStyle w:val="Compact"/>
            </w:pPr>
            <w:r>
              <w:rPr>
                <w:lang w:val="es-ES"/>
              </w:rPr>
              <w:t xml:space="preserve">Apellido, nombre si corresponde, correo electrónico, función, organización, equipo, estado de la cuenta, tokens de acceso, fecha de conexión</w:t>
            </w:r>
          </w:p>
        </w:tc>
      </w:tr>
      <w:tr>
        <w:trPr>
          <w:cantSplit/>
        </w:trPr>
        <w:tc>
          <w:tcPr/>
          <w:p>
            <w:pPr>
              <w:pStyle w:val="Compact"/>
            </w:pPr>
            <w:r>
              <w:rPr>
                <w:lang w:val="es-ES"/>
              </w:rPr>
              <w:t xml:space="preserve">Registros de auditoría y seguimientos técnicos</w:t>
            </w:r>
          </w:p>
        </w:tc>
        <w:tc>
          <w:tcPr/>
          <w:p>
            <w:pPr>
              <w:pStyle w:val="Compact"/>
            </w:pPr>
            <w:r>
              <w:rPr>
                <w:lang w:val="es-ES"/>
              </w:rPr>
              <w:t xml:space="preserve">Identificadores de usuario, acciones, fechas, direcciones IP recopiladas, eventos de aplicación, errores, ID de correlación</w:t>
            </w:r>
          </w:p>
        </w:tc>
      </w:tr>
      <w:tr>
        <w:trPr>
          <w:cantSplit/>
        </w:trPr>
        <w:tc>
          <w:tcPr/>
          <w:p>
            <w:pPr>
              <w:pStyle w:val="Compact"/>
            </w:pPr>
            <w:r>
              <w:rPr>
                <w:lang w:val="es-ES"/>
              </w:rPr>
              <w:t xml:space="preserve">Generaciones de IA</w:t>
            </w:r>
          </w:p>
        </w:tc>
        <w:tc>
          <w:tcPr/>
          <w:p>
            <w:pPr>
              <w:pStyle w:val="Compact"/>
            </w:pPr>
            <w:r>
              <w:rPr>
                <w:lang w:val="es-ES"/>
              </w:rPr>
              <w:t xml:space="preserve">Mensajes, fuentes seleccionadas, respuestas generadas, resúmenes, análisis, correcciones, actas, exportaciones</w:t>
            </w:r>
          </w:p>
        </w:tc>
      </w:tr>
      <w:tr>
        <w:trPr>
          <w:cantSplit/>
        </w:trPr>
        <w:tc>
          <w:tcPr/>
          <w:p>
            <w:pPr>
              <w:pStyle w:val="Compact"/>
            </w:pPr>
            <w:r>
              <w:rPr>
                <w:lang w:val="es-ES"/>
              </w:rPr>
              <w:t xml:space="preserve">Datos de votación o asistencia si están habilitados</w:t>
            </w:r>
          </w:p>
        </w:tc>
        <w:tc>
          <w:tcPr/>
          <w:p>
            <w:pPr>
              <w:pStyle w:val="Compact"/>
            </w:pPr>
            <w:r>
              <w:rPr>
                <w:lang w:val="es-ES"/>
              </w:rPr>
              <w:t xml:space="preserve">Presencias, ausencias, delegaciones, resultados de las votaciones, calidad o función de los participantes</w:t>
            </w:r>
          </w:p>
        </w:tc>
      </w:tr>
      <w:tr>
        <w:trPr>
          <w:cantSplit/>
        </w:trPr>
        <w:tc>
          <w:tcPr/>
          <w:p>
            <w:pPr>
              <w:pStyle w:val="Compact"/>
            </w:pPr>
            <w:r>
              <w:rPr>
                <w:lang w:val="es-ES"/>
              </w:rPr>
              <w:t xml:space="preserve">Incorporaciones de voz temporales</w:t>
            </w:r>
          </w:p>
        </w:tc>
        <w:tc>
          <w:tcPr/>
          <w:p>
            <w:pPr>
              <w:pStyle w:val="Compact"/>
            </w:pPr>
            <w:r>
              <w:rPr>
                <w:lang w:val="es-ES"/>
              </w:rPr>
              <w:t xml:space="preserve">Representaciones numéricas calculadas temporalmente en RAM para correlación de voz, destruidas al final de la solicitud.</w:t>
            </w:r>
          </w:p>
        </w:tc>
      </w:tr>
    </w:tbl>
    <w:bookmarkEnd w:id="34"/>
    <w:bookmarkStart w:id="35" w:name="catégories-de-personnes-concernées"/>
    <w:p>
      <w:pPr>
        <w:pStyle w:val="Heading3"/>
        <w:keepNext/>
        <w:keepLines/>
      </w:pPr>
      <w:r>
        <w:rPr>
          <w:color w:val="000000"/>
          <w:lang w:val="es-ES"/>
        </w:rPr>
        <w:t xml:space="preserve">Categorías de personas afectadas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Descripción</w:t>
            </w:r>
          </w:p>
        </w:tc>
      </w:tr>
      <w:tr>
        <w:trPr>
          <w:cantSplit/>
        </w:trPr>
        <w:tc>
          <w:tcPr/>
          <w:p>
            <w:pPr>
              <w:pStyle w:val="Compact"/>
            </w:pPr>
            <w:r>
              <w:rPr>
                <w:lang w:val="es-ES"/>
              </w:rPr>
              <w:t xml:space="preserve">Usuarios del cliente</w:t>
            </w:r>
          </w:p>
        </w:tc>
        <w:tc>
          <w:tcPr/>
          <w:p>
            <w:pPr>
              <w:pStyle w:val="Compact"/>
            </w:pPr>
            <w:r>
              <w:rPr>
                <w:lang w:val="es-ES"/>
              </w:rPr>
              <w:t xml:space="preserve">Agentes, empleados, funcionarios electos, profesionales, abogados, notarios, profesores, periodistas, administradores, miembros del equipo.</w:t>
            </w:r>
          </w:p>
        </w:tc>
      </w:tr>
      <w:tr>
        <w:trPr>
          <w:cantSplit/>
        </w:trPr>
        <w:tc>
          <w:tcPr/>
          <w:p>
            <w:pPr>
              <w:pStyle w:val="Compact"/>
            </w:pPr>
            <w:r>
              <w:rPr>
                <w:lang w:val="es-ES"/>
              </w:rPr>
              <w:t xml:space="preserve">Oradores registrados</w:t>
            </w:r>
          </w:p>
        </w:tc>
        <w:tc>
          <w:tcPr/>
          <w:p>
            <w:pPr>
              <w:pStyle w:val="Compact"/>
            </w:pPr>
            <w:r>
              <w:rPr>
                <w:lang w:val="es-ES"/>
              </w:rPr>
              <w:t xml:space="preserve">Participantes cuya voz se captura en archivos de audio o video cargados</w:t>
            </w:r>
          </w:p>
        </w:tc>
      </w:tr>
      <w:tr>
        <w:trPr>
          <w:cantSplit/>
        </w:trPr>
        <w:tc>
          <w:tcPr/>
          <w:p>
            <w:pPr>
              <w:pStyle w:val="Compact"/>
            </w:pPr>
            <w:r>
              <w:rPr>
                <w:lang w:val="es-ES"/>
              </w:rPr>
              <w:t xml:space="preserve">personas mencionadas</w:t>
            </w:r>
          </w:p>
        </w:tc>
        <w:tc>
          <w:tcPr/>
          <w:p>
            <w:pPr>
              <w:pStyle w:val="Compact"/>
            </w:pPr>
            <w:r>
              <w:rPr>
                <w:lang w:val="es-ES"/>
              </w:rPr>
              <w:t xml:space="preserve">Personas citadas en reuniones, transcripciones, documentos preparatorios, votaciones, actas o generaciones de IA</w:t>
            </w:r>
          </w:p>
        </w:tc>
      </w:tr>
      <w:tr>
        <w:trPr>
          <w:cantSplit/>
        </w:trPr>
        <w:tc>
          <w:tcPr/>
          <w:p>
            <w:pPr>
              <w:pStyle w:val="Compact"/>
            </w:pPr>
            <w:r>
              <w:rPr>
                <w:lang w:val="es-ES"/>
              </w:rPr>
              <w:t xml:space="preserve">Contactos institucionales</w:t>
            </w:r>
          </w:p>
        </w:tc>
        <w:tc>
          <w:tcPr/>
          <w:p>
            <w:pPr>
              <w:pStyle w:val="Compact"/>
            </w:pPr>
            <w:r>
              <w:rPr>
                <w:lang w:val="es-ES"/>
              </w:rPr>
              <w:t xml:space="preserve">Consejeros, funcionarios electos, colaboradores, representantes, participantes invitados</w:t>
            </w:r>
          </w:p>
        </w:tc>
      </w:tr>
      <w:tr>
        <w:trPr>
          <w:cantSplit/>
        </w:trPr>
        <w:tc>
          <w:tcPr/>
          <w:p>
            <w:pPr>
              <w:pStyle w:val="Compact"/>
            </w:pPr>
            <w:r>
              <w:rPr>
                <w:lang w:val="es-ES"/>
              </w:rPr>
              <w:t xml:space="preserve">Personal OHADJA</w:t>
            </w:r>
          </w:p>
        </w:tc>
        <w:tc>
          <w:tcPr/>
          <w:p>
            <w:pPr>
              <w:pStyle w:val="Compact"/>
            </w:pPr>
            <w:r>
              <w:rPr>
                <w:lang w:val="es-ES"/>
              </w:rPr>
              <w:t xml:space="preserve">Sólo para rastros de intervención, soporte, seguridad o auditoría interna vinculados al Servicio</w:t>
            </w:r>
          </w:p>
        </w:tc>
      </w:tr>
    </w:tbl>
    <w:bookmarkEnd w:id="35"/>
    <w:bookmarkStart w:id="36" w:name="durées-de-conservation-par-catégorie"/>
    <w:p>
      <w:pPr>
        <w:pStyle w:val="Heading3"/>
        <w:keepNext/>
        <w:keepLines/>
      </w:pPr>
      <w:r>
        <w:rPr>
          <w:color w:val="000000"/>
          <w:lang w:val="es-ES"/>
        </w:rPr>
        <w:t xml:space="preserve">Vida útil por categoría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Vida útil estándar</w:t>
            </w:r>
          </w:p>
        </w:tc>
      </w:tr>
      <w:tr>
        <w:trPr>
          <w:cantSplit/>
        </w:trPr>
        <w:tc>
          <w:tcPr/>
          <w:p>
            <w:pPr>
              <w:pStyle w:val="Compact"/>
            </w:pPr>
            <w:r>
              <w:rPr>
                <w:lang w:val="es-ES"/>
              </w:rPr>
              <w:t xml:space="preserve">Cuentas de usuario activas</w:t>
            </w:r>
          </w:p>
        </w:tc>
        <w:tc>
          <w:tcPr/>
          <w:p>
            <w:pPr>
              <w:pStyle w:val="Compact"/>
            </w:pPr>
            <w:r>
              <w:rPr>
                <w:lang w:val="es-ES"/>
              </w:rPr>
              <w:t xml:space="preserve">Durante la vigencia de la cuenta y del Contrato Principal</w:t>
            </w:r>
          </w:p>
        </w:tc>
      </w:tr>
      <w:tr>
        <w:trPr>
          <w:cantSplit/>
        </w:trPr>
        <w:tc>
          <w:tcPr/>
          <w:p>
            <w:pPr>
              <w:pStyle w:val="Compact"/>
            </w:pPr>
            <w:r>
              <w:rPr>
                <w:lang w:val="es-ES"/>
              </w:rPr>
              <w:t xml:space="preserve">Cuentas de usuario deshabilitadas</w:t>
            </w:r>
          </w:p>
        </w:tc>
        <w:tc>
          <w:tcPr/>
          <w:p>
            <w:pPr>
              <w:pStyle w:val="Compact"/>
            </w:pPr>
            <w:r>
              <w:rPr>
                <w:lang w:val="es-ES"/>
              </w:rPr>
              <w:t xml:space="preserve">Eliminación o anonimización según las instrucciones del Cliente; en su defecto, al final del Contrato Principal</w:t>
            </w:r>
          </w:p>
        </w:tc>
      </w:tr>
      <w:tr>
        <w:trPr>
          <w:cantSplit/>
        </w:trPr>
        <w:tc>
          <w:tcPr/>
          <w:p>
            <w:pPr>
              <w:pStyle w:val="Compact"/>
            </w:pPr>
            <w:r>
              <w:rPr>
                <w:lang w:val="es-ES"/>
              </w:rPr>
              <w:t xml:space="preserve">Archivos de audio</w:t>
            </w:r>
          </w:p>
        </w:tc>
        <w:tc>
          <w:tcPr/>
          <w:p>
            <w:pPr>
              <w:pStyle w:val="Compact"/>
            </w:pPr>
            <w:r>
              <w:rPr>
                <w:lang w:val="es-ES"/>
              </w:rPr>
              <w:t xml:space="preserve">Durante la duración configurada por el Cliente o, en su defecto, durante la duración del Contrato Principal</w:t>
            </w:r>
          </w:p>
        </w:tc>
      </w:tr>
      <w:tr>
        <w:trPr>
          <w:cantSplit/>
        </w:trPr>
        <w:tc>
          <w:tcPr/>
          <w:p>
            <w:pPr>
              <w:pStyle w:val="Compact"/>
            </w:pPr>
            <w:r>
              <w:rPr>
                <w:lang w:val="es-ES"/>
              </w:rPr>
              <w:t xml:space="preserve">Transcripciones y versiones</w:t>
            </w:r>
          </w:p>
        </w:tc>
        <w:tc>
          <w:tcPr/>
          <w:p>
            <w:pPr>
              <w:pStyle w:val="Compact"/>
            </w:pPr>
            <w:r>
              <w:rPr>
                <w:lang w:val="es-ES"/>
              </w:rPr>
              <w:t xml:space="preserve">Durante la duración configurada por el Cliente o, en su defecto, durante la duración del Contrato Principal</w:t>
            </w:r>
          </w:p>
        </w:tc>
      </w:tr>
      <w:tr>
        <w:trPr>
          <w:cantSplit/>
        </w:trPr>
        <w:tc>
          <w:tcPr/>
          <w:p>
            <w:pPr>
              <w:pStyle w:val="Compact"/>
            </w:pPr>
            <w:r>
              <w:rPr>
                <w:lang w:val="es-ES"/>
              </w:rPr>
              <w:t xml:space="preserve">Documentos preparatorios</w:t>
            </w:r>
          </w:p>
        </w:tc>
        <w:tc>
          <w:tcPr/>
          <w:p>
            <w:pPr>
              <w:pStyle w:val="Compact"/>
            </w:pPr>
            <w:r>
              <w:rPr>
                <w:lang w:val="es-ES"/>
              </w:rPr>
              <w:t xml:space="preserve">Durante la duración configurada por el Cliente o, en su defecto, durante la duración del Contrato Principal</w:t>
            </w:r>
          </w:p>
        </w:tc>
      </w:tr>
      <w:tr>
        <w:trPr>
          <w:cantSplit/>
        </w:trPr>
        <w:tc>
          <w:tcPr/>
          <w:p>
            <w:pPr>
              <w:pStyle w:val="Compact"/>
            </w:pPr>
            <w:r>
              <w:rPr>
                <w:lang w:val="es-ES"/>
              </w:rPr>
              <w:t xml:space="preserve">Generaciones y exportaciones de IA</w:t>
            </w:r>
          </w:p>
        </w:tc>
        <w:tc>
          <w:tcPr/>
          <w:p>
            <w:pPr>
              <w:pStyle w:val="Compact"/>
            </w:pPr>
            <w:r>
              <w:rPr>
                <w:lang w:val="es-ES"/>
              </w:rPr>
              <w:t xml:space="preserve">Durante la duración configurada por el Cliente o, en su defecto, durante la duración del Contrato Principal</w:t>
            </w:r>
          </w:p>
        </w:tc>
      </w:tr>
      <w:tr>
        <w:trPr>
          <w:cantSplit/>
        </w:trPr>
        <w:tc>
          <w:tcPr/>
          <w:p>
            <w:pPr>
              <w:pStyle w:val="Compact"/>
            </w:pPr>
            <w:r>
              <w:rPr>
                <w:lang w:val="es-ES"/>
              </w:rPr>
              <w:t xml:space="preserve">Registros de auditoría de aplicaciones</w:t>
            </w:r>
          </w:p>
        </w:tc>
        <w:tc>
          <w:tcPr/>
          <w:p>
            <w:pPr>
              <w:pStyle w:val="Compact"/>
            </w:pPr>
            <w:r>
              <w:rPr>
                <w:lang w:val="es-ES"/>
              </w:rPr>
              <w:t xml:space="preserve">Duración necesaria para la seguridad, trazabilidad y prueba, dentro del límite de doce (12) meses, salvo que se requiera o indique lo contrario.</w:t>
            </w:r>
          </w:p>
        </w:tc>
      </w:tr>
      <w:tr>
        <w:trPr>
          <w:cantSplit/>
        </w:trPr>
        <w:tc>
          <w:tcPr/>
          <w:p>
            <w:pPr>
              <w:pStyle w:val="Compact"/>
            </w:pPr>
            <w:r>
              <w:rPr>
                <w:lang w:val="es-ES"/>
              </w:rPr>
              <w:t xml:space="preserve">Registros técnicos</w:t>
            </w:r>
          </w:p>
        </w:tc>
        <w:tc>
          <w:tcPr/>
          <w:p>
            <w:pPr>
              <w:pStyle w:val="Compact"/>
            </w:pPr>
            <w:r>
              <w:rPr>
                <w:lang w:val="es-ES"/>
              </w:rPr>
              <w:t xml:space="preserve">Duración necesaria para la operación, seguridad y diagnóstico, generalmente limitada a noventa (90) días a menos que sea incidental o requerido de otro modo.</w:t>
            </w:r>
          </w:p>
        </w:tc>
      </w:tr>
      <w:tr>
        <w:trPr>
          <w:cantSplit/>
        </w:trPr>
        <w:tc>
          <w:tcPr/>
          <w:p>
            <w:pPr>
              <w:pStyle w:val="Compact"/>
            </w:pPr>
            <w:r>
              <w:rPr>
                <w:lang w:val="es-ES"/>
              </w:rPr>
              <w:t xml:space="preserve">Copias de seguridad</w:t>
            </w:r>
          </w:p>
        </w:tc>
        <w:tc>
          <w:tcPr/>
          <w:p>
            <w:pPr>
              <w:pStyle w:val="Compact"/>
            </w:pPr>
            <w:r>
              <w:rPr>
                <w:lang w:val="es-ES"/>
              </w:rPr>
              <w:t xml:space="preserve">Conservación según ciclo de respaldo, máximo noventa (90) días salvo restauración, incidencia u obligación legal</w:t>
            </w:r>
          </w:p>
        </w:tc>
      </w:tr>
      <w:tr>
        <w:trPr>
          <w:cantSplit/>
        </w:trPr>
        <w:tc>
          <w:tcPr/>
          <w:p>
            <w:pPr>
              <w:pStyle w:val="Compact"/>
            </w:pPr>
            <w:r>
              <w:rPr>
                <w:lang w:val="es-ES"/>
              </w:rPr>
              <w:t xml:space="preserve">Incorporaciones de voz temporales</w:t>
            </w:r>
          </w:p>
        </w:tc>
        <w:tc>
          <w:tcPr/>
          <w:p>
            <w:pPr>
              <w:pStyle w:val="Compact"/>
            </w:pPr>
            <w:r>
              <w:rPr>
                <w:lang w:val="es-ES"/>
              </w:rPr>
              <w:t xml:space="preserve">Duración estrictamente limitada a la ejecución de la solicitud de correlación de voz; destrucción al final del tratamiento</w:t>
            </w:r>
          </w:p>
        </w:tc>
      </w:tr>
    </w:tbl>
    <w:bookmarkEnd w:id="36"/>
    <w:bookmarkStart w:id="37" w:name="voice-correlation"/>
    <w:p>
      <w:pPr>
        <w:pStyle w:val="Heading3"/>
        <w:keepNext/>
        <w:keepLines/>
      </w:pPr>
      <w:r>
        <w:rPr>
          <w:color w:val="000000"/>
          <w:lang w:val="es-ES"/>
        </w:rPr>
        <w:t xml:space="preserve">Correlación de voz</w:t>
      </w:r>
    </w:p>
    <w:p>
      <w:pPr>
        <w:pStyle w:val="FirstParagraph"/>
      </w:pPr>
      <w:r>
        <w:rPr>
          <w:lang w:val="es-ES"/>
        </w:rPr>
        <w:t xml:space="preserve">La funcionalidad de correlación de voz, entregada el 18 de mayo de 2026, consiste en el procesamiento temporal de datos de voz con el fin de sugerir la identificación del hablante, sin crear una plantilla biométrica persistente.</w:t>
      </w:r>
    </w:p>
    <w:p>
      <w:pPr>
        <w:pStyle w:val="BodyText"/>
      </w:pPr>
      <w:r>
        <w:rPr>
          <w:lang w:val="es-ES"/>
        </w:rPr>
        <w:t xml:space="preserve">Esta funcionalidad puede comparar características vocales extraídas temporalmente de uno o más segmentos de audio con elementos disponibles en la sesión o espacio del Cliente, para ofrecer una asociación sugerida entre un hablante detectado y un nombre de hablante ingresado o validado por los usuarios.</w:t>
      </w:r>
    </w:p>
    <w:p>
      <w:pPr>
        <w:pStyle w:val="BodyText"/>
      </w:pPr>
      <w:r>
        <w:rPr>
          <w:lang w:val="es-ES"/>
        </w:rPr>
        <w:t xml:space="preserve">Las sugerencias producidas por la correlación de voces no constituyen una decisión automática definitiva. Deben estar sujetos a validación humana por parte de un usuario autorizado del Cliente antes de ser retenidos en la transcripción o interfaz.</w:t>
      </w:r>
    </w:p>
    <w:p>
      <w:pPr>
        <w:pStyle w:val="BodyText"/>
      </w:pPr>
      <w:r>
        <w:rPr>
          <w:lang w:val="es-ES"/>
        </w:rPr>
        <w:t xml:space="preserve">Las incrustaciones de voz temporales se calculan en RAM o en espacios temporales controlados, no se mantienen como perfiles persistentes, OHADJA no las usa para el entrenamiento del modelo y se destruyen al final de la solicitud, incluidos los bloques de limpieza de aplicaciones de tipo </w:t>
      </w:r>
      <w:r>
        <w:rPr>
          <w:lang w:val="es-ES"/>
        </w:rPr>
        <w:t xml:space="preserve"/>
      </w:r>
      <w:r>
        <w:rPr>
          <w:rStyle w:val="VerbatimChar"/>
          <w:lang w:val="es-ES"/>
        </w:rPr>
        <w:t xml:space="preserve">finally</w:t>
      </w:r>
      <w:r>
        <w:rPr>
          <w:lang w:val="es-ES"/>
        </w:rPr>
        <w:t xml:space="preserve"> </w:t>
      </w:r>
      <w:r>
        <w:rPr>
          <w:lang w:val="es-ES"/>
        </w:rPr>
        <w:t xml:space="preserve">cuando se usan.</w:t>
      </w:r>
    </w:p>
    <w:p>
      <w:pPr>
        <w:pStyle w:val="BodyText"/>
      </w:pPr>
      <w:r>
        <w:rPr>
          <w:lang w:val="es-ES"/>
        </w:rPr>
        <w:t xml:space="preserve">El Cliente sigue siendo responsable de informar a los Interesados, elegir la base jurídica, determinar la necesidad y la proporcionalidad, así como cualquier análisis interno requerido en relación con sus usos.</w:t>
      </w:r>
    </w:p>
    <w:bookmarkEnd w:id="37"/>
    <w:bookmarkEnd w:id="38"/>
    <w:bookmarkStart w:id="39" w:name="Xd31bed0aa0778d1f455c6a7f93a5eaae9719c2f"/>
    <w:p>
      <w:pPr>
        <w:pStyle w:val="Heading2"/>
        <w:keepNext/>
        <w:keepLines/>
      </w:pPr>
      <w:r>
        <w:rPr>
          <w:color w:val="000000"/>
          <w:lang w:val="es-ES"/>
        </w:rPr>
        <w:t xml:space="preserve">ANEXO 2 — LISTA DE Subencargados del tratamiento AUTORIZADOS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Nombre</w:t>
            </w:r>
          </w:p>
        </w:tc>
        <w:tc>
          <w:tcPr>
            <w:tcW w:type="dxa" w:w="2340"/>
            <w:tcMar>
              <w:left w:type="dxa" w:w="80"/>
              <w:right w:type="dxa" w:w="80"/>
            </w:tcMar>
          </w:tcPr>
          <w:p>
            <w:pPr>
              <w:pStyle w:val="Compact"/>
            </w:pPr>
            <w:r>
              <w:rPr>
                <w:sz w:val="19"/>
                <w:szCs w:val="19"/>
                <w:lang w:val="es-ES"/>
              </w:rPr>
              <w:t xml:space="preserve">Propósito</w:t>
            </w:r>
          </w:p>
        </w:tc>
        <w:tc>
          <w:tcPr>
            <w:tcW w:type="dxa" w:w="2340"/>
            <w:tcMar>
              <w:left w:type="dxa" w:w="80"/>
              <w:right w:type="dxa" w:w="80"/>
            </w:tcMar>
          </w:tcPr>
          <w:p>
            <w:pPr>
              <w:pStyle w:val="Compact"/>
            </w:pPr>
            <w:r>
              <w:rPr>
                <w:sz w:val="19"/>
                <w:szCs w:val="19"/>
                <w:lang w:val="es-ES"/>
              </w:rPr>
              <w:t xml:space="preserve">Ubicación</w:t>
            </w:r>
          </w:p>
        </w:tc>
        <w:tc>
          <w:tcPr>
            <w:tcW w:type="dxa" w:w="2340"/>
            <w:tcMar>
              <w:left w:type="dxa" w:w="80"/>
              <w:right w:type="dxa" w:w="80"/>
            </w:tcMar>
          </w:tcPr>
          <w:p>
            <w:pPr>
              <w:pStyle w:val="Compact"/>
            </w:pPr>
            <w:r>
              <w:rPr>
                <w:sz w:val="19"/>
                <w:szCs w:val="19"/>
                <w:lang w:val="es-ES"/>
              </w:rPr>
              <w:t xml:space="preserve">Base contractual</w:t>
            </w:r>
          </w:p>
        </w:tc>
      </w:tr>
      <w:tr>
        <w:trPr>
          <w:cantSplit/>
        </w:trPr>
        <w:tc>
          <w:tcPr>
            <w:tcW w:type="dxa" w:w="2340"/>
            <w:tcMar>
              <w:left w:type="dxa" w:w="80"/>
              <w:right w:type="dxa" w:w="80"/>
            </w:tcMar>
          </w:tcPr>
          <w:p>
            <w:pPr>
              <w:pStyle w:val="Compact"/>
            </w:pPr>
            <w:r>
              <w:rPr>
                <w:sz w:val="19"/>
                <w:szCs w:val="19"/>
                <w:lang w:val="es-ES"/>
              </w:rPr>
              <w:t xml:space="preserve">Servidores de inferencia LLM dominados (vLLM, modelos de peso abierto Qwen 3.6/Mistral)</w:t>
            </w:r>
          </w:p>
        </w:tc>
        <w:tc>
          <w:tcPr>
            <w:tcW w:type="dxa" w:w="2340"/>
            <w:tcMar>
              <w:left w:type="dxa" w:w="80"/>
              <w:right w:type="dxa" w:w="80"/>
            </w:tcMar>
          </w:tcPr>
          <w:p>
            <w:pPr>
              <w:pStyle w:val="Compact"/>
            </w:pPr>
            <w:r>
              <w:rPr>
                <w:sz w:val="19"/>
                <w:szCs w:val="19"/>
                <w:lang w:val="es-ES"/>
              </w:rPr>
              <w:t xml:space="preserve">Vía principal de las funciones de la IA: corrección, resumen, generación de texto, análisis, estructuración y asistencia de la IA.</w:t>
            </w:r>
          </w:p>
        </w:tc>
        <w:tc>
          <w:tcPr>
            <w:tcW w:type="dxa" w:w="2340"/>
            <w:tcMar>
              <w:left w:type="dxa" w:w="80"/>
              <w:right w:type="dxa" w:w="80"/>
            </w:tcMar>
          </w:tcPr>
          <w:p>
            <w:pPr>
              <w:pStyle w:val="Compact"/>
            </w:pPr>
            <w:r>
              <w:rPr>
                <w:sz w:val="19"/>
                <w:szCs w:val="19"/>
                <w:lang w:val="es-ES"/>
              </w:rPr>
              <w:t xml:space="preserve">Unión Europea: organizada en Estrasburgo y París</w:t>
            </w:r>
          </w:p>
        </w:tc>
        <w:tc>
          <w:tcPr>
            <w:tcW w:type="dxa" w:w="2340"/>
            <w:tcMar>
              <w:left w:type="dxa" w:w="80"/>
              <w:right w:type="dxa" w:w="80"/>
            </w:tcMar>
          </w:tcPr>
          <w:p>
            <w:pPr>
              <w:pStyle w:val="Compact"/>
            </w:pPr>
            <w:r>
              <w:rPr>
                <w:sz w:val="19"/>
                <w:szCs w:val="19"/>
                <w:lang w:val="es-ES"/>
              </w:rPr>
              <w:t xml:space="preserve">Infraestructura controlada por OHADJA; no se transmiten datos a un proveedor de modelos externo</w:t>
            </w:r>
          </w:p>
        </w:tc>
      </w:tr>
      <w:tr>
        <w:trPr>
          <w:cantSplit/>
        </w:trPr>
        <w:tc>
          <w:tcPr>
            <w:tcW w:type="dxa" w:w="2340"/>
            <w:tcMar>
              <w:left w:type="dxa" w:w="80"/>
              <w:right w:type="dxa" w:w="80"/>
            </w:tcMar>
          </w:tcPr>
          <w:p>
            <w:pPr>
              <w:pStyle w:val="Compact"/>
            </w:pPr>
            <w:r>
              <w:rPr>
                <w:sz w:val="19"/>
                <w:szCs w:val="19"/>
                <w:lang w:val="es-ES"/>
              </w:rPr>
              <w:t xml:space="preserve">Hostinger</w:t>
            </w:r>
          </w:p>
        </w:tc>
        <w:tc>
          <w:tcPr>
            <w:tcW w:type="dxa" w:w="2340"/>
            <w:tcMar>
              <w:left w:type="dxa" w:w="80"/>
              <w:right w:type="dxa" w:w="80"/>
            </w:tcMar>
          </w:tcPr>
          <w:p>
            <w:pPr>
              <w:pStyle w:val="Compact"/>
            </w:pPr>
            <w:r>
              <w:rPr>
                <w:sz w:val="19"/>
                <w:szCs w:val="19"/>
                <w:lang w:val="es-ES"/>
              </w:rPr>
              <w:t xml:space="preserve">Hospedaje físico o en la nube del Servicio SaaS TranscribIA, almacenamiento, red, disponibilidad de infraestructura</w:t>
            </w:r>
          </w:p>
        </w:tc>
        <w:tc>
          <w:tcPr>
            <w:tcW w:type="dxa" w:w="2340"/>
            <w:tcMar>
              <w:left w:type="dxa" w:w="80"/>
              <w:right w:type="dxa" w:w="80"/>
            </w:tcMar>
          </w:tcPr>
          <w:p>
            <w:pPr>
              <w:pStyle w:val="Compact"/>
            </w:pPr>
            <w:r>
              <w:rPr>
                <w:sz w:val="19"/>
                <w:szCs w:val="19"/>
                <w:lang w:val="es-ES"/>
              </w:rPr>
              <w:t xml:space="preserve">Francia, Unión Europea o Espacio Económico Europeo según la configuración elegida</w:t>
            </w:r>
          </w:p>
        </w:tc>
        <w:tc>
          <w:tcPr>
            <w:tcW w:type="dxa" w:w="2340"/>
            <w:tcMar>
              <w:left w:type="dxa" w:w="80"/>
              <w:right w:type="dxa" w:w="80"/>
            </w:tcMar>
          </w:tcPr>
          <w:p>
            <w:pPr>
              <w:pStyle w:val="Compact"/>
            </w:pPr>
            <w:r>
              <w:rPr>
                <w:sz w:val="19"/>
                <w:szCs w:val="19"/>
                <w:lang w:val="es-ES"/>
              </w:rPr>
              <w:t xml:space="preserve">Contrato de servicios, cláusulas de subcontratación, compromisos RGPD</w:t>
            </w:r>
          </w:p>
        </w:tc>
      </w:tr>
      <w:tr>
        <w:trPr>
          <w:cantSplit/>
        </w:trPr>
        <w:tc>
          <w:tcPr>
            <w:tcW w:type="dxa" w:w="2340"/>
            <w:tcMar>
              <w:left w:type="dxa" w:w="80"/>
              <w:right w:type="dxa" w:w="80"/>
            </w:tcMar>
          </w:tcPr>
          <w:p>
            <w:pPr>
              <w:pStyle w:val="Compact"/>
            </w:pPr>
            <w:r>
              <w:rPr>
                <w:sz w:val="19"/>
                <w:szCs w:val="19"/>
                <w:lang w:val="es-ES"/>
              </w:rPr>
              <w:t xml:space="preserve">Scaleway</w:t>
            </w:r>
          </w:p>
        </w:tc>
        <w:tc>
          <w:tcPr>
            <w:tcW w:type="dxa" w:w="2340"/>
            <w:tcMar>
              <w:left w:type="dxa" w:w="80"/>
              <w:right w:type="dxa" w:w="80"/>
            </w:tcMar>
          </w:tcPr>
          <w:p>
            <w:pPr>
              <w:pStyle w:val="Compact"/>
            </w:pPr>
            <w:r>
              <w:rPr>
                <w:sz w:val="19"/>
                <w:szCs w:val="19"/>
                <w:lang w:val="es-ES"/>
              </w:rPr>
              <w:t xml:space="preserve">Almacenamiento de copias de seguridad cifradas fuera del sitio</w:t>
            </w:r>
          </w:p>
        </w:tc>
        <w:tc>
          <w:tcPr>
            <w:tcW w:type="dxa" w:w="2340"/>
            <w:tcMar>
              <w:left w:type="dxa" w:w="80"/>
              <w:right w:type="dxa" w:w="80"/>
            </w:tcMar>
          </w:tcPr>
          <w:p>
            <w:pPr>
              <w:pStyle w:val="Compact"/>
            </w:pPr>
            <w:r>
              <w:rPr>
                <w:sz w:val="19"/>
                <w:szCs w:val="19"/>
                <w:lang w:val="es-ES"/>
              </w:rPr>
              <w:t xml:space="preserve">Francia (Unión Europea)</w:t>
            </w:r>
          </w:p>
        </w:tc>
        <w:tc>
          <w:tcPr>
            <w:tcW w:type="dxa" w:w="2340"/>
            <w:tcMar>
              <w:left w:type="dxa" w:w="80"/>
              <w:right w:type="dxa" w:w="80"/>
            </w:tcMar>
          </w:tcPr>
          <w:p>
            <w:pPr>
              <w:pStyle w:val="Compact"/>
            </w:pPr>
            <w:r>
              <w:rPr>
                <w:sz w:val="19"/>
                <w:szCs w:val="19"/>
                <w:lang w:val="es-ES"/>
              </w:rPr>
              <w:t xml:space="preserve">Contrato de servicios, cláusulas de subcontratación, compromisos RGPD</w:t>
            </w:r>
          </w:p>
        </w:tc>
      </w:tr>
      <w:tr>
        <w:trPr>
          <w:cantSplit/>
        </w:trPr>
        <w:tc>
          <w:tcPr>
            <w:tcW w:type="dxa" w:w="2340"/>
            <w:tcMar>
              <w:left w:type="dxa" w:w="80"/>
              <w:right w:type="dxa" w:w="80"/>
            </w:tcMar>
          </w:tcPr>
          <w:p>
            <w:pPr>
              <w:pStyle w:val="Compact"/>
            </w:pPr>
            <w:r>
              <w:rPr>
                <w:sz w:val="19"/>
                <w:szCs w:val="19"/>
                <w:lang w:val="es-ES"/>
              </w:rPr>
              <w:t xml:space="preserve">OpenRouter</w:t>
            </w:r>
          </w:p>
        </w:tc>
        <w:tc>
          <w:tcPr>
            <w:tcW w:type="dxa" w:w="2340"/>
            <w:tcMar>
              <w:left w:type="dxa" w:w="80"/>
              <w:right w:type="dxa" w:w="80"/>
            </w:tcMar>
          </w:tcPr>
          <w:p>
            <w:pPr>
              <w:pStyle w:val="Compact"/>
            </w:pPr>
            <w:r>
              <w:rPr>
                <w:sz w:val="19"/>
                <w:szCs w:val="19"/>
                <w:lang w:val="es-ES"/>
              </w:rPr>
              <w:t xml:space="preserve">Ruta de conmutación por error, desactivable por organización: intermediación de acceso a modelos LLM cuando la ruta principal no está disponible y el Cliente no ha desactivado la alternativa</w:t>
            </w:r>
          </w:p>
        </w:tc>
        <w:tc>
          <w:tcPr>
            <w:tcW w:type="dxa" w:w="2340"/>
            <w:tcMar>
              <w:left w:type="dxa" w:w="80"/>
              <w:right w:type="dxa" w:w="80"/>
            </w:tcMar>
          </w:tcPr>
          <w:p>
            <w:pPr>
              <w:pStyle w:val="Compact"/>
            </w:pPr>
            <w:r>
              <w:rPr>
                <w:sz w:val="19"/>
                <w:szCs w:val="19"/>
                <w:lang w:val="es-ES"/>
              </w:rPr>
              <w:t xml:space="preserve">Unión Europea o Espacio Económico Europeo cuando esté disponible y activado; no se realizan transferencias fuera de la UE sin mecanismo del capítulo V RGPD</w:t>
            </w:r>
          </w:p>
        </w:tc>
        <w:tc>
          <w:tcPr>
            <w:tcW w:type="dxa" w:w="2340"/>
            <w:tcMar>
              <w:left w:type="dxa" w:w="80"/>
              <w:right w:type="dxa" w:w="80"/>
            </w:tcMar>
          </w:tcPr>
          <w:p>
            <w:pPr>
              <w:pStyle w:val="Compact"/>
            </w:pPr>
            <w:r>
              <w:rPr>
                <w:sz w:val="19"/>
                <w:szCs w:val="19"/>
                <w:lang w:val="es-ES"/>
              </w:rPr>
              <w:t xml:space="preserve">Contrato de servicios, cláusulas de subcontratación, compromisos RGPD, cláusulas contractuales tipo si es necesario</w:t>
            </w:r>
          </w:p>
        </w:tc>
      </w:tr>
      <w:tr>
        <w:trPr>
          <w:cantSplit/>
        </w:trPr>
        <w:tc>
          <w:tcPr>
            <w:tcW w:type="dxa" w:w="2340"/>
            <w:tcMar>
              <w:left w:type="dxa" w:w="80"/>
              <w:right w:type="dxa" w:w="80"/>
            </w:tcMar>
          </w:tcPr>
          <w:p>
            <w:pPr>
              <w:pStyle w:val="Compact"/>
            </w:pPr>
            <w:r>
              <w:rPr>
                <w:sz w:val="19"/>
                <w:szCs w:val="19"/>
                <w:lang w:val="es-ES"/>
              </w:rPr>
              <w:t xml:space="preserve">Proveedores de modelos a través de OpenRouter, incluidos Anthropic u OpenAI cuando están configurados</w:t>
            </w:r>
          </w:p>
        </w:tc>
        <w:tc>
          <w:tcPr>
            <w:tcW w:type="dxa" w:w="2340"/>
            <w:tcMar>
              <w:left w:type="dxa" w:w="80"/>
              <w:right w:type="dxa" w:w="80"/>
            </w:tcMar>
          </w:tcPr>
          <w:p>
            <w:pPr>
              <w:pStyle w:val="Compact"/>
            </w:pPr>
            <w:r>
              <w:rPr>
                <w:sz w:val="19"/>
                <w:szCs w:val="19"/>
                <w:lang w:val="es-ES"/>
              </w:rPr>
              <w:t xml:space="preserve">Copia de seguridad de la inferencia de LLM solo para consultas de IA iniciadas o configuradas por el Cliente</w:t>
            </w:r>
          </w:p>
        </w:tc>
        <w:tc>
          <w:tcPr>
            <w:tcW w:type="dxa" w:w="2340"/>
            <w:tcMar>
              <w:left w:type="dxa" w:w="80"/>
              <w:right w:type="dxa" w:w="80"/>
            </w:tcMar>
          </w:tcPr>
          <w:p>
            <w:pPr>
              <w:pStyle w:val="Compact"/>
            </w:pPr>
            <w:r>
              <w:rPr>
                <w:sz w:val="19"/>
                <w:szCs w:val="19"/>
                <w:lang w:val="es-ES"/>
              </w:rPr>
              <w:t xml:space="preserve">Dependiendo de la configuración disponible, con prioridad UE/EEE; fuera de UE sólo con garantías válidas capítulo V RGPD</w:t>
            </w:r>
          </w:p>
        </w:tc>
        <w:tc>
          <w:tcPr>
            <w:tcW w:type="dxa" w:w="2340"/>
            <w:tcMar>
              <w:left w:type="dxa" w:w="80"/>
              <w:right w:type="dxa" w:w="80"/>
            </w:tcMar>
          </w:tcPr>
          <w:p>
            <w:pPr>
              <w:pStyle w:val="Compact"/>
            </w:pPr>
            <w:r>
              <w:rPr>
                <w:sz w:val="19"/>
                <w:szCs w:val="19"/>
                <w:lang w:val="es-ES"/>
              </w:rPr>
              <w:t xml:space="preserve">Condiciones del proveedor, DPA del proveedor, cláusulas contractuales tipo si es necesario</w:t>
            </w:r>
          </w:p>
        </w:tc>
      </w:tr>
      <w:tr>
        <w:trPr>
          <w:cantSplit/>
        </w:trPr>
        <w:tc>
          <w:tcPr>
            <w:tcW w:type="dxa" w:w="2340"/>
            <w:tcMar>
              <w:left w:type="dxa" w:w="80"/>
              <w:right w:type="dxa" w:w="80"/>
            </w:tcMar>
          </w:tcPr>
          <w:p>
            <w:pPr>
              <w:pStyle w:val="Compact"/>
            </w:pPr>
            <w:r>
              <w:rPr>
                <w:sz w:val="19"/>
                <w:szCs w:val="19"/>
                <w:lang w:val="es-ES"/>
              </w:rPr>
              <w:t xml:space="preserve">Vast.ai</w:t>
            </w:r>
          </w:p>
        </w:tc>
        <w:tc>
          <w:tcPr>
            <w:tcW w:type="dxa" w:w="2340"/>
            <w:tcMar>
              <w:left w:type="dxa" w:w="80"/>
              <w:right w:type="dxa" w:w="80"/>
            </w:tcMar>
          </w:tcPr>
          <w:p>
            <w:pPr>
              <w:pStyle w:val="Compact"/>
            </w:pPr>
            <w:r>
              <w:rPr>
                <w:sz w:val="19"/>
                <w:szCs w:val="19"/>
                <w:lang w:val="es-ES"/>
              </w:rPr>
              <w:t xml:space="preserve">Alquiler bajo demanda de recursos de GPU para transcripción, diarización, procesamiento de audio o correlación de voz cuando se utiliza esta opción</w:t>
            </w:r>
          </w:p>
        </w:tc>
        <w:tc>
          <w:tcPr>
            <w:tcW w:type="dxa" w:w="2340"/>
            <w:tcMar>
              <w:left w:type="dxa" w:w="80"/>
              <w:right w:type="dxa" w:w="80"/>
            </w:tcMar>
          </w:tcPr>
          <w:p>
            <w:pPr>
              <w:pStyle w:val="Compact"/>
            </w:pPr>
            <w:r>
              <w:rPr>
                <w:sz w:val="19"/>
                <w:szCs w:val="19"/>
                <w:lang w:val="es-ES"/>
              </w:rPr>
              <w:t xml:space="preserve">Recursos seleccionados de la Unión Europea o del Espacio Económico Europeo cuando sea necesario; fuera de la UE sólo con acuerdo y garantías capítulo V RGPD</w:t>
            </w:r>
          </w:p>
        </w:tc>
        <w:tc>
          <w:tcPr>
            <w:tcW w:type="dxa" w:w="2340"/>
            <w:tcMar>
              <w:left w:type="dxa" w:w="80"/>
              <w:right w:type="dxa" w:w="80"/>
            </w:tcMar>
          </w:tcPr>
          <w:p>
            <w:pPr>
              <w:pStyle w:val="Compact"/>
            </w:pPr>
            <w:r>
              <w:rPr>
                <w:sz w:val="19"/>
                <w:szCs w:val="19"/>
                <w:lang w:val="es-ES"/>
              </w:rPr>
              <w:t xml:space="preserve">Contrato de servicios, condiciones del proveedor, cláusulas contractuales o garantías equivalentes cuando corresponda</w:t>
            </w:r>
          </w:p>
        </w:tc>
      </w:tr>
      <w:tr>
        <w:trPr>
          <w:cantSplit/>
        </w:trPr>
        <w:tc>
          <w:tcPr>
            <w:tcW w:type="dxa" w:w="2340"/>
            <w:tcMar>
              <w:left w:type="dxa" w:w="80"/>
              <w:right w:type="dxa" w:w="80"/>
            </w:tcMar>
          </w:tcPr>
          <w:p>
            <w:pPr>
              <w:pStyle w:val="Compact"/>
            </w:pPr>
            <w:r>
              <w:rPr>
                <w:sz w:val="19"/>
                <w:szCs w:val="19"/>
                <w:lang w:val="es-ES"/>
              </w:rPr>
              <w:t xml:space="preserve">Proveedores de correo electrónico transaccional, si están activados</w:t>
            </w:r>
          </w:p>
        </w:tc>
        <w:tc>
          <w:tcPr>
            <w:tcW w:type="dxa" w:w="2340"/>
            <w:tcMar>
              <w:left w:type="dxa" w:w="80"/>
              <w:right w:type="dxa" w:w="80"/>
            </w:tcMar>
          </w:tcPr>
          <w:p>
            <w:pPr>
              <w:pStyle w:val="Compact"/>
            </w:pPr>
            <w:r>
              <w:rPr>
                <w:sz w:val="19"/>
                <w:szCs w:val="19"/>
                <w:lang w:val="es-ES"/>
              </w:rPr>
              <w:t xml:space="preserve">Envío de correos electrónicos de servicio: invitación, reseteo, notificaciones técnicas.</w:t>
            </w:r>
          </w:p>
        </w:tc>
        <w:tc>
          <w:tcPr>
            <w:tcW w:type="dxa" w:w="2340"/>
            <w:tcMar>
              <w:left w:type="dxa" w:w="80"/>
              <w:right w:type="dxa" w:w="80"/>
            </w:tcMar>
          </w:tcPr>
          <w:p>
            <w:pPr>
              <w:pStyle w:val="Compact"/>
            </w:pPr>
            <w:r>
              <w:rPr>
                <w:sz w:val="19"/>
                <w:szCs w:val="19"/>
                <w:lang w:val="es-ES"/>
              </w:rPr>
              <w:t xml:space="preserve">Unión Europea o Espacio Económico Europeo cuando esté configurado; fuera de UE sólo con garantías del capítulo V RGPD</w:t>
            </w:r>
          </w:p>
        </w:tc>
        <w:tc>
          <w:tcPr>
            <w:tcW w:type="dxa" w:w="2340"/>
            <w:tcMar>
              <w:left w:type="dxa" w:w="80"/>
              <w:right w:type="dxa" w:w="80"/>
            </w:tcMar>
          </w:tcPr>
          <w:p>
            <w:pPr>
              <w:pStyle w:val="Compact"/>
            </w:pPr>
            <w:r>
              <w:rPr>
                <w:sz w:val="19"/>
                <w:szCs w:val="19"/>
                <w:lang w:val="es-ES"/>
              </w:rPr>
              <w:t xml:space="preserve">Contrato de servicio, DPA del proveedor, cláusulas contractuales tipo si es necesario</w:t>
            </w:r>
          </w:p>
        </w:tc>
      </w:tr>
      <w:tr>
        <w:trPr>
          <w:cantSplit/>
        </w:trPr>
        <w:tc>
          <w:tcPr>
            <w:tcW w:type="dxa" w:w="2340"/>
            <w:tcMar>
              <w:left w:type="dxa" w:w="80"/>
              <w:right w:type="dxa" w:w="80"/>
            </w:tcMar>
          </w:tcPr>
          <w:p>
            <w:pPr>
              <w:pStyle w:val="Compact"/>
            </w:pPr>
            <w:r>
              <w:rPr>
                <w:sz w:val="19"/>
                <w:szCs w:val="19"/>
                <w:lang w:val="es-ES"/>
              </w:rPr>
              <w:t xml:space="preserve">Proveedores de supervisión o seguridad, si están activados</w:t>
            </w:r>
          </w:p>
        </w:tc>
        <w:tc>
          <w:tcPr>
            <w:tcW w:type="dxa" w:w="2340"/>
            <w:tcMar>
              <w:left w:type="dxa" w:w="80"/>
              <w:right w:type="dxa" w:w="80"/>
            </w:tcMar>
          </w:tcPr>
          <w:p>
            <w:pPr>
              <w:pStyle w:val="Compact"/>
            </w:pPr>
            <w:r>
              <w:rPr>
                <w:sz w:val="19"/>
                <w:szCs w:val="19"/>
                <w:lang w:val="es-ES"/>
              </w:rPr>
              <w:t xml:space="preserve">Supervisión técnica, alertas, diagnóstico de errores, seguridad operativa.</w:t>
            </w:r>
          </w:p>
        </w:tc>
        <w:tc>
          <w:tcPr>
            <w:tcW w:type="dxa" w:w="2340"/>
            <w:tcMar>
              <w:left w:type="dxa" w:w="80"/>
              <w:right w:type="dxa" w:w="80"/>
            </w:tcMar>
          </w:tcPr>
          <w:p>
            <w:pPr>
              <w:pStyle w:val="Compact"/>
            </w:pPr>
            <w:r>
              <w:rPr>
                <w:sz w:val="19"/>
                <w:szCs w:val="19"/>
                <w:lang w:val="es-ES"/>
              </w:rPr>
              <w:t xml:space="preserve">Unión Europea o Espacio Económico Europeo cuando esté configurado; fuera de UE sólo con garantías del capítulo V RGPD</w:t>
            </w:r>
          </w:p>
        </w:tc>
        <w:tc>
          <w:tcPr>
            <w:tcW w:type="dxa" w:w="2340"/>
            <w:tcMar>
              <w:left w:type="dxa" w:w="80"/>
              <w:right w:type="dxa" w:w="80"/>
            </w:tcMar>
          </w:tcPr>
          <w:p>
            <w:pPr>
              <w:pStyle w:val="Compact"/>
            </w:pPr>
            <w:r>
              <w:rPr>
                <w:sz w:val="19"/>
                <w:szCs w:val="19"/>
                <w:lang w:val="es-ES"/>
              </w:rPr>
              <w:t xml:space="preserve">Contrato de servicio, DPA del proveedor, cláusulas contractuales tipo si es necesario</w:t>
            </w:r>
          </w:p>
        </w:tc>
      </w:tr>
    </w:tbl>
    <w:bookmarkEnd w:id="39"/>
    <w:bookmarkStart w:id="51" w:name="X7523f8d50ce773b6c8cc26d7ed71f7717c2def3"/>
    <w:p>
      <w:pPr>
        <w:pStyle w:val="Heading2"/>
        <w:keepNext/>
        <w:keepLines/>
      </w:pPr>
      <w:r>
        <w:rPr>
          <w:color w:val="000000"/>
          <w:lang w:val="es-ES"/>
        </w:rPr>
        <w:t xml:space="preserve">ANEXO 3 — MEDIDAS TÉCNICAS Y ORGANIZATIVAS</w:t>
      </w:r>
    </w:p>
    <w:bookmarkStart w:id="40" w:name="X8f3e232de8def0f8007972b4bf4a3c55c088848"/>
    <w:p>
      <w:pPr>
        <w:pStyle w:val="Heading3"/>
        <w:keepNext/>
        <w:keepLines/>
      </w:pPr>
      <w:r>
        <w:rPr>
          <w:color w:val="000000"/>
          <w:lang w:val="es-ES"/>
        </w:rPr>
        <w:t xml:space="preserve">1. Cifrado y protección de flujos</w:t>
      </w:r>
    </w:p>
    <w:p>
      <w:pPr>
        <w:pStyle w:val="FirstParagraph"/>
      </w:pPr>
      <w:r>
        <w:rPr>
          <w:lang w:val="es-ES"/>
        </w:rPr>
        <w:t xml:space="preserve">OHADJA implementa el cifrado de las comunicaciones de red mediante TLS/HTTPS para el acceso a aplicaciones, APIs e interfaces de administración, de acuerdo con el artículo 32.1.a de RGPD.</w:t>
      </w:r>
    </w:p>
    <w:p>
      <w:pPr>
        <w:pStyle w:val="BodyText"/>
      </w:pPr>
      <w:r>
        <w:rPr>
          <w:lang w:val="es-ES"/>
        </w:rPr>
        <w:t xml:space="preserve">Las copias de seguridad se cifran antes de su externalización con age (X25519 + ChaCha20-Poly1305). El cifrado del disco del sistema depende de la oferta del centro de datos; está prevista una actualización (LUKS/gocryptfs).</w:t>
      </w:r>
    </w:p>
    <w:p>
      <w:pPr>
        <w:pStyle w:val="BodyText"/>
      </w:pPr>
      <w:r>
        <w:rPr>
          <w:lang w:val="es-ES"/>
        </w:rPr>
        <w:t xml:space="preserve">Las URL de transmisión de archivos de audio están protegidas por enlaces temporales y firmados. El acceso directo no autorizado a archivos no se expone públicamente.</w:t>
      </w:r>
    </w:p>
    <w:p>
      <w:pPr>
        <w:pStyle w:val="BodyText"/>
      </w:pPr>
      <w:r>
        <w:rPr>
          <w:lang w:val="es-ES"/>
        </w:rPr>
        <w:t xml:space="preserve">Los secretos de las aplicaciones, claves API, tokens y contraseñas se almacenan en archivos de entorno, bóvedas, variables seguras o mecanismos equivalentes, con acceso limitado a personas autorizadas.</w:t>
      </w:r>
    </w:p>
    <w:bookmarkEnd w:id="40"/>
    <w:bookmarkStart w:id="41" w:name="Xaddc48e34396aae88c17fa247fc517b48e3185f"/>
    <w:p>
      <w:pPr>
        <w:pStyle w:val="Heading3"/>
        <w:keepNext/>
        <w:keepLines/>
      </w:pPr>
      <w:r>
        <w:rPr>
          <w:color w:val="000000"/>
          <w:lang w:val="es-ES"/>
        </w:rPr>
        <w:t xml:space="preserve">2. Aislamiento y particionamiento lógico</w:t>
      </w:r>
    </w:p>
    <w:p>
      <w:pPr>
        <w:pStyle w:val="FirstParagraph"/>
      </w:pPr>
      <w:r>
        <w:rPr>
          <w:lang w:val="es-ES"/>
        </w:rPr>
        <w:t xml:space="preserve">El Servicio SaaS se basa en una arquitectura multiinquilino con aislamiento lógico por organización. Los datos de los inquilinos están separados por el esquema PostgreSQL dedicado a la organización cuando esta arquitectura está habilitada.</w:t>
      </w:r>
    </w:p>
    <w:p>
      <w:pPr>
        <w:pStyle w:val="BodyText"/>
      </w:pPr>
      <w:r>
        <w:rPr>
          <w:lang w:val="es-ES"/>
        </w:rPr>
        <w:t xml:space="preserve">El middleware de la aplicación posiciona el contexto antes de ejecutar consultas, para limitar el acceso a los Datos de la organización en cuestión.</w:t>
      </w:r>
    </w:p>
    <w:p>
      <w:pPr>
        <w:pStyle w:val="BodyText"/>
      </w:pPr>
      <w:r>
        <w:rPr>
          <w:lang w:val="es-ES"/>
        </w:rPr>
        <w:t xml:space="preserve">Los roles de la aplicación limitan el acceso según los perfiles autorizados: superadministrador, agente autorizado, gerente, líder de equipo y usuario.</w:t>
      </w:r>
    </w:p>
    <w:bookmarkEnd w:id="41"/>
    <w:bookmarkStart w:id="42" w:name="X60bf91a330e564937e33a5f7bf787f06d41ab37"/>
    <w:p>
      <w:pPr>
        <w:pStyle w:val="Heading3"/>
        <w:keepNext/>
        <w:keepLines/>
      </w:pPr>
      <w:r>
        <w:rPr>
          <w:color w:val="000000"/>
          <w:lang w:val="es-ES"/>
        </w:rPr>
        <w:t xml:space="preserve">3. Gestión de acceso y autenticación.</w:t>
      </w:r>
    </w:p>
    <w:p>
      <w:pPr>
        <w:pStyle w:val="FirstParagraph"/>
      </w:pPr>
      <w:r>
        <w:rPr>
          <w:lang w:val="es-ES"/>
        </w:rPr>
        <w:t xml:space="preserve">Las cuentas de usuario están asociadas con roles y permisos. El acceso se concede según el principio de privilegio mínimo.</w:t>
      </w:r>
    </w:p>
    <w:p>
      <w:pPr>
        <w:pStyle w:val="BodyText"/>
      </w:pPr>
      <w:r>
        <w:rPr>
          <w:lang w:val="es-ES"/>
        </w:rPr>
        <w:t xml:space="preserve">Los tokens API y las sesiones de aplicación se limitan a los usos necesarios. El acceso de administración está reservado a personas autorizadas.</w:t>
      </w:r>
    </w:p>
    <w:p>
      <w:pPr>
        <w:pStyle w:val="BodyText"/>
      </w:pPr>
      <w:r>
        <w:rPr>
          <w:lang w:val="es-ES"/>
        </w:rPr>
        <w:t xml:space="preserve">El Cliente es responsable de gestionar sus propios usuarios, eliminar cuentas obsoletas, asignar roles y proteger los medios de autenticación de sus usuarios.</w:t>
      </w:r>
    </w:p>
    <w:bookmarkEnd w:id="42"/>
    <w:bookmarkStart w:id="43" w:name="Xa0655d09ab4e198a6dd70d8bc7c2e120ae9fee7"/>
    <w:p>
      <w:pPr>
        <w:pStyle w:val="Heading3"/>
        <w:keepNext/>
        <w:keepLines/>
      </w:pPr>
      <w:r>
        <w:rPr>
          <w:color w:val="000000"/>
          <w:lang w:val="es-ES"/>
        </w:rPr>
        <w:t xml:space="preserve">4. Registro y trazabilidad</w:t>
      </w:r>
    </w:p>
    <w:p>
      <w:pPr>
        <w:pStyle w:val="FirstParagraph"/>
      </w:pPr>
      <w:r>
        <w:rPr>
          <w:lang w:val="es-ES"/>
        </w:rPr>
        <w:t xml:space="preserve">El Servicio mantiene registros de auditoría y seguimientos técnicos que permiten seguir determinadas acciones importantes: conexiones, creaciones, modificaciones, eliminaciones, cargas, procesamientos, errores, exportaciones y operaciones de administración disponibles.</w:t>
      </w:r>
    </w:p>
    <w:p>
      <w:pPr>
        <w:pStyle w:val="BodyText"/>
      </w:pPr>
      <w:r>
        <w:rPr>
          <w:lang w:val="es-ES"/>
        </w:rPr>
        <w:t xml:space="preserve">Los registros se utilizan para seguridad, diagnóstico, evidencia, detección de incidentes y atención al cliente.</w:t>
      </w:r>
    </w:p>
    <w:p>
      <w:pPr>
        <w:pStyle w:val="BodyText"/>
      </w:pPr>
      <w:r>
        <w:rPr>
          <w:lang w:val="es-ES"/>
        </w:rPr>
        <w:t xml:space="preserve">Los registros no deben contener incrustaciones de voz persistentes. Los registros relacionados con la correlación de voz se limitan a la información técnica necesaria y están sujetos a medidas para reducir o limpiar datos confidenciales cuando sea posible.</w:t>
      </w:r>
    </w:p>
    <w:bookmarkEnd w:id="43"/>
    <w:bookmarkStart w:id="44" w:name="Xb72ff9c2aed82570f5270b78e31fe53d9046315"/>
    <w:p>
      <w:pPr>
        <w:pStyle w:val="Heading3"/>
        <w:keepNext/>
        <w:keepLines/>
      </w:pPr>
      <w:r>
        <w:rPr>
          <w:color w:val="000000"/>
          <w:lang w:val="es-ES"/>
        </w:rPr>
        <w:t xml:space="preserve">5. Copias de seguridad y restauración</w:t>
      </w:r>
    </w:p>
    <w:p>
      <w:pPr>
        <w:pStyle w:val="FirstParagraph"/>
      </w:pPr>
      <w:r>
        <w:rPr>
          <w:lang w:val="es-ES"/>
        </w:rPr>
        <w:t xml:space="preserve">En la Opción A, OHADJA implementa copias de seguridad técnicas destinadas a restaurar la disponibilidad de los Datos y el acceso a los mismos en plazos adecuados en caso de incidencia física o técnica, de acuerdo con el artículo 32.1.c de RGPD.</w:t>
      </w:r>
    </w:p>
    <w:p>
      <w:pPr>
        <w:pStyle w:val="BodyText"/>
      </w:pPr>
      <w:r>
        <w:rPr>
          <w:lang w:val="es-ES"/>
        </w:rPr>
        <w:t xml:space="preserve">Las copias de seguridad se cifran antes de la subcontratación con age (X25519 + ChaCha20-Poly1305) y se sincronizan con Scaleway (Francia); están protegidos contra el acceso no autorizado y se conservan según un ciclo de rotación definido.</w:t>
      </w:r>
    </w:p>
    <w:p>
      <w:pPr>
        <w:pStyle w:val="BodyText"/>
      </w:pPr>
      <w:r>
        <w:rPr>
          <w:lang w:val="es-ES"/>
        </w:rPr>
        <w:t xml:space="preserve">En la Opción B, el Cliente es responsable de las copias de seguridad de su entorno, salvo que expresamente se estipule lo contrario.</w:t>
      </w:r>
    </w:p>
    <w:bookmarkEnd w:id="44"/>
    <w:bookmarkStart w:id="45" w:name="X542d0b57a4f8fe88138a3fd867d48dcc2dbd28d"/>
    <w:p>
      <w:pPr>
        <w:pStyle w:val="Heading3"/>
        <w:keepNext/>
        <w:keepLines/>
      </w:pPr>
      <w:r>
        <w:rPr>
          <w:color w:val="000000"/>
          <w:lang w:val="es-ES"/>
        </w:rPr>
        <w:t xml:space="preserve">6. Disponibilidad, resiliencia y continuidad</w:t>
      </w:r>
    </w:p>
    <w:p>
      <w:pPr>
        <w:pStyle w:val="FirstParagraph"/>
      </w:pPr>
      <w:r>
        <w:rPr>
          <w:lang w:val="es-ES"/>
        </w:rPr>
        <w:t xml:space="preserve">OHADJA implementa medios razonables para garantizar la disponibilidad, integridad y resiliencia del Servicio, de conformidad con el artículo 32.1.b de RGPD.</w:t>
      </w:r>
    </w:p>
    <w:p>
      <w:pPr>
        <w:pStyle w:val="BodyText"/>
      </w:pPr>
      <w:r>
        <w:rPr>
          <w:lang w:val="es-ES"/>
        </w:rPr>
        <w:t xml:space="preserve">Estos medios pueden incluir supervisión, reinicios de servicios, colas, trabajadores separados, monitoreo de aplicaciones, separación de componentes de aplicaciones, bases de datos, caché, WebSocket y procesamiento asincrónico.</w:t>
      </w:r>
    </w:p>
    <w:p>
      <w:pPr>
        <w:pStyle w:val="BodyText"/>
      </w:pPr>
      <w:r>
        <w:rPr>
          <w:lang w:val="es-ES"/>
        </w:rPr>
        <w:t xml:space="preserve">Los compromisos de disponibilidad, tiempos de recuperación o niveles de servicio son los previstos en el Contrato Principal cuando existan.</w:t>
      </w:r>
    </w:p>
    <w:bookmarkEnd w:id="45"/>
    <w:bookmarkStart w:id="46" w:name="Xae371bc0d32494cdb994a420ff70400aa998f71"/>
    <w:p>
      <w:pPr>
        <w:pStyle w:val="Heading3"/>
        <w:keepNext/>
        <w:keepLines/>
      </w:pPr>
      <w:r>
        <w:rPr>
          <w:color w:val="000000"/>
          <w:lang w:val="es-ES"/>
        </w:rPr>
        <w:t xml:space="preserve">7. Gestión de vulnerabilidades y actualizaciones.</w:t>
      </w:r>
    </w:p>
    <w:p>
      <w:pPr>
        <w:pStyle w:val="FirstParagraph"/>
      </w:pPr>
      <w:r>
        <w:rPr>
          <w:lang w:val="es-ES"/>
        </w:rPr>
        <w:t xml:space="preserve">OHADJA aplica una gestión de vulnerabilidad razonable a los componentes que controla: marco de aplicación, dependencias, contenedores, imágenes de Docker, servidor de aplicaciones, configuración de seguridad y bibliotecas críticas.</w:t>
      </w:r>
    </w:p>
    <w:p>
      <w:pPr>
        <w:pStyle w:val="BodyText"/>
      </w:pPr>
      <w:r>
        <w:rPr>
          <w:lang w:val="es-ES"/>
        </w:rPr>
        <w:t xml:space="preserve">Los parches de seguridad se priorizan en función de su criticidad, explotabilidad y exposición.</w:t>
      </w:r>
    </w:p>
    <w:p>
      <w:pPr>
        <w:pStyle w:val="BodyText"/>
      </w:pPr>
      <w:r>
        <w:rPr>
          <w:lang w:val="es-ES"/>
        </w:rPr>
        <w:t xml:space="preserve">En la Opción B, el Cliente es responsable del despliegue efectivo de actualizaciones, parches y configuraciones de seguridad en su entorno, excepto misión de mantenimiento encomendada a OHADJA.</w:t>
      </w:r>
    </w:p>
    <w:bookmarkEnd w:id="46"/>
    <w:bookmarkStart w:id="47" w:name="X46530f253ecc359acdf164d54e2920564e3c8c5"/>
    <w:p>
      <w:pPr>
        <w:pStyle w:val="Heading3"/>
        <w:keepNext/>
        <w:keepLines/>
      </w:pPr>
      <w:r>
        <w:rPr>
          <w:color w:val="000000"/>
          <w:lang w:val="es-ES"/>
        </w:rPr>
        <w:t xml:space="preserve">8. Seguridad del procesamiento y la transcripción de la IA</w:t>
      </w:r>
    </w:p>
    <w:p>
      <w:pPr>
        <w:pStyle w:val="FirstParagraph"/>
      </w:pPr>
      <w:r>
        <w:rPr>
          <w:lang w:val="es-ES"/>
        </w:rPr>
        <w:t xml:space="preserve">El procesamiento de transcripción, diarización, generación de IA, corrección, resumen, capítulos e identificación del hablante se lleva a cabo únicamente para los fines activados por el Cliente.</w:t>
      </w:r>
    </w:p>
    <w:p>
      <w:pPr>
        <w:pStyle w:val="BodyText"/>
      </w:pPr>
      <w:r>
        <w:rPr>
          <w:lang w:val="es-ES"/>
        </w:rPr>
        <w:t xml:space="preserve">El procesamiento de IA se basa por defecto en servidores de inferencia vLLM controlados por OHADJA en Europa, con modelos de peso abierto; no se transmiten datos a un proveedor de modelos externo en esta ruta principal. La puerta de enlace OpenRouter solo se utiliza como respaldo, con el indicador de no entrenamiento («no-train») activado y la organización puede desactivarlo.</w:t>
      </w:r>
    </w:p>
    <w:p>
      <w:pPr>
        <w:pStyle w:val="BodyText"/>
      </w:pPr>
      <w:r>
        <w:rPr>
          <w:lang w:val="es-ES"/>
        </w:rPr>
        <w:t xml:space="preserve">Los avisos y fuentes enviados a los modelos de IA se constituyen de acuerdo con las selecciones o parámetros del Cliente. OHADJA aplica, cuando sea posible, la minimización de los datos transmitidos a los servicios necesarios de terceros.</w:t>
      </w:r>
    </w:p>
    <w:p>
      <w:pPr>
        <w:pStyle w:val="BodyText"/>
      </w:pPr>
      <w:r>
        <w:rPr>
          <w:lang w:val="es-ES"/>
        </w:rPr>
        <w:t xml:space="preserve">Los datos transmitidos a los IA Subencargados del tratamiento no deben ser utilizados por OHADJA para entrenar sus propios modelos, a menos que el Cliente así lo indique expresamente y por separado.</w:t>
      </w:r>
    </w:p>
    <w:bookmarkEnd w:id="47"/>
    <w:bookmarkStart w:id="48" w:name="X020e1c7cc680ecf4f46e5914db79ab5de3bd540"/>
    <w:p>
      <w:pPr>
        <w:pStyle w:val="Heading3"/>
        <w:keepNext/>
        <w:keepLines/>
      </w:pPr>
      <w:r>
        <w:rPr>
          <w:color w:val="000000"/>
          <w:lang w:val="es-ES"/>
        </w:rPr>
        <w:t xml:space="preserve">9. MTO dedicados a la correlación de voz</w:t>
      </w:r>
    </w:p>
    <w:p>
      <w:pPr>
        <w:pStyle w:val="FirstParagraph"/>
      </w:pPr>
      <w:r>
        <w:rPr>
          <w:lang w:val="es-ES"/>
        </w:rPr>
        <w:t xml:space="preserve">La correlación de voz se basa en el procesamiento temporal de datos de voz con el fin de sugerir la identificación del hablante, sin crear una plantilla biométrica persistente.</w:t>
      </w:r>
    </w:p>
    <w:p>
      <w:pPr>
        <w:pStyle w:val="BodyText"/>
      </w:pPr>
      <w:r>
        <w:rPr>
          <w:lang w:val="es-ES"/>
        </w:rPr>
        <w:t xml:space="preserve">Las siguientes salvaguardas específicas se aplican cuando la función está habilitada:</w:t>
      </w:r>
    </w:p>
    <w:p>
      <w:pPr>
        <w:pStyle w:val="Compact"/>
        <w:numPr>
          <w:ilvl w:val="0"/>
          <w:numId w:val="1002"/>
        </w:numPr>
      </w:pPr>
      <w:r>
        <w:rPr>
          <w:lang w:val="es-ES"/>
        </w:rPr>
        <w:t xml:space="preserve">activación a nivel de inquilino o por configuración del Cliente cuando esté disponible;</w:t>
      </w:r>
    </w:p>
    <w:p>
      <w:pPr>
        <w:pStyle w:val="Compact"/>
        <w:numPr>
          <w:ilvl w:val="0"/>
          <w:numId w:val="1002"/>
        </w:numPr>
      </w:pPr>
      <w:r>
        <w:rPr>
          <w:lang w:val="es-ES"/>
        </w:rPr>
        <w:t xml:space="preserve">ausencia de creación de perfil de voz persistente por defecto;</w:t>
      </w:r>
    </w:p>
    <w:p>
      <w:pPr>
        <w:pStyle w:val="Compact"/>
        <w:numPr>
          <w:ilvl w:val="0"/>
          <w:numId w:val="1002"/>
        </w:numPr>
      </w:pPr>
      <w:r>
        <w:rPr>
          <w:lang w:val="es-ES"/>
        </w:rPr>
        <w:t xml:space="preserve">cálculo de incrustaciones de voz temporalmente en RAM cuando sea técnicamente posible;</w:t>
      </w:r>
    </w:p>
    <w:p>
      <w:pPr>
        <w:pStyle w:val="Compact"/>
        <w:numPr>
          <w:ilvl w:val="0"/>
          <w:numId w:val="1002"/>
        </w:numPr>
      </w:pPr>
      <w:r>
        <w:rPr>
          <w:lang w:val="es-ES"/>
        </w:rPr>
        <w:t xml:space="preserve">uso de espacios temporales tipo </w:t>
      </w:r>
      <w:r>
        <w:rPr>
          <w:lang w:val="es-ES"/>
        </w:rPr>
        <w:t xml:space="preserve"/>
      </w:r>
      <w:r>
        <w:rPr>
          <w:rStyle w:val="VerbatimChar"/>
          <w:lang w:val="es-ES"/>
        </w:rPr>
        <w:t xml:space="preserve">tmpfs</w:t>
      </w:r>
      <w:r>
        <w:rPr>
          <w:lang w:val="es-ES"/>
        </w:rPr>
        <w:t xml:space="preserve"> </w:t>
      </w:r>
      <w:r>
        <w:rPr>
          <w:lang w:val="es-ES"/>
        </w:rPr>
        <w:t xml:space="preserve">cuando el entorno lo permita;</w:t>
      </w:r>
    </w:p>
    <w:p>
      <w:pPr>
        <w:pStyle w:val="Compact"/>
        <w:numPr>
          <w:ilvl w:val="0"/>
          <w:numId w:val="1002"/>
        </w:numPr>
      </w:pPr>
      <w:r>
        <w:rPr>
          <w:lang w:val="es-ES"/>
        </w:rPr>
        <w:t xml:space="preserve">desactivación del swap para los trabajadores afectados cuando el entorno lo permita y cuando esta medida sea compatible con la estabilidad de la infraestructura;</w:t>
      </w:r>
    </w:p>
    <w:p>
      <w:pPr>
        <w:pStyle w:val="Compact"/>
        <w:numPr>
          <w:ilvl w:val="0"/>
          <w:numId w:val="1002"/>
        </w:numPr>
      </w:pPr>
      <w:r>
        <w:rPr>
          <w:lang w:val="es-ES"/>
        </w:rPr>
        <w:t xml:space="preserve">eliminación de archivos temporales e incrustaciones al final de la solicitud;</w:t>
      </w:r>
    </w:p>
    <w:p>
      <w:pPr>
        <w:pStyle w:val="Compact"/>
        <w:numPr>
          <w:ilvl w:val="0"/>
          <w:numId w:val="1002"/>
        </w:numPr>
      </w:pPr>
      <w:r>
        <w:rPr>
          <w:lang w:val="es-ES"/>
        </w:rPr>
        <w:t xml:space="preserve">limpieza en bloques de final de procesamiento, incluidos mecanismos de aplicación del tipo </w:t>
      </w:r>
      <w:r>
        <w:rPr>
          <w:lang w:val="es-ES"/>
        </w:rPr>
        <w:t xml:space="preserve"/>
      </w:r>
      <w:r>
        <w:rPr>
          <w:rStyle w:val="VerbatimChar"/>
          <w:lang w:val="es-ES"/>
        </w:rPr>
        <w:t xml:space="preserve">finally</w:t>
      </w:r>
      <w:r>
        <w:rPr>
          <w:lang w:val="es-ES"/>
        </w:rPr>
        <w:t xml:space="preserve">;</w:t>
      </w:r>
      <w:r>
        <w:rPr>
          <w:lang w:val="es-ES"/>
        </w:rPr>
        <w:t xml:space="preserve"/>
      </w:r>
    </w:p>
    <w:p>
      <w:pPr>
        <w:pStyle w:val="Compact"/>
        <w:numPr>
          <w:ilvl w:val="0"/>
          <w:numId w:val="1002"/>
        </w:numPr>
      </w:pPr>
      <w:r>
        <w:rPr>
          <w:lang w:val="es-ES"/>
        </w:rPr>
        <w:t xml:space="preserve">ausencia de uso de embeddings vocales para entrenar modelos propios;</w:t>
      </w:r>
    </w:p>
    <w:p>
      <w:pPr>
        <w:pStyle w:val="Compact"/>
        <w:numPr>
          <w:ilvl w:val="0"/>
          <w:numId w:val="1002"/>
        </w:numPr>
      </w:pPr>
      <w:r>
        <w:rPr>
          <w:lang w:val="es-ES"/>
        </w:rPr>
        <w:t xml:space="preserve">validación humana obligatoria de sugerencias antes de la atribución definitiva del nombre de un orador;</w:t>
      </w:r>
    </w:p>
    <w:p>
      <w:pPr>
        <w:pStyle w:val="Compact"/>
        <w:numPr>
          <w:ilvl w:val="0"/>
          <w:numId w:val="1002"/>
        </w:numPr>
      </w:pPr>
      <w:r>
        <w:rPr>
          <w:lang w:val="es-ES"/>
        </w:rPr>
        <w:t xml:space="preserve">registro limitado a eventos técnicos necesarios;</w:t>
      </w:r>
    </w:p>
    <w:p>
      <w:pPr>
        <w:pStyle w:val="Compact"/>
        <w:numPr>
          <w:ilvl w:val="0"/>
          <w:numId w:val="1002"/>
        </w:numPr>
      </w:pPr>
      <w:r>
        <w:rPr>
          <w:lang w:val="es-ES"/>
        </w:rPr>
        <w:t xml:space="preserve">limpieza o reducción de registros para evitar el registro de huellas dactilares, vectores o extractos de voz innecesarios;</w:t>
      </w:r>
    </w:p>
    <w:p>
      <w:pPr>
        <w:pStyle w:val="Compact"/>
        <w:numPr>
          <w:ilvl w:val="0"/>
          <w:numId w:val="1002"/>
        </w:numPr>
      </w:pPr>
      <w:r>
        <w:rPr>
          <w:lang w:val="es-ES"/>
        </w:rPr>
        <w:t xml:space="preserve">separación de la tramitación por inquilino;</w:t>
      </w:r>
    </w:p>
    <w:p>
      <w:pPr>
        <w:pStyle w:val="Compact"/>
        <w:numPr>
          <w:ilvl w:val="0"/>
          <w:numId w:val="1002"/>
        </w:numPr>
      </w:pPr>
      <w:r>
        <w:rPr>
          <w:lang w:val="es-ES"/>
        </w:rPr>
        <w:t xml:space="preserve">restricción de acceso a trabajadores y salidas técnicas;</w:t>
      </w:r>
    </w:p>
    <w:p>
      <w:pPr>
        <w:pStyle w:val="Compact"/>
        <w:numPr>
          <w:ilvl w:val="0"/>
          <w:numId w:val="1002"/>
        </w:numPr>
      </w:pPr>
      <w:r>
        <w:rPr>
          <w:lang w:val="es-ES"/>
        </w:rPr>
        <w:t xml:space="preserve">posibilidad de desactivar la funcionalidad a petición del Cliente o mediante configuración contractual;</w:t>
      </w:r>
    </w:p>
    <w:p>
      <w:pPr>
        <w:pStyle w:val="Compact"/>
        <w:numPr>
          <w:ilvl w:val="0"/>
          <w:numId w:val="1002"/>
        </w:numPr>
      </w:pPr>
      <w:r>
        <w:rPr>
          <w:lang w:val="es-ES"/>
        </w:rPr>
        <w:t xml:space="preserve">selección de recursos GPU ubicados en la Unión Europea o el Espacio Económico Europeo cuando sea necesario.</w:t>
      </w:r>
    </w:p>
    <w:bookmarkEnd w:id="48"/>
    <w:bookmarkStart w:id="49" w:name="X8d3f7f3be17794b9be1f1d0b8843374971aee37"/>
    <w:p>
      <w:pPr>
        <w:pStyle w:val="Heading3"/>
        <w:keepNext/>
        <w:keepLines/>
      </w:pPr>
      <w:r>
        <w:rPr>
          <w:color w:val="000000"/>
          <w:lang w:val="es-ES"/>
        </w:rPr>
        <w:t xml:space="preserve">10. Formación y confidencialidad interna</w:t>
      </w:r>
    </w:p>
    <w:p>
      <w:pPr>
        <w:pStyle w:val="FirstParagraph"/>
      </w:pPr>
      <w:r>
        <w:rPr>
          <w:lang w:val="es-ES"/>
        </w:rPr>
        <w:t xml:space="preserve">OHADJA sensibiliza a las personas autorizadas a intervenir en el Servicio sobre las obligaciones de confidencialidad, seguridad, protección de datos y cumplimiento de las instrucciones del Cliente.</w:t>
      </w:r>
    </w:p>
    <w:p>
      <w:pPr>
        <w:pStyle w:val="BodyText"/>
      </w:pPr>
      <w:r>
        <w:rPr>
          <w:lang w:val="es-ES"/>
        </w:rPr>
        <w:t xml:space="preserve">Las personas que tienen acceso a los Datos están sujetas a una obligación contractual o legal de confidencialidad.</w:t>
      </w:r>
    </w:p>
    <w:bookmarkEnd w:id="49"/>
    <w:bookmarkStart w:id="50" w:name="X408cde0b55e26358c4723208033e77fa9ba1b3e"/>
    <w:p>
      <w:pPr>
        <w:pStyle w:val="Heading3"/>
        <w:keepNext/>
        <w:keepLines/>
      </w:pPr>
      <w:r>
        <w:rPr>
          <w:color w:val="000000"/>
          <w:lang w:val="es-ES"/>
        </w:rPr>
        <w:t xml:space="preserve">11. Pruebas, seguimiento y mejora de los MTO</w:t>
      </w:r>
    </w:p>
    <w:p>
      <w:pPr>
        <w:pStyle w:val="FirstParagraph"/>
      </w:pPr>
      <w:r>
        <w:rPr>
          <w:lang w:val="es-ES"/>
        </w:rPr>
        <w:t xml:space="preserve">OHADJA implementa un procedimiento razonable para probar, analizar y evaluar periódicamente la eficacia de los MTO, de conformidad con el artículo 32.1.d de RGPD.</w:t>
      </w:r>
    </w:p>
    <w:p>
      <w:pPr>
        <w:pStyle w:val="BodyText"/>
      </w:pPr>
      <w:r>
        <w:rPr>
          <w:lang w:val="es-ES"/>
        </w:rPr>
        <w:t xml:space="preserve">Este procedimiento puede incluir revisiones de configuración, controles de acceso, seguimiento de errores, análisis de incidentes, pruebas de recuperación, revisiones de dependencias, correcciones de vulnerabilidades y mejora continua de las medidas de seguridad.</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bookmarkEnd w:id="50"/>
    <w:bookmarkEnd w:id="51"/>
    <w:bookmarkEnd w:id="52"/>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1.2-draft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