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6.png" ContentType="image/png"/>
  <Override PartName="/word/media/rId7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0d016d8dcf8a6157758ba28e359e61c058e847f"/>
    <w:p>
      <w:pPr>
        <w:pStyle w:val="Title"/>
        <w:keepNext/>
        <w:keepLines/>
      </w:pPr>
      <w:r>
        <w:rPr>
          <w:color w:val="000000"/>
          <w:lang w:val="es-ES"/>
        </w:rPr>
        <w:t xml:space="preserve">TranscribIA — RGPD recopilación y protección de datos</w:t>
      </w:r>
    </w:p>
    <w:p>
      <w:pPr>
        <w:pStyle w:val="BodyText"/>
      </w:pPr>
      <w:r>
        <w:rPr>
          <w:lang w:val="es-ES"/>
        </w:rPr>
        <w:t xml:space="preserve">Edición localizada v1.1 — 2026-10-17</w:t>
      </w:r>
    </w:p>
    <w:p>
      <w:pPr>
        <w:pStyle w:val="BodyText"/>
      </w:pPr>
      <w:r>
        <w:rPr>
          <w:lang w:val="es-ES"/>
        </w:rPr>
        <w:t xml:space="preserve">El texto francés prevalece. Esta edición abarca Francia, Irlanda, los Países Bajos, España y Portugal. El idioma no determina el país de implantación, las partes ni la ley aplicable. Lea el anexo nacional al final del documento según el país y el uso reales.</w:t>
      </w:r>
    </w:p>
    <w:p>
      <w:pPr>
        <w:pStyle w:val="FirstParagraph"/>
      </w:pPr>
      <w:r>
        <w:rPr>
          <w:b/>
          <w:bCs/>
          <w:lang w:val="es-ES"/>
        </w:rPr>
        <w:t xml:space="preserve">Editorial: OHADJA </w:t>
      </w:r>
      <w:r>
        <w:rPr>
          <w:lang w:val="es-ES"/>
        </w:rPr>
        <w:t xml:space="preserve"/>
      </w:r>
      <w:r>
        <w:rPr>
          <w:lang w:val="es-ES"/>
        </w:rPr>
        <w:t xml:space="preserve">— SAS, 992 146 480 R.C.S. París, 60 rue François Ier, 75008 París · Contacto de protección de datos: </w:t>
      </w:r>
      <w:r>
        <w:rPr>
          <w:lang w:val="es-ES"/>
        </w:rPr>
        <w:t xml:space="preserve"/>
      </w:r>
      <w:hyperlink r:id="rId9">
        <w:r>
          <w:rPr>
            <w:rStyle w:val="Hyperlink"/>
            <w:lang w:val="es-ES"/>
          </w:rPr>
          <w:t xml:space="preserve">privacy@transcribia.eu</w:t>
        </w:r>
      </w:hyperlink>
    </w:p>
    <w:p>
      <w:pPr>
        <w:pStyle w:val="BodyText"/>
      </w:pPr>
      <w:r>
        <w:rPr>
          <w:i/>
          <w:iCs/>
          <w:lang w:val="es-ES"/>
        </w:rPr>
        <w:t xml:space="preserve">Colección versión 1.0 del 25/07/2026 — Pública. Cada capítulo también está disponible como un documento separado a pedido.</w:t>
      </w:r>
    </w:p>
    <w:p>
      <w:r>
        <w:br w:type="page"/>
      </w:r>
    </w:p>
    <w:bookmarkEnd w:id="10"/>
    <w:bookmarkStart w:id="26" w:name="fiche-de-conformité-rgpd--transcribia"/>
    <w:p>
      <w:pPr>
        <w:pStyle w:val="Heading1"/>
        <w:keepNext/>
        <w:keepLines/>
      </w:pPr>
      <w:r>
        <w:rPr>
          <w:color w:val="000000"/>
          <w:lang w:val="es-ES"/>
        </w:rPr>
        <w:t xml:space="preserve">Hoja de conformidad RGPD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Referencia</w:t>
            </w:r>
          </w:p>
        </w:tc>
        <w:tc>
          <w:tcPr/>
          <w:p>
            <w:pPr>
              <w:pStyle w:val="Compact"/>
            </w:pPr>
            <w:r>
              <w:rPr>
                <w:lang w:val="es-ES"/>
              </w:rPr>
              <w:t xml:space="preserve">TRB-CONF-01.01</w:t>
            </w:r>
          </w:p>
        </w:tc>
      </w:tr>
      <w:tr>
        <w:trPr>
          <w:cantSplit/>
        </w:trPr>
        <w:tc>
          <w:tcPr/>
          <w:p>
            <w:pPr>
              <w:pStyle w:val="Compact"/>
            </w:pPr>
            <w:r>
              <w:rPr>
                <w:lang w:val="es-ES"/>
              </w:rPr>
              <w:t xml:space="preserve">Versión</w:t>
            </w:r>
          </w:p>
        </w:tc>
        <w:tc>
          <w:tcPr/>
          <w:p>
            <w:pPr>
              <w:pStyle w:val="Compact"/>
            </w:pPr>
            <w:r>
              <w:rPr>
                <w:lang w:val="es-ES"/>
              </w:rPr>
              <w:t xml:space="preserve">1.0</w:t>
            </w:r>
          </w:p>
        </w:tc>
      </w:tr>
      <w:tr>
        <w:trPr>
          <w:cantSplit/>
        </w:trPr>
        <w:tc>
          <w:tcPr/>
          <w:p>
            <w:pPr>
              <w:pStyle w:val="Compact"/>
            </w:pPr>
            <w:r>
              <w:rPr>
                <w:lang w:val="es-ES"/>
              </w:rPr>
              <w:t xml:space="preserve">Fecha</w:t>
            </w:r>
          </w:p>
        </w:tc>
        <w:tc>
          <w:tcPr/>
          <w:p>
            <w:pPr>
              <w:pStyle w:val="Compact"/>
            </w:pPr>
            <w:r>
              <w:rPr>
                <w:lang w:val="es-ES"/>
              </w:rPr>
              <w:t xml:space="preserve">2026-07-24</w:t>
            </w:r>
          </w:p>
        </w:tc>
      </w:tr>
      <w:tr>
        <w:trPr>
          <w:cantSplit/>
        </w:trPr>
        <w:tc>
          <w:tcPr/>
          <w:p>
            <w:pPr>
              <w:pStyle w:val="Compact"/>
            </w:pPr>
            <w:r>
              <w:rPr>
                <w:lang w:val="es-ES"/>
              </w:rPr>
              <w:t xml:space="preserve">Redactor</w:t>
            </w:r>
          </w:p>
        </w:tc>
        <w:tc>
          <w:tcPr/>
          <w:p>
            <w:pPr>
              <w:pStyle w:val="Compact"/>
            </w:pPr>
            <w:r>
              <w:rPr>
                <w:lang w:val="es-ES"/>
              </w:rPr>
              <w:t xml:space="preserve">OHADJA</w:t>
            </w:r>
          </w:p>
        </w:tc>
      </w:tr>
      <w:tr>
        <w:trPr>
          <w:cantSplit/>
        </w:trPr>
        <w:tc>
          <w:tcPr/>
          <w:p>
            <w:pPr>
              <w:pStyle w:val="Compact"/>
            </w:pPr>
            <w:r>
              <w:rPr>
                <w:lang w:val="es-ES"/>
              </w:rPr>
              <w:t xml:space="preserve">Clasificación</w:t>
            </w:r>
          </w:p>
        </w:tc>
        <w:tc>
          <w:tcPr/>
          <w:p>
            <w:pPr>
              <w:pStyle w:val="Compact"/>
            </w:pPr>
            <w:r>
              <w:rPr>
                <w:lang w:val="es-ES"/>
              </w:rPr>
              <w:t xml:space="preserve">Público: documento estándar, especificado durante cada contratación.</w:t>
            </w:r>
          </w:p>
        </w:tc>
      </w:tr>
    </w:tbl>
    <w:bookmarkStart w:id="11" w:name="Xc917c513d777cae8fbc2f368313a6eca76788e1"/>
    <w:p>
      <w:pPr>
        <w:pStyle w:val="Heading2"/>
        <w:keepNext/>
        <w:keepLines/>
      </w:pPr>
      <w:r>
        <w:rPr>
          <w:color w:val="000000"/>
          <w:lang w:val="es-ES"/>
        </w:rPr>
        <w:t xml:space="preserve">1. Objeto y alcance del documento</w:t>
      </w:r>
    </w:p>
    <w:p>
      <w:pPr>
        <w:pStyle w:val="FirstParagraph"/>
      </w:pPr>
      <w:r>
        <w:rPr>
          <w:lang w:val="es-ES"/>
        </w:rPr>
        <w:t xml:space="preserve">Esta hoja describe cómo la solución TranscribIA, publicada y operada por OHADJA, está diseñada para permitir a su organización utilizar un servicio de transcripción de audio inteligente de conformidad con el Reglamento (UE) 2016/679 (en adelante “RGPD”) y la Ley N° 78-17 de 6 de enero de 1978 modificada.</w:t>
      </w:r>
    </w:p>
    <w:p>
      <w:pPr>
        <w:pStyle w:val="BodyText"/>
      </w:pPr>
      <w:r>
        <w:rPr>
          <w:lang w:val="es-ES"/>
        </w:rPr>
        <w:t xml:space="preserve">Resume, para uso de sus departamentos comerciales, departamento de TI, CISO y su persona de contacto para protección de datos, los elementos de cumplimiento útiles para el análisis previo a la contractualización: roles de las partes, datos procesados, bases legales, ejercicio de derechos individuales, medidas de seguridad, uso de subencargados del tratamiento, localización de datos y gestión de violaciones.</w:t>
      </w:r>
    </w:p>
    <w:p>
      <w:pPr>
        <w:pStyle w:val="BodyText"/>
      </w:pPr>
      <w:r>
        <w:rPr>
          <w:lang w:val="es-ES"/>
        </w:rPr>
        <w:t xml:space="preserve">No reemplaza los documentos contractuales. Los compromisos legalmente exigibles aparecen en el Acuerdo de encargo del tratamiento en el sentido del artículo 28 del RGPD (en adelante, el “DPA”), reproducido en el documento TRB-CONF-01.02, cuyos anexos son auténticos para la descripción detallada del tratamiento, la relación de subencargados del tratamiento y las medidas técnicas y organizativas.</w:t>
      </w:r>
    </w:p>
    <w:bookmarkEnd w:id="11"/>
    <w:bookmarkStart w:id="12" w:name="X7385a4187a8980a6e5daf7ab4330baa13b2ad55"/>
    <w:p>
      <w:pPr>
        <w:pStyle w:val="Heading2"/>
        <w:keepNext/>
        <w:keepLines/>
      </w:pPr>
      <w:r>
        <w:rPr>
          <w:color w:val="000000"/>
          <w:lang w:val="es-ES"/>
        </w:rPr>
        <w:t xml:space="preserve">2. Identidad de encargado del tratamiento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Denominación</w:t>
            </w:r>
          </w:p>
        </w:tc>
        <w:tc>
          <w:tcPr/>
          <w:p>
            <w:pPr>
              <w:pStyle w:val="Compact"/>
            </w:pPr>
            <w:r>
              <w:rPr>
                <w:lang w:val="es-ES"/>
              </w:rPr>
              <w:t xml:space="preserve">OHADJA</w:t>
            </w:r>
          </w:p>
        </w:tc>
      </w:tr>
      <w:tr>
        <w:trPr>
          <w:cantSplit/>
        </w:trPr>
        <w:tc>
          <w:tcPr/>
          <w:p>
            <w:pPr>
              <w:pStyle w:val="Compact"/>
            </w:pPr>
            <w:r>
              <w:rPr>
                <w:lang w:val="es-ES"/>
              </w:rPr>
              <w:t xml:space="preserve">forma jurídica</w:t>
            </w:r>
          </w:p>
        </w:tc>
        <w:tc>
          <w:tcPr/>
          <w:p>
            <w:pPr>
              <w:pStyle w:val="Compact"/>
            </w:pPr>
            <w:r>
              <w:rPr>
                <w:lang w:val="es-ES"/>
              </w:rPr>
              <w:t xml:space="preserve">Société par actions simplifiée (SAS), forma jurídica francesa</w:t>
            </w:r>
          </w:p>
        </w:tc>
      </w:tr>
      <w:tr>
        <w:trPr>
          <w:cantSplit/>
        </w:trPr>
        <w:tc>
          <w:tcPr/>
          <w:p>
            <w:pPr>
              <w:pStyle w:val="Compact"/>
            </w:pPr>
            <w:r>
              <w:rPr>
                <w:lang w:val="es-ES"/>
              </w:rPr>
              <w:t xml:space="preserve">Número de IVA intracomunitario</w:t>
            </w:r>
          </w:p>
        </w:tc>
        <w:tc>
          <w:tcPr/>
          <w:p>
            <w:pPr>
              <w:pStyle w:val="Compact"/>
            </w:pPr>
            <w:r>
              <w:rPr>
                <w:lang w:val="es-ES"/>
              </w:rPr>
              <w:t xml:space="preserve">FR78992146480</w:t>
            </w:r>
          </w:p>
        </w:tc>
      </w:tr>
      <w:tr>
        <w:trPr>
          <w:cantSplit/>
        </w:trPr>
        <w:tc>
          <w:tcPr/>
          <w:p>
            <w:pPr>
              <w:pStyle w:val="Compact"/>
            </w:pPr>
            <w:r>
              <w:rPr>
                <w:lang w:val="es-ES"/>
              </w:rPr>
              <w:t xml:space="preserve">Registro</w:t>
            </w:r>
          </w:p>
        </w:tc>
        <w:tc>
          <w:tcPr/>
          <w:p>
            <w:pPr>
              <w:pStyle w:val="Compact"/>
            </w:pPr>
            <w:r>
              <w:rPr>
                <w:lang w:val="es-ES"/>
              </w:rPr>
              <w:t xml:space="preserve">992 146 480 R.C.S. París — SIRET de la sede: 992 146 480 00015</w:t>
            </w:r>
          </w:p>
        </w:tc>
      </w:tr>
      <w:tr>
        <w:trPr>
          <w:cantSplit/>
        </w:trPr>
        <w:tc>
          <w:tcPr/>
          <w:p>
            <w:pPr>
              <w:pStyle w:val="Compact"/>
            </w:pPr>
            <w:r>
              <w:rPr>
                <w:lang w:val="es-ES"/>
              </w:rPr>
              <w:t xml:space="preserve">Oficina central</w:t>
            </w:r>
          </w:p>
        </w:tc>
        <w:tc>
          <w:tcPr/>
          <w:p>
            <w:pPr>
              <w:pStyle w:val="Compact"/>
            </w:pPr>
            <w:r>
              <w:rPr>
                <w:lang w:val="es-ES"/>
              </w:rPr>
              <w:t xml:space="preserve">60 rue François 1er, 75008 París, Francia</w:t>
            </w:r>
          </w:p>
        </w:tc>
      </w:tr>
      <w:tr>
        <w:trPr>
          <w:cantSplit/>
        </w:trPr>
        <w:tc>
          <w:tcPr/>
          <w:p>
            <w:pPr>
              <w:pStyle w:val="Compact"/>
            </w:pPr>
            <w:r>
              <w:rPr>
                <w:lang w:val="es-ES"/>
              </w:rPr>
              <w:t xml:space="preserve">Representante legal</w:t>
            </w:r>
          </w:p>
        </w:tc>
        <w:tc>
          <w:tcPr/>
          <w:p>
            <w:pPr>
              <w:pStyle w:val="Compact"/>
            </w:pPr>
            <w:r>
              <w:rPr>
                <w:lang w:val="es-ES"/>
              </w:rPr>
              <w:t xml:space="preserve">Olivier Dupont, presidente</w:t>
            </w:r>
          </w:p>
        </w:tc>
      </w:tr>
      <w:tr>
        <w:trPr>
          <w:cantSplit/>
        </w:trPr>
        <w:tc>
          <w:tcPr/>
          <w:p>
            <w:pPr>
              <w:pStyle w:val="Compact"/>
            </w:pPr>
            <w:r>
              <w:rPr>
                <w:lang w:val="es-ES"/>
              </w:rPr>
              <w:t xml:space="preserve">Rol</w:t>
            </w:r>
          </w:p>
        </w:tc>
        <w:tc>
          <w:tcPr/>
          <w:p>
            <w:pPr>
              <w:pStyle w:val="Compact"/>
            </w:pPr>
            <w:r>
              <w:rPr>
                <w:lang w:val="es-ES"/>
              </w:rPr>
              <w:t xml:space="preserve">Editor y desarrollador del software TranscribIA y encargado del tratamiento en el sentido del artículo 28 de RGPD para operación, soporte y mantenimiento de SaaS.</w:t>
            </w:r>
          </w:p>
        </w:tc>
      </w:tr>
      <w:tr>
        <w:trPr>
          <w:cantSplit/>
        </w:trPr>
        <w:tc>
          <w:tcPr/>
          <w:p>
            <w:pPr>
              <w:pStyle w:val="Compact"/>
            </w:pPr>
            <w:r>
              <w:rPr>
                <w:lang w:val="es-ES"/>
              </w:rPr>
              <w:t xml:space="preserve">Persona de contacto para protección de datos</w:t>
            </w:r>
          </w:p>
        </w:tc>
        <w:tc>
          <w:tcPr/>
          <w:p>
            <w:pPr>
              <w:pStyle w:val="Compact"/>
            </w:pPr>
            <w:r>
              <w:rPr>
                <w:lang w:val="es-ES"/>
              </w:rPr>
              <w:t xml:space="preserve">Olivier Dupont, Presidente </w:t>
            </w:r>
            <w:r>
              <w:rPr>
                <w:lang w:val="es-ES"/>
              </w:rPr>
              <w:t xml:space="preserve">— </w:t>
            </w:r>
            <w:hyperlink r:id="rId9">
              <w:r>
                <w:rPr>
                  <w:rStyle w:val="Hyperlink"/>
                  <w:lang w:val="es-ES"/>
                </w:rPr>
                <w:t xml:space="preserve">privacy@transcribia.eu</w:t>
              </w:r>
            </w:hyperlink>
          </w:p>
        </w:tc>
      </w:tr>
      <w:tr>
        <w:trPr>
          <w:cantSplit/>
        </w:trPr>
        <w:tc>
          <w:tcPr/>
          <w:p>
            <w:pPr>
              <w:pStyle w:val="Compact"/>
            </w:pPr>
            <w:r>
              <w:rPr>
                <w:lang w:val="es-ES"/>
              </w:rPr>
              <w:t xml:space="preserve">Contacto de cumplimiento y protección de datos</w:t>
            </w:r>
          </w:p>
        </w:tc>
        <w:tc>
          <w:tcPr/>
          <w:p>
            <w:pPr>
              <w:pStyle w:val="Compact"/>
            </w:pPr>
            <w:hyperlink r:id="rId9">
              <w:r>
                <w:rPr>
                  <w:rStyle w:val="Hyperlink"/>
                  <w:lang w:val="es-ES"/>
                </w:rPr>
                <w:t xml:space="preserve">privacy@transcribia.eu</w:t>
              </w:r>
            </w:hyperlink>
          </w:p>
        </w:tc>
      </w:tr>
    </w:tbl>
    <w:p>
      <w:pPr>
        <w:pStyle w:val="BodyText"/>
      </w:pPr>
      <w:r>
        <w:rPr>
          <w:b/>
          <w:bCs/>
          <w:lang w:val="es-ES"/>
        </w:rPr>
        <w:t xml:space="preserve">Papel de AMBASSADIA </w:t>
      </w:r>
      <w:r>
        <w:rPr>
          <w:lang w:val="es-ES"/>
        </w:rPr>
        <w:t xml:space="preserve">SARL. </w:t>
      </w:r>
      <w:r>
        <w:rPr>
          <w:lang w:val="es-ES"/>
        </w:rPr>
        <w:t xml:space="preserve">AMBASSADIA SARL (SARL con un capital de 50 000 €, administrador Olivier Dupont) interviene </w:t>
      </w:r>
      <w:r>
        <w:rPr>
          <w:lang w:val="es-ES"/>
        </w:rPr>
        <w:t xml:space="preserve">como </w:t>
      </w:r>
      <w:r>
        <w:rPr>
          <w:b/>
          <w:bCs/>
          <w:lang w:val="es-ES"/>
        </w:rPr>
        <w:t xml:space="preserve">revendedor y distribuidor comercial </w:t>
      </w:r>
      <w:r>
        <w:rPr>
          <w:lang w:val="es-ES"/>
        </w:rPr>
        <w:t xml:space="preserve"/>
      </w:r>
      <w:r>
        <w:rPr>
          <w:lang w:val="es-ES"/>
        </w:rPr>
        <w:t xml:space="preserve">de TranscribIA (Mónaco y Francia). Su papel es exclusivamente comercial: no </w:t>
      </w:r>
      <w:r>
        <w:rPr>
          <w:lang w:val="es-ES"/>
        </w:rPr>
        <w:t xml:space="preserve"/>
      </w:r>
      <w:r>
        <w:rPr>
          <w:b/>
          <w:bCs/>
          <w:lang w:val="es-ES"/>
        </w:rPr>
        <w:t xml:space="preserve">realiza ningún tratamiento de datos de producción por </w:t>
      </w:r>
      <w:r>
        <w:rPr>
          <w:lang w:val="es-ES"/>
        </w:rPr>
        <w:t xml:space="preserve">cuenta </w:t>
      </w:r>
      <w:r>
        <w:rPr>
          <w:lang w:val="es-ES"/>
        </w:rPr>
        <w:t xml:space="preserve">de los clientes [ámbito exacto pendiente de confirmar]. El dominio de producción </w:t>
      </w:r>
      <w:r>
        <w:rPr>
          <w:lang w:val="es-ES"/>
        </w:rPr>
        <w:t xml:space="preserve"/>
      </w:r>
      <w:r>
        <w:rPr>
          <w:rStyle w:val="VerbatimChar"/>
          <w:lang w:val="es-ES"/>
        </w:rPr>
        <w:t xml:space="preserve">client.transcribia.eu</w:t>
      </w:r>
      <w:r>
        <w:rPr>
          <w:lang w:val="es-ES"/>
        </w:rPr>
        <w:t xml:space="preserve"> </w:t>
      </w:r>
      <w:r>
        <w:rPr>
          <w:lang w:val="es-ES"/>
        </w:rPr>
        <w:t xml:space="preserve">sigue siendo un elemento operativo válido de la explotación SaaS a cargo de OHADJA.</w:t>
      </w:r>
    </w:p>
    <w:p>
      <w:pPr>
        <w:pStyle w:val="BodyText"/>
      </w:pPr>
      <w:r>
        <w:rPr>
          <w:lang w:val="es-ES"/>
        </w:rPr>
        <w:t xml:space="preserve">TranscribIA también es comercializado e integrado por Televic Conference France, como distribuidor e integrador. Televic no accede a los datos de producción de su organización, excepto a una cuenta de servicio que usted mismo haya creado explícitamente. La función de administración de Televic existe sólo en el entorno de demostración, nunca en la producción, y en ningún caso da acceso al contenido de las organizaciones (transcripciones, audio): se limita a la creación de estructuras y cuentas.</w:t>
      </w:r>
    </w:p>
    <w:bookmarkEnd w:id="12"/>
    <w:bookmarkStart w:id="13" w:name="X74f8a4f59682b637b8dd717c26f0614ac951509"/>
    <w:p>
      <w:pPr>
        <w:pStyle w:val="Heading2"/>
        <w:keepNext/>
        <w:keepLines/>
      </w:pPr>
      <w:r>
        <w:rPr>
          <w:color w:val="000000"/>
          <w:lang w:val="es-ES"/>
        </w:rPr>
        <w:t xml:space="preserve">3. Posicionamiento de las piezas: responsable del tratamiento y encargado del tratamiento</w:t>
      </w:r>
    </w:p>
    <w:p>
      <w:pPr>
        <w:pStyle w:val="FirstParagraph"/>
      </w:pPr>
      <w:r>
        <w:rPr>
          <w:lang w:val="es-ES"/>
        </w:rPr>
        <w:t xml:space="preserve">Su organización actúa como responsable </w:t>
      </w:r>
      <w:r>
        <w:rPr>
          <w:lang w:val="es-ES"/>
        </w:rPr>
        <w:t xml:space="preserve"/>
      </w:r>
      <w:r>
        <w:rPr>
          <w:b/>
          <w:bCs/>
          <w:lang w:val="es-ES"/>
        </w:rPr>
        <w:t xml:space="preserve">del tratamiento en el </w:t>
      </w:r>
      <w:r>
        <w:rPr>
          <w:lang w:val="es-ES"/>
        </w:rPr>
        <w:t xml:space="preserve"/>
      </w:r>
      <w:r>
        <w:rPr>
          <w:lang w:val="es-ES"/>
        </w:rPr>
        <w:t xml:space="preserve">sentido del artículo 4.7 del RGPD. Como tal, le corresponde determinar los fines y los medios esenciales de los tratamientos realizados mediante TranscribIA, definir la base jurídica de cada tratamiento, informar a los interesados, fijar los plazos de conservación aplicables a sus contenidos y llevar el registro previsto en el artículo 30.1.</w:t>
      </w:r>
    </w:p>
    <w:p>
      <w:pPr>
        <w:pStyle w:val="BodyText"/>
      </w:pPr>
      <w:r>
        <w:rPr>
          <w:lang w:val="es-ES"/>
        </w:rPr>
        <w:t xml:space="preserve">OHADJA actúa como encargado </w:t>
      </w:r>
      <w:r>
        <w:rPr>
          <w:lang w:val="es-ES"/>
        </w:rPr>
        <w:t xml:space="preserve"/>
      </w:r>
      <w:r>
        <w:rPr>
          <w:b/>
          <w:bCs/>
          <w:lang w:val="es-ES"/>
        </w:rPr>
        <w:t xml:space="preserve">del </w:t>
      </w:r>
      <w:r>
        <w:rPr>
          <w:lang w:val="es-ES"/>
        </w:rPr>
        <w:t xml:space="preserve">tratamiento </w:t>
      </w:r>
      <w:r>
        <w:rPr>
          <w:lang w:val="es-ES"/>
        </w:rPr>
        <w:t xml:space="preserve">en el sentido del artículo 4.8 del RGPD. Trata los datos personales únicamente por su cuenta, siguiendo sus instrucciones documentadas y dentro de los límites del contrato principal y del DPA. No determina ni los fines ni la base jurídica de los tratamientos que usted realiza mediante el servicio.</w:t>
      </w:r>
    </w:p>
    <w:p>
      <w:pPr>
        <w:pStyle w:val="BodyText"/>
      </w:pPr>
      <w:r>
        <w:rPr>
          <w:lang w:val="es-ES"/>
        </w:rPr>
        <w:t xml:space="preserve">Se prevén dos modos de suministro, de los que se desprende el ámbito exacto de responsabilidades:</w:t>
      </w:r>
    </w:p>
    <w:p>
      <w:pPr>
        <w:pStyle w:val="Compact"/>
        <w:numPr>
          <w:ilvl w:val="0"/>
          <w:numId w:val="1001"/>
        </w:numPr>
      </w:pPr>
      <w:r>
        <w:rPr>
          <w:b/>
          <w:bCs/>
          <w:lang w:val="es-ES"/>
        </w:rPr>
        <w:t xml:space="preserve">Opción A — SaaS soberano: </w:t>
      </w:r>
      <w:r>
        <w:rPr>
          <w:lang w:val="es-ES"/>
        </w:rPr>
        <w:t xml:space="preserve"/>
      </w:r>
      <w:r>
        <w:rPr>
          <w:lang w:val="es-ES"/>
        </w:rPr>
        <w:t xml:space="preserve">el servicio está alojado y operado por OHADJA en una infraestructura ubicada en Francia. OHADJA proporciona alojamiento, operación de aplicaciones, mantenimiento, supervisión, respaldos técnicos, actualizaciones y seguridad operativa.</w:t>
      </w:r>
    </w:p>
    <w:p>
      <w:pPr>
        <w:pStyle w:val="Compact"/>
        <w:numPr>
          <w:ilvl w:val="0"/>
          <w:numId w:val="1001"/>
        </w:numPr>
      </w:pPr>
      <w:r>
        <w:rPr>
          <w:b/>
          <w:bCs/>
          <w:lang w:val="es-ES"/>
        </w:rPr>
        <w:t xml:space="preserve">Opción B: local: la </w:t>
      </w:r>
      <w:r>
        <w:rPr>
          <w:lang w:val="es-ES"/>
        </w:rPr>
        <w:t xml:space="preserve"/>
      </w:r>
      <w:r>
        <w:rPr>
          <w:lang w:val="es-ES"/>
        </w:rPr>
        <w:t xml:space="preserve">solución se implementa en su propia infraestructura mediante contenedores Docker. Luego garantiza el alojamiento, la administración del sistema, la seguridad de la red, las copias de seguridad y la supervisión; OHADJA sigue siendo encargado del tratamiento únicamente para las operaciones que realmente realiza en su nombre (soporte, mantenimiento, actualizaciones de aplicaciones, acceso remoto autorizado).</w:t>
      </w:r>
    </w:p>
    <w:p>
      <w:pPr>
        <w:pStyle w:val="FirstParagraph"/>
      </w:pPr>
      <w:r>
        <w:rPr>
          <w:lang w:val="es-ES"/>
        </w:rPr>
        <w:t xml:space="preserve">El modo seleccionado se comprueba en el Anexo 1 de la DPA.</w:t>
      </w:r>
    </w:p>
    <w:bookmarkEnd w:id="13"/>
    <w:bookmarkStart w:id="14" w:name="X82c4d7b633db3a6681ea8d47fe4dc1e19a1c925"/>
    <w:p>
      <w:pPr>
        <w:pStyle w:val="Heading2"/>
        <w:keepNext/>
        <w:keepLines/>
      </w:pPr>
      <w:r>
        <w:rPr>
          <w:color w:val="000000"/>
          <w:lang w:val="es-ES"/>
        </w:rPr>
        <w:t xml:space="preserve">4. El servicio y tratamientos realizados</w:t>
      </w:r>
    </w:p>
    <w:p>
      <w:pPr>
        <w:pStyle w:val="FirstParagraph"/>
      </w:pPr>
      <w:r>
        <w:rPr>
          <w:lang w:val="es-ES"/>
        </w:rPr>
        <w:t xml:space="preserve">TranscribIA es una plataforma de transcripción de audio inteligente. El flujo funcional típico es el siguiente: carga de un archivo de audio, transcripción y diarización automática (separación de oradores), luego explotación asistida por inteligencia artificial (corrección, resumen, actas, capítulos, sugerencia de identificación de oradores) y exportación en formato Word.</w:t>
      </w:r>
    </w:p>
    <w:p>
      <w:pPr>
        <w:pStyle w:val="BodyText"/>
      </w:pPr>
      <w:r>
        <w:rPr>
          <w:lang w:val="es-ES"/>
        </w:rPr>
        <w:t xml:space="preserve">La descripción detallada del tratamiento (objeto, naturaleza, finalidades, operaciones por etapa del flujo de trabajo) aparece en el documento TRB-CONF-01.03 y en el Apéndice 1 del DPA.</w:t>
      </w:r>
    </w:p>
    <w:bookmarkEnd w:id="14"/>
    <w:bookmarkStart w:id="15" w:name="X196c226cd9710d8500b96808658c6e9d758e146"/>
    <w:p>
      <w:pPr>
        <w:pStyle w:val="Heading2"/>
        <w:keepNext/>
        <w:keepLines/>
      </w:pPr>
      <w:r>
        <w:rPr>
          <w:color w:val="000000"/>
          <w:lang w:val="es-ES"/>
        </w:rPr>
        <w:t xml:space="preserve">5. Categorías de datos y interesados</w:t>
      </w:r>
    </w:p>
    <w:p>
      <w:pPr>
        <w:pStyle w:val="FirstParagraph"/>
      </w:pPr>
      <w:r>
        <w:rPr>
          <w:lang w:val="es-ES"/>
        </w:rPr>
        <w:t xml:space="preserve">Las categorías de datos personales que probablemente se procesarán, según sus usos y los archivos que cargue, son las siguientes: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Categoría</w:t>
            </w:r>
          </w:p>
        </w:tc>
        <w:tc>
          <w:tcPr/>
          <w:p>
            <w:pPr>
              <w:pStyle w:val="Compact"/>
            </w:pPr>
            <w:r>
              <w:rPr>
                <w:lang w:val="es-ES"/>
              </w:rPr>
              <w:t xml:space="preserve">Ejemplos</w:t>
            </w:r>
          </w:p>
        </w:tc>
      </w:tr>
      <w:tr>
        <w:trPr>
          <w:cantSplit/>
        </w:trPr>
        <w:tc>
          <w:tcPr/>
          <w:p>
            <w:pPr>
              <w:pStyle w:val="Compact"/>
            </w:pPr>
            <w:r>
              <w:rPr>
                <w:lang w:val="es-ES"/>
              </w:rPr>
              <w:t xml:space="preserve">Grabaciones de audio y vídeo.</w:t>
            </w:r>
          </w:p>
        </w:tc>
        <w:tc>
          <w:tcPr/>
          <w:p>
            <w:pPr>
              <w:pStyle w:val="Compact"/>
            </w:pPr>
            <w:r>
              <w:rPr>
                <w:lang w:val="es-ES"/>
              </w:rPr>
              <w:t xml:space="preserve">Archivos MP3, wav, ogg, m4a, flac, webm, mp4, avi, mkv, mov, wmv subidos por sus usuarios</w:t>
            </w:r>
          </w:p>
        </w:tc>
      </w:tr>
      <w:tr>
        <w:trPr>
          <w:cantSplit/>
        </w:trPr>
        <w:tc>
          <w:tcPr/>
          <w:p>
            <w:pPr>
              <w:pStyle w:val="Compact"/>
            </w:pPr>
            <w:r>
              <w:rPr>
                <w:lang w:val="es-ES"/>
              </w:rPr>
              <w:t xml:space="preserve">Transcripciones</w:t>
            </w:r>
          </w:p>
        </w:tc>
        <w:tc>
          <w:tcPr/>
          <w:p>
            <w:pPr>
              <w:pStyle w:val="Compact"/>
            </w:pPr>
            <w:r>
              <w:rPr>
                <w:lang w:val="es-ES"/>
              </w:rPr>
              <w:t xml:space="preserve">Segmentos, marcas de tiempo, palabra por palabra, versiones, correcciones, capítulos, diarios</w:t>
            </w:r>
          </w:p>
        </w:tc>
      </w:tr>
      <w:tr>
        <w:trPr>
          <w:cantSplit/>
        </w:trPr>
        <w:tc>
          <w:tcPr/>
          <w:p>
            <w:pPr>
              <w:pStyle w:val="Compact"/>
            </w:pPr>
            <w:r>
              <w:rPr>
                <w:lang w:val="es-ES"/>
              </w:rPr>
              <w:t xml:space="preserve">Datos del hablante</w:t>
            </w:r>
          </w:p>
        </w:tc>
        <w:tc>
          <w:tcPr/>
          <w:p>
            <w:pPr>
              <w:pStyle w:val="Compact"/>
            </w:pPr>
            <w:r>
              <w:rPr>
                <w:lang w:val="es-ES"/>
              </w:rPr>
              <w:t xml:space="preserve">Nombres ingresados por sus usuarios, etiquetas de oradores, coincidencias propuestas y validadas</w:t>
            </w:r>
          </w:p>
        </w:tc>
      </w:tr>
      <w:tr>
        <w:trPr>
          <w:cantSplit/>
        </w:trPr>
        <w:tc>
          <w:tcPr/>
          <w:p>
            <w:pPr>
              <w:pStyle w:val="Compact"/>
            </w:pPr>
            <w:r>
              <w:rPr>
                <w:lang w:val="es-ES"/>
              </w:rPr>
              <w:t xml:space="preserve">Documentos preparatorios</w:t>
            </w:r>
          </w:p>
        </w:tc>
        <w:tc>
          <w:tcPr/>
          <w:p>
            <w:pPr>
              <w:pStyle w:val="Compact"/>
            </w:pPr>
            <w:r>
              <w:rPr>
                <w:lang w:val="es-ES"/>
              </w:rPr>
              <w:t xml:space="preserve">Agendas, actas pasadas, notas, PDF/DOCX, extracto de texto</w:t>
            </w:r>
          </w:p>
        </w:tc>
      </w:tr>
      <w:tr>
        <w:trPr>
          <w:cantSplit/>
        </w:trPr>
        <w:tc>
          <w:tcPr/>
          <w:p>
            <w:pPr>
              <w:pStyle w:val="Compact"/>
            </w:pPr>
            <w:r>
              <w:rPr>
                <w:lang w:val="es-ES"/>
              </w:rPr>
              <w:t xml:space="preserve">Metadatos de sesión</w:t>
            </w:r>
          </w:p>
        </w:tc>
        <w:tc>
          <w:tcPr/>
          <w:p>
            <w:pPr>
              <w:pStyle w:val="Compact"/>
            </w:pPr>
            <w:r>
              <w:rPr>
                <w:lang w:val="es-ES"/>
              </w:rPr>
              <w:t xml:space="preserve">Título, fecha, ubicación, tipo de sesión, estado, agenda, equipo, organización</w:t>
            </w:r>
          </w:p>
        </w:tc>
      </w:tr>
      <w:tr>
        <w:trPr>
          <w:cantSplit/>
        </w:trPr>
        <w:tc>
          <w:tcPr/>
          <w:p>
            <w:pPr>
              <w:pStyle w:val="Compact"/>
            </w:pPr>
            <w:r>
              <w:rPr>
                <w:lang w:val="es-ES"/>
              </w:rPr>
              <w:t xml:space="preserve">Cuentas de usuario</w:t>
            </w:r>
          </w:p>
        </w:tc>
        <w:tc>
          <w:tcPr/>
          <w:p>
            <w:pPr>
              <w:pStyle w:val="Compact"/>
            </w:pPr>
            <w:r>
              <w:rPr>
                <w:lang w:val="es-ES"/>
              </w:rPr>
              <w:t xml:space="preserve">Apellido, nombre si corresponde, dirección de correo electrónico, función, organización, equipo, tokens de acceso, fechas de conexión</w:t>
            </w:r>
          </w:p>
        </w:tc>
      </w:tr>
      <w:tr>
        <w:trPr>
          <w:cantSplit/>
        </w:trPr>
        <w:tc>
          <w:tcPr/>
          <w:p>
            <w:pPr>
              <w:pStyle w:val="Compact"/>
            </w:pPr>
            <w:r>
              <w:rPr>
                <w:lang w:val="es-ES"/>
              </w:rPr>
              <w:t xml:space="preserve">Registros de auditoría y seguimientos técnicos</w:t>
            </w:r>
          </w:p>
        </w:tc>
        <w:tc>
          <w:tcPr/>
          <w:p>
            <w:pPr>
              <w:pStyle w:val="Compact"/>
            </w:pPr>
            <w:r>
              <w:rPr>
                <w:lang w:val="es-ES"/>
              </w:rPr>
              <w:t xml:space="preserve">Identificadores de usuario, acciones, fechas, direcciones IP cuando se recopilan, eventos de la aplicación</w:t>
            </w:r>
          </w:p>
        </w:tc>
      </w:tr>
      <w:tr>
        <w:trPr>
          <w:cantSplit/>
        </w:trPr>
        <w:tc>
          <w:tcPr/>
          <w:p>
            <w:pPr>
              <w:pStyle w:val="Compact"/>
            </w:pPr>
            <w:r>
              <w:rPr>
                <w:lang w:val="es-ES"/>
              </w:rPr>
              <w:t xml:space="preserve">Generaciones de IA</w:t>
            </w:r>
          </w:p>
        </w:tc>
        <w:tc>
          <w:tcPr/>
          <w:p>
            <w:pPr>
              <w:pStyle w:val="Compact"/>
            </w:pPr>
            <w:r>
              <w:rPr>
                <w:lang w:val="es-ES"/>
              </w:rPr>
              <w:t xml:space="preserve">Indicaciones, fuentes seleccionadas, respuestas generadas, resúmenes, análisis, actas</w:t>
            </w:r>
          </w:p>
        </w:tc>
      </w:tr>
      <w:tr>
        <w:trPr>
          <w:cantSplit/>
        </w:trPr>
        <w:tc>
          <w:tcPr/>
          <w:p>
            <w:pPr>
              <w:pStyle w:val="Compact"/>
            </w:pPr>
            <w:r>
              <w:rPr>
                <w:lang w:val="es-ES"/>
              </w:rPr>
              <w:t xml:space="preserve">Datos de votación o asistencia, si están habilitados</w:t>
            </w:r>
          </w:p>
        </w:tc>
        <w:tc>
          <w:tcPr/>
          <w:p>
            <w:pPr>
              <w:pStyle w:val="Compact"/>
            </w:pPr>
            <w:r>
              <w:rPr>
                <w:lang w:val="es-ES"/>
              </w:rPr>
              <w:t xml:space="preserve">Presencias, ausencias, delegaciones, resultados de votaciones, calidad de los participantes</w:t>
            </w:r>
          </w:p>
        </w:tc>
      </w:tr>
      <w:tr>
        <w:trPr>
          <w:cantSplit/>
        </w:trPr>
        <w:tc>
          <w:tcPr/>
          <w:p>
            <w:pPr>
              <w:pStyle w:val="Compact"/>
            </w:pPr>
            <w:r>
              <w:rPr>
                <w:lang w:val="es-ES"/>
              </w:rPr>
              <w:t xml:space="preserve">Actuaciones vocales temporales</w:t>
            </w:r>
          </w:p>
        </w:tc>
        <w:tc>
          <w:tcPr/>
          <w:p>
            <w:pPr>
              <w:pStyle w:val="Compact"/>
            </w:pPr>
            <w:r>
              <w:rPr>
                <w:lang w:val="es-ES"/>
              </w:rPr>
              <w:t xml:space="preserve">Características de voz calculadas en RAM para correlación de voz, destruidas al final de la solicitud</w:t>
            </w:r>
          </w:p>
        </w:tc>
      </w:tr>
    </w:tbl>
    <w:p>
      <w:pPr>
        <w:pStyle w:val="BodyText"/>
      </w:pPr>
      <w:r>
        <w:rPr>
          <w:lang w:val="es-ES"/>
        </w:rPr>
        <w:t xml:space="preserve">Las categorías de personas afectadas incluyen en particular a sus usuarios (agentes, empleados, cargos electos, profesionales, abogados, notarios, profesores, periodistas), los oradores cuya voz se captura en los archivos cargados, las personas mencionadas en las reuniones, transcripciones o documentos, así como los contactos institucionales invitados.</w:t>
      </w:r>
    </w:p>
    <w:p>
      <w:pPr>
        <w:pStyle w:val="BodyText"/>
      </w:pPr>
      <w:r>
        <w:rPr>
          <w:b/>
          <w:bCs/>
          <w:lang w:val="es-ES"/>
        </w:rPr>
        <w:t xml:space="preserve">Punto de atención — datos sensibles y diarización. </w:t>
      </w:r>
      <w:r>
        <w:rPr>
          <w:lang w:val="es-ES"/>
        </w:rPr>
        <w:t xml:space="preserve"/>
      </w:r>
      <w:r>
        <w:rPr>
          <w:lang w:val="es-ES"/>
        </w:rPr>
        <w:t xml:space="preserve">La diarización posicional produce etiquetas como «Speaker 1», «Speaker 2»; siguen siendo datos personales cuando pueden vincularse a una persona en la grabación o mediante otra información. La ausencia de conservación de una plantilla no permite, por sí sola, excluir la biometría. La finalidad y los medios técnicos deben examinarse a la luz de los artículos 4.14 y 9. La correlación vocal opcional se describe en la sección 12. El Cliente también debe evaluar las categorías especiales presentes en el contenido, en particular los datos de salud, las opiniones políticas y la afiliación sindical.</w:t>
      </w:r>
    </w:p>
    <w:bookmarkEnd w:id="15"/>
    <w:bookmarkStart w:id="16" w:name="X4246085d3a0efd15658df0498ecbe9d34ede845"/>
    <w:p>
      <w:pPr>
        <w:pStyle w:val="Heading2"/>
        <w:keepNext/>
        <w:keepLines/>
      </w:pPr>
      <w:r>
        <w:rPr>
          <w:color w:val="000000"/>
          <w:lang w:val="es-ES"/>
        </w:rPr>
        <w:t xml:space="preserve">6. Bases jurídicas</w:t>
      </w:r>
    </w:p>
    <w:p>
      <w:pPr>
        <w:pStyle w:val="FirstParagraph"/>
      </w:pPr>
      <w:r>
        <w:rPr>
          <w:lang w:val="es-ES"/>
        </w:rPr>
        <w:t xml:space="preserve">Su organización, como responsable del tratamiento, determina la base </w:t>
      </w:r>
      <w:r>
        <w:rPr>
          <w:lang w:val="es-ES"/>
        </w:rPr>
        <w:t xml:space="preserve"/>
      </w:r>
      <w:r>
        <w:rPr>
          <w:b/>
          <w:bCs/>
          <w:lang w:val="es-ES"/>
        </w:rPr>
        <w:t xml:space="preserve">jurídica de cada tratamiento realizado </w:t>
      </w:r>
      <w:r>
        <w:rPr>
          <w:lang w:val="es-ES"/>
        </w:rPr>
        <w:t xml:space="preserve">mediante TranscribIA en función de su contexto profesional y su registro de actividades de tratamiento. Según el caso, podrá ampararse en el artículo 6.1 del RGPD (misión de interés público o ejercicio de poderes públicos para una administración local, obligación legal, ejecución de un contrato, interés legítimo o consentimiento).</w:t>
      </w:r>
    </w:p>
    <w:p>
      <w:pPr>
        <w:pStyle w:val="BodyText"/>
      </w:pPr>
      <w:r>
        <w:rPr>
          <w:lang w:val="es-ES"/>
        </w:rPr>
        <w:t xml:space="preserve">OHADJA no determina ninguna base jurídica ni realiza tratamientos por cuenta propia a partir de sus datos. También le corresponde a usted informar a los interesados y, cuando proceda, recabar su consentimiento.</w:t>
      </w:r>
    </w:p>
    <w:bookmarkEnd w:id="16"/>
    <w:bookmarkStart w:id="17" w:name="Xad34d28697945ad9da85f5bf29d3fa8a4f6e563"/>
    <w:p>
      <w:pPr>
        <w:pStyle w:val="Heading2"/>
        <w:keepNext/>
        <w:keepLines/>
      </w:pPr>
      <w:r>
        <w:rPr>
          <w:color w:val="000000"/>
          <w:lang w:val="es-ES"/>
        </w:rPr>
        <w:t xml:space="preserve">7. Derechos de las personas y términos concretos en el producto</w:t>
      </w:r>
    </w:p>
    <w:p>
      <w:pPr>
        <w:pStyle w:val="FirstParagraph"/>
      </w:pPr>
      <w:r>
        <w:rPr>
          <w:lang w:val="es-ES"/>
        </w:rPr>
        <w:t xml:space="preserve">Usted permanece responsable del tratamiento frente a solicitudes de ejercicio de derechos (artículos 12 a 22 de RGPD). TranscribIA te proporciona funcionalidades que te permitirán realizar un seguimiento concreto de esto:</w:t>
      </w:r>
    </w:p>
    <w:p>
      <w:pPr>
        <w:pStyle w:val="Compact"/>
        <w:numPr>
          <w:ilvl w:val="0"/>
          <w:numId w:val="1002"/>
        </w:numPr>
      </w:pPr>
      <w:r>
        <w:rPr>
          <w:b/>
          <w:bCs/>
          <w:lang w:val="es-ES"/>
        </w:rPr>
        <w:t xml:space="preserve">Derecho de acceso y rectificación (art. 15 y 16): </w:t>
      </w:r>
      <w:r>
        <w:rPr>
          <w:lang w:val="es-ES"/>
        </w:rPr>
        <w:t xml:space="preserve"/>
      </w:r>
      <w:r>
        <w:rPr>
          <w:lang w:val="es-ES"/>
        </w:rPr>
        <w:t xml:space="preserve">las transcripciones, metadatos e información del hablante pueden ser consultados y modificados mediante edición directa en la aplicación por sus usuarios autorizados.</w:t>
      </w:r>
    </w:p>
    <w:p>
      <w:pPr>
        <w:pStyle w:val="Compact"/>
        <w:numPr>
          <w:ilvl w:val="0"/>
          <w:numId w:val="1002"/>
        </w:numPr>
      </w:pPr>
      <w:r>
        <w:rPr>
          <w:b/>
          <w:bCs/>
          <w:lang w:val="es-ES"/>
        </w:rPr>
        <w:t xml:space="preserve">Derecho a la portabilidad (art. </w:t>
      </w:r>
      <w:r>
        <w:rPr>
          <w:lang w:val="es-ES"/>
        </w:rPr>
        <w:t xml:space="preserve"/>
      </w:r>
      <w:r>
        <w:rPr>
          <w:lang w:val="es-ES"/>
        </w:rPr>
        <w:t xml:space="preserve">20): está disponible una exportación completa por organización </w:t>
      </w:r>
      <w:r>
        <w:rPr>
          <w:lang w:val="es-ES"/>
        </w:rPr>
        <w:t xml:space="preserve"/>
      </w:r>
      <w:r>
        <w:rPr>
          <w:b/>
          <w:bCs/>
          <w:lang w:val="es-ES"/>
        </w:rPr>
        <w:t xml:space="preserve">en </w:t>
      </w:r>
      <w:r>
        <w:rPr>
          <w:lang w:val="es-ES"/>
        </w:rPr>
        <w:t xml:space="preserve"/>
      </w:r>
      <w:r>
        <w:rPr>
          <w:lang w:val="es-ES"/>
        </w:rPr>
        <w:t xml:space="preserve">autoservicio desde el menú Ajustes → Portabilidad. Produce un archivo </w:t>
      </w:r>
      <w:r>
        <w:rPr>
          <w:lang w:val="es-ES"/>
        </w:rPr>
        <w:t xml:space="preserve"/>
      </w:r>
      <w:r>
        <w:rPr>
          <w:rStyle w:val="VerbatimChar"/>
          <w:lang w:val="es-ES"/>
        </w:rPr>
        <w:t xml:space="preserve">.tar.gz</w:t>
      </w:r>
      <w:r>
        <w:rPr>
          <w:lang w:val="es-ES"/>
        </w:rPr>
        <w:t xml:space="preserve"> </w:t>
      </w:r>
      <w:r>
        <w:rPr>
          <w:lang w:val="es-ES"/>
        </w:rPr>
        <w:t xml:space="preserve">firmado en SHA-256 que contiene el esquema completo de su organización (sesiones, audio, transcripciones, generaciones de IA, votos, asistencia, diccionario, registro de actividad, usuarios).</w:t>
      </w:r>
    </w:p>
    <w:p>
      <w:pPr>
        <w:pStyle w:val="Compact"/>
        <w:numPr>
          <w:ilvl w:val="0"/>
          <w:numId w:val="1002"/>
        </w:numPr>
      </w:pPr>
      <w:r>
        <w:rPr>
          <w:b/>
          <w:bCs/>
          <w:lang w:val="es-ES"/>
        </w:rPr>
        <w:t xml:space="preserve">Derecho de supresión (art. 17): la </w:t>
      </w:r>
      <w:r>
        <w:rPr>
          <w:lang w:val="es-ES"/>
        </w:rPr>
        <w:t xml:space="preserve"/>
      </w:r>
      <w:r>
        <w:rPr>
          <w:lang w:val="es-ES"/>
        </w:rPr>
        <w:t xml:space="preserve">eliminación certificada está disponible desde la misma página. La solicitud se rastrea en los registros de auditoría, se ejecuta dentro del plazo legal mediante un flujo de trabajo de purga y da como resultado la emisión de </w:t>
      </w:r>
      <w:r>
        <w:rPr>
          <w:lang w:val="es-ES"/>
        </w:rPr>
        <w:t xml:space="preserve"/>
      </w:r>
      <w:r>
        <w:rPr>
          <w:b/>
          <w:bCs/>
          <w:lang w:val="es-ES"/>
        </w:rPr>
        <w:t xml:space="preserve">un certificado de </w:t>
      </w:r>
      <w:r>
        <w:rPr>
          <w:lang w:val="es-ES"/>
        </w:rPr>
        <w:t xml:space="preserve">eliminación.</w:t>
      </w:r>
    </w:p>
    <w:p>
      <w:pPr>
        <w:pStyle w:val="Compact"/>
        <w:numPr>
          <w:ilvl w:val="0"/>
          <w:numId w:val="1002"/>
        </w:numPr>
      </w:pPr>
      <w:r>
        <w:rPr>
          <w:b/>
          <w:bCs/>
          <w:lang w:val="es-ES"/>
        </w:rPr>
        <w:t xml:space="preserve">Derechos de limitación, oposición y relativos a la decisión automatizada: </w:t>
      </w:r>
      <w:r>
        <w:rPr>
          <w:lang w:val="es-ES"/>
        </w:rPr>
        <w:t xml:space="preserve"/>
      </w:r>
      <w:r>
        <w:rPr>
          <w:lang w:val="es-ES"/>
        </w:rPr>
        <w:t xml:space="preserve">OHADJA le asiste técnicamente en un plazo de siete (7) días hábiles a partir de una solicitud completa por escrito, de conformidad con el artículo 9 de la DPA.</w:t>
      </w:r>
    </w:p>
    <w:p>
      <w:pPr>
        <w:pStyle w:val="FirstParagraph"/>
      </w:pPr>
      <w:r>
        <w:rPr>
          <w:lang w:val="es-ES"/>
        </w:rPr>
        <w:t xml:space="preserve">Si OHADJA recibe directamente una solicitud de un interesado relacionada con sus datos, se la transmitirá lo antes posible y se abstendrá de responderla sustancialmente, a menos que tenga instrucciones documentadas o lo exija la ley.</w:t>
      </w:r>
    </w:p>
    <w:bookmarkEnd w:id="17"/>
    <w:bookmarkStart w:id="18" w:name="Xafbd96c4622a4e63c8dcca79de62f511187ddba"/>
    <w:p>
      <w:pPr>
        <w:pStyle w:val="Heading2"/>
        <w:keepNext/>
        <w:keepLines/>
      </w:pPr>
      <w:r>
        <w:rPr>
          <w:color w:val="000000"/>
          <w:lang w:val="es-ES"/>
        </w:rPr>
        <w:t xml:space="preserve">8. Medidas de seguridad (artículo 32 de RGPD) — resumen</w:t>
      </w:r>
    </w:p>
    <w:p>
      <w:pPr>
        <w:pStyle w:val="FirstParagraph"/>
      </w:pPr>
      <w:r>
        <w:rPr>
          <w:lang w:val="es-ES"/>
        </w:rPr>
        <w:t xml:space="preserve">OHADJA implementa medidas técnicas y organizativas apropiadas, detalladas en el Anexo 3 del DPA y el documento TRB-CONF-01.06. En resumen:</w:t>
      </w:r>
    </w:p>
    <w:p>
      <w:pPr>
        <w:pStyle w:val="Compact"/>
        <w:numPr>
          <w:ilvl w:val="0"/>
          <w:numId w:val="1003"/>
        </w:numPr>
      </w:pPr>
      <w:r>
        <w:rPr>
          <w:b/>
          <w:bCs/>
          <w:lang w:val="es-ES"/>
        </w:rPr>
        <w:t xml:space="preserve">Confidencialidad y cifrado: se </w:t>
      </w:r>
      <w:r>
        <w:rPr>
          <w:lang w:val="es-ES"/>
        </w:rPr>
        <w:t xml:space="preserve"/>
      </w:r>
      <w:r>
        <w:rPr>
          <w:lang w:val="es-ES"/>
        </w:rPr>
        <w:t xml:space="preserve">requiere TLS 1.2 o superior para todo acceso; cifrado de copias de seguridad antes de la subcontratación (age, X25519 + ChaCha20-Poly1305); secretos de autenticación de dos factores protegidos en AES-256-CBC; URL firmadas temporalmente (30 minutos) para transmisión de audio.</w:t>
      </w:r>
    </w:p>
    <w:p>
      <w:pPr>
        <w:pStyle w:val="Compact"/>
        <w:numPr>
          <w:ilvl w:val="0"/>
          <w:numId w:val="1003"/>
        </w:numPr>
      </w:pPr>
      <w:r>
        <w:rPr>
          <w:b/>
          <w:bCs/>
          <w:lang w:val="es-ES"/>
        </w:rPr>
        <w:t xml:space="preserve">Control de </w:t>
      </w:r>
      <w:r>
        <w:rPr>
          <w:lang w:val="es-ES"/>
        </w:rPr>
        <w:t xml:space="preserve">acceso: </w:t>
      </w:r>
      <w:r>
        <w:rPr>
          <w:lang w:val="es-ES"/>
        </w:rPr>
        <w:t xml:space="preserve">autenticación mediante tokens de Sanctum con hash en SHA-256; contraseñas en bcrypt (cuesta 12); Doble autenticación TOTP (RFC 6238) configurable por rol; control de acceso basado en roles de cinco niveles; confirmación de contraseña (step-up) en acciones destructivas.</w:t>
      </w:r>
    </w:p>
    <w:p>
      <w:pPr>
        <w:pStyle w:val="Compact"/>
        <w:numPr>
          <w:ilvl w:val="0"/>
          <w:numId w:val="1003"/>
        </w:numPr>
      </w:pPr>
      <w:r>
        <w:rPr>
          <w:b/>
          <w:bCs/>
          <w:lang w:val="es-ES"/>
        </w:rPr>
        <w:t xml:space="preserve">Aislamiento: </w:t>
      </w:r>
      <w:r>
        <w:rPr>
          <w:lang w:val="es-ES"/>
        </w:rPr>
        <w:t xml:space="preserve"/>
      </w:r>
      <w:r>
        <w:rPr>
          <w:lang w:val="es-ES"/>
        </w:rPr>
        <w:t xml:space="preserve">arquitectura multiinquilino con un esquema PostgreSQL dedicado por organización.</w:t>
      </w:r>
    </w:p>
    <w:p>
      <w:pPr>
        <w:pStyle w:val="Compact"/>
        <w:numPr>
          <w:ilvl w:val="0"/>
          <w:numId w:val="1003"/>
        </w:numPr>
      </w:pPr>
      <w:r>
        <w:rPr>
          <w:b/>
          <w:bCs/>
          <w:lang w:val="es-ES"/>
        </w:rPr>
        <w:t xml:space="preserve">Integridad: </w:t>
      </w:r>
      <w:r>
        <w:rPr>
          <w:lang w:val="es-ES"/>
        </w:rPr>
        <w:t xml:space="preserve"/>
      </w:r>
      <w:r>
        <w:rPr>
          <w:lang w:val="es-ES"/>
        </w:rPr>
        <w:t xml:space="preserve">análisis sistemático del antivirus ClamAV en cada carga; registros de auditoría por organización y a nivel de plataforma, exportables en CSV/JSON; política de seguridad de contenido (CSP) y CORS estricto.</w:t>
      </w:r>
    </w:p>
    <w:p>
      <w:pPr>
        <w:pStyle w:val="Compact"/>
        <w:numPr>
          <w:ilvl w:val="0"/>
          <w:numId w:val="1003"/>
        </w:numPr>
      </w:pPr>
      <w:r>
        <w:rPr>
          <w:b/>
          <w:bCs/>
          <w:lang w:val="es-ES"/>
        </w:rPr>
        <w:t xml:space="preserve">Disponibilidad y resiliencia: copias </w:t>
      </w:r>
      <w:r>
        <w:rPr>
          <w:lang w:val="es-ES"/>
        </w:rPr>
        <w:t xml:space="preserve"/>
      </w:r>
      <w:r>
        <w:rPr>
          <w:lang w:val="es-ES"/>
        </w:rPr>
        <w:t xml:space="preserve">de seguridad diarias cifradas, supervisión 24 horas al día, 7 días a la semana, reanudación automática de procesamiento bloqueado.</w:t>
      </w:r>
    </w:p>
    <w:bookmarkEnd w:id="18"/>
    <w:bookmarkStart w:id="19" w:name="X6544f44c0f7dbf53f7cb952b155c92fb5415a60"/>
    <w:p>
      <w:pPr>
        <w:pStyle w:val="Heading2"/>
        <w:keepNext/>
        <w:keepLines/>
      </w:pPr>
      <w:r>
        <w:rPr>
          <w:color w:val="000000"/>
          <w:lang w:val="es-ES"/>
        </w:rPr>
        <w:t xml:space="preserve">9. Subencargados del tratamiento</w:t>
      </w:r>
    </w:p>
    <w:p>
      <w:pPr>
        <w:pStyle w:val="FirstParagraph"/>
      </w:pPr>
      <w:r>
        <w:rPr>
          <w:lang w:val="es-ES"/>
        </w:rPr>
        <w:t xml:space="preserve">En </w:t>
      </w:r>
      <w:r>
        <w:rPr>
          <w:lang w:val="es-ES"/>
        </w:rPr>
        <w:t xml:space="preserve"/>
      </w:r>
      <w:r>
        <w:rPr>
          <w:b/>
          <w:bCs/>
          <w:lang w:val="es-ES"/>
        </w:rPr>
        <w:t xml:space="preserve">la Opción A </w:t>
      </w:r>
      <w:r>
        <w:rPr>
          <w:lang w:val="es-ES"/>
        </w:rPr>
        <w:t xml:space="preserve">(SaaS), OHADJA utiliza el autorizado subencargados del tratamiento cuyo listado, finalidades, ubicación y base contractual aparecen en el Apéndice 2 del </w:t>
      </w:r>
      <w:r>
        <w:rPr>
          <w:b/>
          <w:bCs/>
          <w:lang w:val="es-ES"/>
        </w:rPr>
        <w:t xml:space="preserve">DPA (documento </w:t>
      </w:r>
      <w:r>
        <w:rPr>
          <w:lang w:val="es-ES"/>
        </w:rPr>
        <w:t xml:space="preserve"/>
      </w:r>
      <w:r>
        <w:rPr>
          <w:lang w:val="es-ES"/>
        </w:rPr>
        <w:t xml:space="preserve">TRB-CONF-01.02). Incluyen en particular el host (Hostinger, centro de datos en Francia) y el almacenamiento de copias de seguridad cifradas (Scaleway, Francia). Las funciones de inteligencia artificial se ejecutan de forma predeterminada en una infraestructura de inferencia controlada por OHADJA en Europa (canal primario, pesos abiertos vLLM); La puerta de enlace OpenRouter y sus proveedores de modelos solo se utilizan como conmutación por error y la organización puede desactivarlos. Los recursos de GPU de transcripción completan esta lista.</w:t>
      </w:r>
    </w:p>
    <w:p>
      <w:pPr>
        <w:pStyle w:val="BodyText"/>
      </w:pPr>
      <w:r>
        <w:rPr>
          <w:lang w:val="es-ES"/>
        </w:rPr>
        <w:t xml:space="preserve">En </w:t>
      </w:r>
      <w:r>
        <w:rPr>
          <w:lang w:val="es-ES"/>
        </w:rPr>
        <w:t xml:space="preserve"/>
      </w:r>
      <w:r>
        <w:rPr>
          <w:b/>
          <w:bCs/>
          <w:lang w:val="es-ES"/>
        </w:rPr>
        <w:t xml:space="preserve">la opción B local aislada, </w:t>
      </w:r>
      <w:r>
        <w:rPr>
          <w:lang w:val="es-ES"/>
        </w:rPr>
        <w:t xml:space="preserve">no hay ningún subencargado del tratamiento o OHADJA involucrado en el procesamiento de sus datos: todos los componentes se ejecutan en su infraestructura.</w:t>
      </w:r>
    </w:p>
    <w:p>
      <w:pPr>
        <w:pStyle w:val="BodyText"/>
      </w:pPr>
      <w:r>
        <w:rPr>
          <w:lang w:val="es-ES"/>
        </w:rPr>
        <w:t xml:space="preserve">Cualquier incorporación o sustitución de subencargado del tratamiento le será notificada </w:t>
      </w:r>
      <w:r>
        <w:rPr>
          <w:lang w:val="es-ES"/>
        </w:rPr>
        <w:t xml:space="preserve">con </w:t>
      </w:r>
      <w:r>
        <w:rPr>
          <w:b/>
          <w:bCs/>
          <w:lang w:val="es-ES"/>
        </w:rPr>
        <w:t xml:space="preserve">al menos treinta </w:t>
      </w:r>
      <w:r>
        <w:rPr>
          <w:lang w:val="es-ES"/>
        </w:rPr>
        <w:t xml:space="preserve">(30) </w:t>
      </w:r>
      <w:r>
        <w:rPr>
          <w:lang w:val="es-ES"/>
        </w:rPr>
        <w:t xml:space="preserve">días naturales de antelación, con derecho a oposición motivada (artículo 6 de la DPA).</w:t>
      </w:r>
    </w:p>
    <w:bookmarkEnd w:id="19"/>
    <w:bookmarkStart w:id="20" w:name="Xe28e49365d38b643d833898626eccc572f6e84e"/>
    <w:p>
      <w:pPr>
        <w:pStyle w:val="Heading2"/>
        <w:keepNext/>
        <w:keepLines/>
      </w:pPr>
      <w:r>
        <w:rPr>
          <w:color w:val="000000"/>
          <w:lang w:val="es-ES"/>
        </w:rPr>
        <w:t xml:space="preserve">10. Localización de datos y transferencias fuera del EEE</w:t>
      </w:r>
    </w:p>
    <w:p>
      <w:pPr>
        <w:pStyle w:val="FirstParagraph"/>
      </w:pPr>
      <w:r>
        <w:rPr>
          <w:lang w:val="es-ES"/>
        </w:rPr>
        <w:t xml:space="preserve">En la opción A, los datos de producción se alojan en Francia (centro de datos de Estrasburgo) y las copias de seguridad se cifran y luego se almacenan en la Unión Europea. La ubicación detallada por categoría de datos aparece en el documento TRB-CONF-01.04.</w:t>
      </w:r>
    </w:p>
    <w:p>
      <w:pPr>
        <w:pStyle w:val="BodyText"/>
      </w:pPr>
      <w:r>
        <w:rPr>
          <w:b/>
          <w:bCs/>
          <w:lang w:val="es-ES"/>
        </w:rPr>
        <w:t xml:space="preserve">Divulgación justa sobre transferencias fuera del EEE (Opción </w:t>
      </w:r>
      <w:r>
        <w:rPr>
          <w:lang w:val="es-ES"/>
        </w:rPr>
        <w:t xml:space="preserve">A). </w:t>
      </w:r>
      <w:r>
        <w:rPr>
          <w:lang w:val="es-ES"/>
        </w:rPr>
        <w:t xml:space="preserve">De forma predeterminada, las funciones de inteligencia artificial se ejecutan en una infraestructura de inferencia controlada por OHADJA, alojada en Europa (vLLM open-weights): esta ruta principal no implica ninguna transferencia fuera del EEE. Una transferencia fuera del Espacio Económico Europeo sólo es posible de forma residual, cuando se solicita la copia de seguridad de OpenRouter (indisponibilidad de la ruta primaria) y no ha sido desactivada, pudiendo estos últimos utilizar proveedores modelo establecidos en Estados Unidos (por ejemplo Anthropic u OpenAI). Del mismo modo, el uso ocasional de recursos de transcripción de GPU a través de un mercado puede, según la configuración, implicar un procesamiento fuera del EEE. Estas transferencias residuales se rigen por los mecanismos del Capítulo V de RGPD (cláusulas contractuales tipo, en su caso Marco de Privacidad de Datos) y por medidas adicionales (TLS, minimización, ausencia de formación sobre sus datos, ausencia de almacenamiento duradero).</w:t>
      </w:r>
    </w:p>
    <w:p>
      <w:pPr>
        <w:pStyle w:val="BodyText"/>
      </w:pPr>
      <w:r>
        <w:rPr>
          <w:lang w:val="es-ES"/>
        </w:rPr>
        <w:t xml:space="preserve">Para las organizaciones que requieren la ausencia de transferencias fuera del EEE, se </w:t>
      </w:r>
      <w:r>
        <w:rPr>
          <w:lang w:val="es-ES"/>
        </w:rPr>
        <w:t xml:space="preserve"/>
      </w:r>
      <w:r>
        <w:rPr>
          <w:b/>
          <w:bCs/>
          <w:lang w:val="es-ES"/>
        </w:rPr>
        <w:t xml:space="preserve">puede configurar un perfil </w:t>
      </w:r>
      <w:r>
        <w:rPr>
          <w:lang w:val="es-ES"/>
        </w:rPr>
        <w:t xml:space="preserve"/>
      </w:r>
      <w:r>
        <w:rPr>
          <w:lang w:val="es-ES"/>
        </w:rPr>
        <w:t xml:space="preserve">"estricto de la UE" por organización desde la versión 1.7.0 (canal principal UE vLLM o modelo autohospedado, respaldo de OpenRouter deshabilitado, recursos de GPU en UE). La Opción B aislada </w:t>
      </w:r>
      <w:r>
        <w:rPr>
          <w:b/>
          <w:bCs/>
          <w:lang w:val="es-ES"/>
        </w:rPr>
        <w:t xml:space="preserve">en las instalaciones excluye </w:t>
      </w:r>
      <w:r>
        <w:rPr>
          <w:lang w:val="es-ES"/>
        </w:rPr>
        <w:t xml:space="preserve"/>
      </w:r>
      <w:r>
        <w:rPr>
          <w:lang w:val="es-ES"/>
        </w:rPr>
        <w:t xml:space="preserve">por construcción cualquier flujo de salida y cualquier transferencia fuera del EEE.</w:t>
      </w:r>
    </w:p>
    <w:p>
      <w:pPr>
        <w:pStyle w:val="BodyText"/>
      </w:pPr>
      <w:r>
        <w:rPr>
          <w:b/>
          <w:bCs/>
          <w:lang w:val="es-ES"/>
        </w:rPr>
        <w:t xml:space="preserve">Administración y soporte de Francia/UE. OHADJA se </w:t>
      </w:r>
      <w:r>
        <w:rPr>
          <w:lang w:val="es-ES"/>
        </w:rPr>
        <w:t xml:space="preserve"/>
      </w:r>
      <w:r>
        <w:rPr>
          <w:lang w:val="es-ES"/>
        </w:rPr>
        <w:t xml:space="preserve">compromete contractualmente a realizar la administración y el soporte de la solución exclusivamente </w:t>
      </w:r>
      <w:r>
        <w:rPr>
          <w:lang w:val="es-ES"/>
        </w:rPr>
        <w:t xml:space="preserve"/>
      </w:r>
      <w:r>
        <w:rPr>
          <w:b/>
          <w:bCs/>
          <w:lang w:val="es-ES"/>
        </w:rPr>
        <w:t xml:space="preserve">desde Francia o la Unión Europea. No se realiza ningún </w:t>
      </w:r>
      <w:r>
        <w:rPr>
          <w:lang w:val="es-ES"/>
        </w:rPr>
        <w:t xml:space="preserve">acceso administrativo a los datos de producción desde un tercer país. Estos accesos son nominativos, realizados mediante conexión cifrada (SSH por clave, doble autenticación, TLS), registrados, sin copia local de los datos de producción y desde una estación de trabajo cifrada. Consulte el documento TRB-CONF-01.04 para obtener más detalles.</w:t>
      </w:r>
    </w:p>
    <w:bookmarkEnd w:id="20"/>
    <w:bookmarkStart w:id="21" w:name="X1b934251d3bed64bb585d5086874bcd6a2a0f9f"/>
    <w:p>
      <w:pPr>
        <w:pStyle w:val="Heading2"/>
        <w:keepNext/>
        <w:keepLines/>
      </w:pPr>
      <w:r>
        <w:rPr>
          <w:color w:val="000000"/>
          <w:lang w:val="es-ES"/>
        </w:rPr>
        <w:t xml:space="preserve">11. Violaciones de datos</w:t>
      </w:r>
    </w:p>
    <w:p>
      <w:pPr>
        <w:pStyle w:val="FirstParagraph"/>
      </w:pPr>
      <w:r>
        <w:rPr>
          <w:lang w:val="es-ES"/>
        </w:rPr>
        <w:t xml:space="preserve">En caso de violación de la seguridad de los datos personales que afecte a sus datos, OHADJA le informa sin dilación </w:t>
      </w:r>
      <w:r>
        <w:rPr>
          <w:lang w:val="es-ES"/>
        </w:rPr>
        <w:t xml:space="preserve"/>
      </w:r>
      <w:r>
        <w:rPr>
          <w:b/>
          <w:bCs/>
          <w:lang w:val="es-ES"/>
        </w:rPr>
        <w:t xml:space="preserve">indebida tras tener conocimiento de ella, también fuera de </w:t>
      </w:r>
      <w:r>
        <w:rPr>
          <w:lang w:val="es-ES"/>
        </w:rPr>
        <w:t xml:space="preserve"/>
      </w:r>
      <w:r>
        <w:rPr>
          <w:lang w:val="es-ES"/>
        </w:rPr>
        <w:t xml:space="preserve">los días laborables (artículo 8 del DPA). La alerta contiene la información disponible sobre la naturaleza, los datos y personas afectados, las consecuencias y las medidas; se completa sin dilación indebida, sin esperar a que termine la investigación.</w:t>
      </w:r>
    </w:p>
    <w:p>
      <w:pPr>
        <w:pStyle w:val="BodyText"/>
      </w:pPr>
      <w:r>
        <w:rPr>
          <w:lang w:val="es-ES"/>
        </w:rPr>
        <w:t xml:space="preserve">El Cliente, responsable del tratamiento, evalúa si se requiere una notificación a la autoridad de control competente según el artículo 33 del RGPD; cuando sea obligatoria, la realiza sin dilación indebida y, de </w:t>
      </w:r>
      <w:r>
        <w:rPr>
          <w:lang w:val="es-ES"/>
        </w:rPr>
        <w:t xml:space="preserve">ser </w:t>
      </w:r>
      <w:r>
        <w:rPr>
          <w:b/>
          <w:bCs/>
          <w:lang w:val="es-ES"/>
        </w:rPr>
        <w:t xml:space="preserve">posible, en las 72 horas siguientes a tener </w:t>
      </w:r>
      <w:r>
        <w:rPr>
          <w:lang w:val="es-ES"/>
        </w:rPr>
        <w:t xml:space="preserve"/>
      </w:r>
      <w:r>
        <w:rPr>
          <w:lang w:val="es-ES"/>
        </w:rPr>
        <w:t xml:space="preserve">conocimiento de la violación. La autoridad no viene determinada por el idioma del documento; la CNIL es la autoridad francesa. Evalúa por separado la comunicación a los interesados cuando exista un alto riesgo, con las condiciones del artículo 34.</w:t>
      </w:r>
    </w:p>
    <w:p>
      <w:pPr>
        <w:pStyle w:val="BodyText"/>
      </w:pPr>
      <w:r>
        <w:rPr>
          <w:lang w:val="es-ES"/>
        </w:rPr>
        <w:t xml:space="preserve">Contacto para reporte y seguimiento de una incidencia: </w:t>
      </w:r>
      <w:r>
        <w:rPr>
          <w:lang w:val="es-ES"/>
        </w:rPr>
        <w:t xml:space="preserve"/>
      </w:r>
      <w:hyperlink r:id="rId9">
        <w:r>
          <w:rPr>
            <w:rStyle w:val="Hyperlink"/>
            <w:lang w:val="es-ES"/>
          </w:rPr>
          <w:t xml:space="preserve">privacy@transcribia.eu</w:t>
        </w:r>
      </w:hyperlink>
      <w:r>
        <w:rPr>
          <w:lang w:val="es-ES"/>
        </w:rPr>
        <w:t xml:space="preserve">.</w:t>
      </w:r>
    </w:p>
    <w:bookmarkEnd w:id="21"/>
    <w:bookmarkStart w:id="22" w:name="X748abbc0e9c3c7d10f73fc5df8bd4ed0eace36e"/>
    <w:p>
      <w:pPr>
        <w:pStyle w:val="Heading2"/>
        <w:keepNext/>
        <w:keepLines/>
      </w:pPr>
      <w:r>
        <w:rPr>
          <w:color w:val="000000"/>
          <w:lang w:val="es-ES"/>
        </w:rPr>
        <w:t xml:space="preserve">12. Correlación vocal: supervisión específica</w:t>
      </w:r>
    </w:p>
    <w:p>
      <w:pPr>
        <w:pStyle w:val="FirstParagraph"/>
      </w:pPr>
      <w:r>
        <w:rPr>
          <w:lang w:val="es-ES"/>
        </w:rPr>
        <w:t xml:space="preserve">La funcionalidad de correlación de voces, entregada el 18 de mayo de 2026, permite, dentro de una misma organización, una comparación de voces efímera para proponer un acercamiento entre las partes interesadas. Está </w:t>
      </w:r>
      <w:r>
        <w:rPr>
          <w:lang w:val="es-ES"/>
        </w:rPr>
        <w:t xml:space="preserve">deshabilitado </w:t>
      </w:r>
      <w:r>
        <w:rPr>
          <w:b/>
          <w:bCs/>
          <w:lang w:val="es-ES"/>
        </w:rPr>
        <w:t xml:space="preserve">de forma </w:t>
      </w:r>
      <w:r>
        <w:rPr>
          <w:lang w:val="es-ES"/>
        </w:rPr>
        <w:t xml:space="preserve"/>
      </w:r>
      <w:r>
        <w:rPr>
          <w:lang w:val="es-ES"/>
        </w:rPr>
        <w:t xml:space="preserve">predeterminada y es estrictamente opcional. Su activación requiere la firma previa de una modificación específica de la DPA y la realización de un análisis de impacto relativo a la protección de datos (EIPD, artículo 35). Las representaciones de voz se calculan temporalmente en la RAM, no dan lugar a ninguna plantilla biométrica persistente, nunca se utilizan para entrenar modelos y se destruyen al final de la solicitud. Las sugerencias producidas están sujetas a validación humana obligatoria.</w:t>
      </w:r>
    </w:p>
    <w:p>
      <w:pPr>
        <w:pStyle w:val="BodyText"/>
      </w:pPr>
      <w:r>
        <w:rPr>
          <w:lang w:val="es-ES"/>
        </w:rPr>
        <w:t xml:space="preserve">OHADJA se compromete a no introducir nunca un tratamiento biométrico automático persistente sin una actualización explícita del DPA sometida a su aceptación previa, con un preaviso mínimo de sesenta (60) días.</w:t>
      </w:r>
    </w:p>
    <w:bookmarkEnd w:id="22"/>
    <w:bookmarkStart w:id="23" w:name="X20465f27dd06acc5a702225313327e4138f83ef"/>
    <w:p>
      <w:pPr>
        <w:pStyle w:val="Heading2"/>
        <w:keepNext/>
        <w:keepLines/>
      </w:pPr>
      <w:r>
        <w:rPr>
          <w:color w:val="000000"/>
          <w:lang w:val="es-ES"/>
        </w:rPr>
        <w:t xml:space="preserve">13. Vida útil</w:t>
      </w:r>
    </w:p>
    <w:p>
      <w:pPr>
        <w:pStyle w:val="FirstParagraph"/>
      </w:pPr>
      <w:r>
        <w:rPr>
          <w:lang w:val="es-ES"/>
        </w:rPr>
        <w:t xml:space="preserve">Los períodos de retención se pueden </w:t>
      </w:r>
      <w:r>
        <w:rPr>
          <w:lang w:val="es-ES"/>
        </w:rPr>
        <w:t xml:space="preserve"/>
      </w:r>
      <w:r>
        <w:rPr>
          <w:b/>
          <w:bCs/>
          <w:lang w:val="es-ES"/>
        </w:rPr>
        <w:t xml:space="preserve">configurar por organización. Si no </w:t>
      </w:r>
      <w:r>
        <w:rPr>
          <w:lang w:val="es-ES"/>
        </w:rPr>
        <w:t xml:space="preserve">se realiza ninguna configuración, los valores predeterminados son los siguientes: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Categoría</w:t>
            </w:r>
          </w:p>
        </w:tc>
        <w:tc>
          <w:tcPr/>
          <w:p>
            <w:pPr>
              <w:pStyle w:val="Compact"/>
            </w:pPr>
            <w:r>
              <w:rPr>
                <w:lang w:val="es-ES"/>
              </w:rPr>
              <w:t xml:space="preserve">Duración predeterminada</w:t>
            </w:r>
          </w:p>
        </w:tc>
      </w:tr>
      <w:tr>
        <w:trPr>
          <w:cantSplit/>
        </w:trPr>
        <w:tc>
          <w:tcPr/>
          <w:p>
            <w:pPr>
              <w:pStyle w:val="Compact"/>
            </w:pPr>
            <w:r>
              <w:rPr>
                <w:lang w:val="es-ES"/>
              </w:rPr>
              <w:t xml:space="preserve">Archivos de audio, transcripciones, documentos, generaciones de IA.</w:t>
            </w:r>
          </w:p>
        </w:tc>
        <w:tc>
          <w:tcPr/>
          <w:p>
            <w:pPr>
              <w:pStyle w:val="Compact"/>
            </w:pPr>
            <w:r>
              <w:rPr>
                <w:lang w:val="es-ES"/>
              </w:rPr>
              <w:t xml:space="preserve">Duración del contrato, excepto duración configurada por usted</w:t>
            </w:r>
          </w:p>
        </w:tc>
      </w:tr>
      <w:tr>
        <w:trPr>
          <w:cantSplit/>
        </w:trPr>
        <w:tc>
          <w:tcPr/>
          <w:p>
            <w:pPr>
              <w:pStyle w:val="Compact"/>
            </w:pPr>
            <w:r>
              <w:rPr>
                <w:lang w:val="es-ES"/>
              </w:rPr>
              <w:t xml:space="preserve">Registros de auditoría de aplicaciones</w:t>
            </w:r>
          </w:p>
        </w:tc>
        <w:tc>
          <w:tcPr/>
          <w:p>
            <w:pPr>
              <w:pStyle w:val="Compact"/>
            </w:pPr>
            <w:r>
              <w:rPr>
                <w:lang w:val="es-ES"/>
              </w:rPr>
              <w:t xml:space="preserve">Doce (12) meses como máximo, a menos que se indique o requiera lo contrario</w:t>
            </w:r>
          </w:p>
        </w:tc>
      </w:tr>
      <w:tr>
        <w:trPr>
          <w:cantSplit/>
        </w:trPr>
        <w:tc>
          <w:tcPr/>
          <w:p>
            <w:pPr>
              <w:pStyle w:val="Compact"/>
            </w:pPr>
            <w:r>
              <w:rPr>
                <w:lang w:val="es-ES"/>
              </w:rPr>
              <w:t xml:space="preserve">Revistas técnicas</w:t>
            </w:r>
          </w:p>
        </w:tc>
        <w:tc>
          <w:tcPr/>
          <w:p>
            <w:pPr>
              <w:pStyle w:val="Compact"/>
            </w:pPr>
            <w:r>
              <w:rPr>
                <w:lang w:val="es-ES"/>
              </w:rPr>
              <w:t xml:space="preserve">Aproximadamente noventa (90) días</w:t>
            </w:r>
          </w:p>
        </w:tc>
      </w:tr>
      <w:tr>
        <w:trPr>
          <w:cantSplit/>
        </w:trPr>
        <w:tc>
          <w:tcPr/>
          <w:p>
            <w:pPr>
              <w:pStyle w:val="Compact"/>
            </w:pPr>
            <w:r>
              <w:rPr>
                <w:lang w:val="es-ES"/>
              </w:rPr>
              <w:t xml:space="preserve">Copias de seguridad</w:t>
            </w:r>
          </w:p>
        </w:tc>
        <w:tc>
          <w:tcPr/>
          <w:p>
            <w:pPr>
              <w:pStyle w:val="Compact"/>
            </w:pPr>
            <w:r>
              <w:rPr>
                <w:lang w:val="es-ES"/>
              </w:rPr>
              <w:t xml:space="preserve">Máximo de noventa (90) días</w:t>
            </w:r>
          </w:p>
        </w:tc>
      </w:tr>
      <w:tr>
        <w:trPr>
          <w:cantSplit/>
        </w:trPr>
        <w:tc>
          <w:tcPr/>
          <w:p>
            <w:pPr>
              <w:pStyle w:val="Compact"/>
            </w:pPr>
            <w:r>
              <w:rPr>
                <w:lang w:val="es-ES"/>
              </w:rPr>
              <w:t xml:space="preserve">Representaciones temporales del habla (correlación del habla)</w:t>
            </w:r>
          </w:p>
        </w:tc>
        <w:tc>
          <w:tcPr/>
          <w:p>
            <w:pPr>
              <w:pStyle w:val="Compact"/>
            </w:pPr>
            <w:r>
              <w:rPr>
                <w:lang w:val="es-ES"/>
              </w:rPr>
              <w:t xml:space="preserve">Sólo duración de la solicitud, destrucción al final del procesamiento.</w:t>
            </w:r>
          </w:p>
        </w:tc>
      </w:tr>
    </w:tbl>
    <w:p>
      <w:pPr>
        <w:pStyle w:val="BodyText"/>
      </w:pPr>
      <w:r>
        <w:rPr>
          <w:lang w:val="es-ES"/>
        </w:rPr>
        <w:t xml:space="preserve">Los detalles aparecen en el Anexo 1 de la DPA.</w:t>
      </w:r>
    </w:p>
    <w:bookmarkEnd w:id="23"/>
    <w:bookmarkStart w:id="24" w:name="X07f81c7fe2a8ed9b89166589432e4564882394b"/>
    <w:p>
      <w:pPr>
        <w:pStyle w:val="Heading2"/>
        <w:keepNext/>
        <w:keepLines/>
      </w:pPr>
      <w:r>
        <w:rPr>
          <w:color w:val="000000"/>
          <w:lang w:val="es-ES"/>
        </w:rPr>
        <w:t xml:space="preserve">14. Certificaciones: situación actual</w:t>
      </w:r>
    </w:p>
    <w:p>
      <w:pPr>
        <w:pStyle w:val="FirstParagraph"/>
      </w:pPr>
      <w:r>
        <w:rPr>
          <w:lang w:val="es-ES"/>
        </w:rPr>
        <w:t xml:space="preserve">A la fecha de esta hoja, OHADJA no </w:t>
      </w:r>
      <w:r>
        <w:rPr>
          <w:lang w:val="es-ES"/>
        </w:rPr>
        <w:t xml:space="preserve"/>
      </w:r>
      <w:r>
        <w:rPr>
          <w:b/>
          <w:bCs/>
          <w:lang w:val="es-ES"/>
        </w:rPr>
        <w:t xml:space="preserve">posee ninguna certificación </w:t>
      </w:r>
      <w:r>
        <w:rPr>
          <w:lang w:val="es-ES"/>
        </w:rPr>
        <w:t xml:space="preserve"/>
      </w:r>
      <w:r>
        <w:rPr>
          <w:lang w:val="es-ES"/>
        </w:rPr>
        <w:t xml:space="preserve">de seguridad obtenida para TranscribIA. Para ser honesto con sus análisis RSSI, el progreso es el siguiente:</w:t>
      </w:r>
    </w:p>
    <w:p>
      <w:pPr>
        <w:pStyle w:val="Compact"/>
        <w:numPr>
          <w:ilvl w:val="0"/>
          <w:numId w:val="1004"/>
        </w:numPr>
      </w:pPr>
      <w:r>
        <w:rPr>
          <w:b/>
          <w:bCs/>
          <w:lang w:val="es-ES"/>
        </w:rPr>
        <w:t xml:space="preserve">ISO/IEC 27001: </w:t>
      </w:r>
      <w:r>
        <w:rPr>
          <w:lang w:val="es-ES"/>
        </w:rPr>
        <w:t xml:space="preserve"/>
      </w:r>
      <w:r>
        <w:rPr>
          <w:lang w:val="es-ES"/>
        </w:rPr>
        <w:t xml:space="preserve">enfoque estructurado adoptado; se formaliza una base de dieciséis políticas de gestión de seguridad de la información; certificación prevista para principios de 2027.</w:t>
      </w:r>
    </w:p>
    <w:p>
      <w:pPr>
        <w:pStyle w:val="Compact"/>
        <w:numPr>
          <w:ilvl w:val="0"/>
          <w:numId w:val="1004"/>
        </w:numPr>
      </w:pPr>
      <w:r>
        <w:rPr>
          <w:b/>
          <w:bCs/>
          <w:lang w:val="es-ES"/>
        </w:rPr>
        <w:t xml:space="preserve">SOC 2 Tipo I: </w:t>
      </w:r>
      <w:r>
        <w:rPr>
          <w:lang w:val="es-ES"/>
        </w:rPr>
        <w:t xml:space="preserve"/>
      </w:r>
      <w:r>
        <w:rPr>
          <w:lang w:val="es-ES"/>
        </w:rPr>
        <w:t xml:space="preserve">auditoría prevista para 2026.</w:t>
      </w:r>
    </w:p>
    <w:p>
      <w:pPr>
        <w:pStyle w:val="Compact"/>
        <w:numPr>
          <w:ilvl w:val="0"/>
          <w:numId w:val="1004"/>
        </w:numPr>
      </w:pPr>
      <w:r>
        <w:rPr>
          <w:b/>
          <w:bCs/>
          <w:lang w:val="es-ES"/>
        </w:rPr>
        <w:t xml:space="preserve">HDS (alojamiento de datos de salud): </w:t>
      </w:r>
      <w:r>
        <w:rPr>
          <w:lang w:val="es-ES"/>
        </w:rPr>
        <w:t xml:space="preserve"/>
      </w:r>
      <w:r>
        <w:rPr>
          <w:lang w:val="es-ES"/>
        </w:rPr>
        <w:t xml:space="preserve">en estudio, solo relevante en presencia de datos de salud.</w:t>
      </w:r>
    </w:p>
    <w:p>
      <w:pPr>
        <w:pStyle w:val="Compact"/>
        <w:numPr>
          <w:ilvl w:val="0"/>
          <w:numId w:val="1004"/>
        </w:numPr>
      </w:pPr>
      <w:r>
        <w:rPr>
          <w:b/>
          <w:bCs/>
          <w:lang w:val="es-ES"/>
        </w:rPr>
        <w:t xml:space="preserve">SecNumCloud: </w:t>
      </w:r>
      <w:r>
        <w:rPr>
          <w:lang w:val="es-ES"/>
        </w:rPr>
        <w:t xml:space="preserve"/>
      </w:r>
      <w:r>
        <w:rPr>
          <w:lang w:val="es-ES"/>
        </w:rPr>
        <w:t xml:space="preserve">en espera, no apuntado a corto plazo.</w:t>
      </w:r>
    </w:p>
    <w:p>
      <w:pPr>
        <w:pStyle w:val="FirstParagraph"/>
      </w:pPr>
      <w:r>
        <w:rPr>
          <w:lang w:val="es-ES"/>
        </w:rPr>
        <w:t xml:space="preserve">Estos elementos se mencionan a título informativo; no constituyen compromisos con los resultados.</w:t>
      </w:r>
    </w:p>
    <w:bookmarkEnd w:id="24"/>
    <w:bookmarkStart w:id="25" w:name="X3cc9d837d5b5bfc67ac24d260d78f0776b9dcea"/>
    <w:p>
      <w:pPr>
        <w:pStyle w:val="Heading2"/>
        <w:keepNext/>
        <w:keepLines/>
      </w:pPr>
      <w:r>
        <w:rPr>
          <w:color w:val="000000"/>
          <w:lang w:val="es-ES"/>
        </w:rPr>
        <w:t xml:space="preserve">15. Gobernanza y contacto</w:t>
      </w:r>
    </w:p>
    <w:p>
      <w:pPr>
        <w:pStyle w:val="FirstParagraph"/>
      </w:pPr>
      <w:r>
        <w:rPr>
          <w:lang w:val="es-ES"/>
        </w:rPr>
        <w:t xml:space="preserve">OHADJA no ha designado un DPD en la fecha de este documento; la necesidad de designarlo es objeto de un análisis documentado de los criterios del artículo 37, aplicables a responsables y encargados del tratamiento. El contacto de protección de datos está disponible en </w:t>
      </w:r>
      <w:r>
        <w:rPr>
          <w:lang w:val="es-ES"/>
        </w:rPr>
        <w:t xml:space="preserve"/>
      </w:r>
      <w:hyperlink r:id="rId9">
        <w:r>
          <w:rPr>
            <w:rStyle w:val="Hyperlink"/>
            <w:lang w:val="es-ES"/>
          </w:rPr>
          <w:t xml:space="preserve">privacy@transcribia.eu</w:t>
        </w:r>
      </w:hyperlink>
      <w:r>
        <w:rPr>
          <w:lang w:val="es-ES"/>
        </w:rPr>
        <w:t xml:space="preserve"> </w:t>
      </w:r>
      <w:r>
        <w:rPr>
          <w:lang w:val="es-ES"/>
        </w:rPr>
        <w:t xml:space="preserve">[PENDIENTE DE CONFIRMAR: identidad y cargo]. Hay una EIPD genérica del servicio disponible previa solicitud; la EIPD de los usos del Cliente sigue siendo responsabilidad de este, con la asistencia contractual prevista.</w:t>
      </w:r>
    </w:p>
    <w:p>
      <w:r>
        <w:pict>
          <v:rect style="width:0;height:1.5pt" o:hralign="center" o:hrstd="t" o:hr="t"/>
        </w:pict>
      </w:r>
    </w:p>
    <w:p>
      <w:pPr>
        <w:pStyle w:val="FirstParagraph"/>
      </w:pPr>
      <w:r>
        <w:rPr>
          <w:i/>
          <w:iCs/>
          <w:lang w:val="es-ES"/>
        </w:rPr>
        <w:t xml:space="preserve">Documento de trabajo establecido por OHADJA — para ser validado por su asesor legal / DPO antes de la firma.</w:t>
      </w:r>
    </w:p>
    <w:p>
      <w:r>
        <w:br w:type="page"/>
      </w:r>
    </w:p>
    <w:bookmarkEnd w:id="25"/>
    <w:bookmarkEnd w:id="26"/>
    <w:bookmarkStart w:id="35" w:name="X5ce8e54643d310862f8b266cf20852c711cc936"/>
    <w:p>
      <w:pPr>
        <w:pStyle w:val="Heading1"/>
        <w:keepNext/>
        <w:keepLines/>
      </w:pPr>
      <w:r>
        <w:rPr>
          <w:color w:val="000000"/>
          <w:lang w:val="es-ES"/>
        </w:rPr>
        <w:t xml:space="preserve">Descripción de los tratamientos realizados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Referencia</w:t>
            </w:r>
          </w:p>
        </w:tc>
        <w:tc>
          <w:tcPr/>
          <w:p>
            <w:pPr>
              <w:pStyle w:val="Compact"/>
            </w:pPr>
            <w:r>
              <w:rPr>
                <w:lang w:val="es-ES"/>
              </w:rPr>
              <w:t xml:space="preserve">TRB-CONF-01.03</w:t>
            </w:r>
          </w:p>
        </w:tc>
      </w:tr>
      <w:tr>
        <w:trPr>
          <w:cantSplit/>
        </w:trPr>
        <w:tc>
          <w:tcPr/>
          <w:p>
            <w:pPr>
              <w:pStyle w:val="Compact"/>
            </w:pPr>
            <w:r>
              <w:rPr>
                <w:lang w:val="es-ES"/>
              </w:rPr>
              <w:t xml:space="preserve">Versión</w:t>
            </w:r>
          </w:p>
        </w:tc>
        <w:tc>
          <w:tcPr/>
          <w:p>
            <w:pPr>
              <w:pStyle w:val="Compact"/>
            </w:pPr>
            <w:r>
              <w:rPr>
                <w:lang w:val="es-ES"/>
              </w:rPr>
              <w:t xml:space="preserve">1.0</w:t>
            </w:r>
          </w:p>
        </w:tc>
      </w:tr>
      <w:tr>
        <w:trPr>
          <w:cantSplit/>
        </w:trPr>
        <w:tc>
          <w:tcPr/>
          <w:p>
            <w:pPr>
              <w:pStyle w:val="Compact"/>
            </w:pPr>
            <w:r>
              <w:rPr>
                <w:lang w:val="es-ES"/>
              </w:rPr>
              <w:t xml:space="preserve">Fecha</w:t>
            </w:r>
          </w:p>
        </w:tc>
        <w:tc>
          <w:tcPr/>
          <w:p>
            <w:pPr>
              <w:pStyle w:val="Compact"/>
            </w:pPr>
            <w:r>
              <w:rPr>
                <w:lang w:val="es-ES"/>
              </w:rPr>
              <w:t xml:space="preserve">2026-07-24</w:t>
            </w:r>
          </w:p>
        </w:tc>
      </w:tr>
      <w:tr>
        <w:trPr>
          <w:cantSplit/>
        </w:trPr>
        <w:tc>
          <w:tcPr/>
          <w:p>
            <w:pPr>
              <w:pStyle w:val="Compact"/>
            </w:pPr>
            <w:r>
              <w:rPr>
                <w:lang w:val="es-ES"/>
              </w:rPr>
              <w:t xml:space="preserve">Redactor</w:t>
            </w:r>
          </w:p>
        </w:tc>
        <w:tc>
          <w:tcPr/>
          <w:p>
            <w:pPr>
              <w:pStyle w:val="Compact"/>
            </w:pPr>
            <w:r>
              <w:rPr>
                <w:lang w:val="es-ES"/>
              </w:rPr>
              <w:t xml:space="preserve">OHADJA</w:t>
            </w:r>
          </w:p>
        </w:tc>
      </w:tr>
      <w:tr>
        <w:trPr>
          <w:cantSplit/>
        </w:trPr>
        <w:tc>
          <w:tcPr/>
          <w:p>
            <w:pPr>
              <w:pStyle w:val="Compact"/>
            </w:pPr>
            <w:r>
              <w:rPr>
                <w:lang w:val="es-ES"/>
              </w:rPr>
              <w:t xml:space="preserve">Clasificación</w:t>
            </w:r>
          </w:p>
        </w:tc>
        <w:tc>
          <w:tcPr/>
          <w:p>
            <w:pPr>
              <w:pStyle w:val="Compact"/>
            </w:pPr>
            <w:r>
              <w:rPr>
                <w:lang w:val="es-ES"/>
              </w:rPr>
              <w:t xml:space="preserve">Público: documento estándar, especificado durante cada contratación.</w:t>
            </w:r>
          </w:p>
        </w:tc>
      </w:tr>
    </w:tbl>
    <w:bookmarkStart w:id="27" w:name="Xb1f60ed89d16cc8c1b22a449bcdccfadc02c111"/>
    <w:p>
      <w:pPr>
        <w:pStyle w:val="Heading2"/>
        <w:keepNext/>
        <w:keepLines/>
      </w:pPr>
      <w:r>
        <w:rPr>
          <w:color w:val="000000"/>
          <w:lang w:val="es-ES"/>
        </w:rPr>
        <w:t xml:space="preserve">1. Objeto del documento</w:t>
      </w:r>
    </w:p>
    <w:p>
      <w:pPr>
        <w:pStyle w:val="FirstParagraph"/>
      </w:pPr>
      <w:r>
        <w:rPr>
          <w:lang w:val="es-ES"/>
        </w:rPr>
        <w:t xml:space="preserve">Este documento amplía el Anexo 1 del Acuerdo de encargo del tratamiento (documento TRB-CONF-01.02). Describe, para fines de análisis por parte de su persona de contacto para protección de datos y de su departamento de TI, el objeto, la naturaleza, los fines del procesamiento realizado con TranscribIA, las categorías de datos y las personas interesadas, así como los detalles de las operaciones de procesamiento, paso a paso, en el flujo funcional de la solución.</w:t>
      </w:r>
    </w:p>
    <w:p>
      <w:pPr>
        <w:pStyle w:val="BodyText"/>
      </w:pPr>
      <w:r>
        <w:rPr>
          <w:lang w:val="es-ES"/>
        </w:rPr>
        <w:t xml:space="preserve">Distingue sistemáticamente los dos modos de suministro:</w:t>
      </w:r>
    </w:p>
    <w:p>
      <w:pPr>
        <w:pStyle w:val="Compact"/>
        <w:numPr>
          <w:ilvl w:val="0"/>
          <w:numId w:val="1005"/>
        </w:numPr>
      </w:pPr>
      <w:r>
        <w:rPr>
          <w:b/>
          <w:bCs/>
          <w:lang w:val="es-ES"/>
        </w:rPr>
        <w:t xml:space="preserve">Opción A — SaaS: </w:t>
      </w:r>
      <w:r>
        <w:rPr>
          <w:lang w:val="es-ES"/>
        </w:rPr>
        <w:t xml:space="preserve"/>
      </w:r>
      <w:r>
        <w:rPr>
          <w:lang w:val="es-ES"/>
        </w:rPr>
        <w:t xml:space="preserve">servicio alojado y operado por OHADJA en una infraestructura ubicada en Francia.</w:t>
      </w:r>
    </w:p>
    <w:p>
      <w:pPr>
        <w:pStyle w:val="Compact"/>
        <w:numPr>
          <w:ilvl w:val="0"/>
          <w:numId w:val="1005"/>
        </w:numPr>
      </w:pPr>
      <w:r>
        <w:rPr>
          <w:b/>
          <w:bCs/>
          <w:lang w:val="es-ES"/>
        </w:rPr>
        <w:t xml:space="preserve">Opción B — On-premise: </w:t>
      </w:r>
      <w:r>
        <w:rPr>
          <w:lang w:val="es-ES"/>
        </w:rPr>
        <w:t xml:space="preserve"/>
      </w:r>
      <w:r>
        <w:rPr>
          <w:lang w:val="es-ES"/>
        </w:rPr>
        <w:t xml:space="preserve">despliegue de la solución en la infraestructura del cliente, cuya variante “aislada” no implica ningún flujo de salida.</w:t>
      </w:r>
    </w:p>
    <w:p>
      <w:pPr>
        <w:pStyle w:val="FirstParagraph"/>
      </w:pPr>
      <w:r>
        <w:rPr>
          <w:lang w:val="es-ES"/>
        </w:rPr>
        <w:t xml:space="preserve">En caso de cualquier discrepancia entre este documento y la DPA, prevalecerán las disposiciones de la DPA.</w:t>
      </w:r>
    </w:p>
    <w:bookmarkEnd w:id="27"/>
    <w:bookmarkStart w:id="28" w:name="Xe2205706177dc3f6d76bd1cc1f9ebf058d31c16"/>
    <w:p>
      <w:pPr>
        <w:pStyle w:val="Heading2"/>
        <w:keepNext/>
        <w:keepLines/>
      </w:pPr>
      <w:r>
        <w:rPr>
          <w:color w:val="000000"/>
          <w:lang w:val="es-ES"/>
        </w:rPr>
        <w:t xml:space="preserve">2. Finalidad, naturaleza y finalidades del tratamiento</w:t>
      </w:r>
    </w:p>
    <w:p>
      <w:pPr>
        <w:pStyle w:val="FirstParagraph"/>
      </w:pPr>
      <w:r>
        <w:rPr>
          <w:b/>
          <w:bCs/>
          <w:lang w:val="es-ES"/>
        </w:rPr>
        <w:t xml:space="preserve">Objeto. </w:t>
      </w:r>
      <w:r>
        <w:rPr>
          <w:lang w:val="es-ES"/>
        </w:rPr>
        <w:t xml:space="preserve"/>
      </w:r>
      <w:r>
        <w:rPr>
          <w:lang w:val="es-ES"/>
        </w:rPr>
        <w:t xml:space="preserve">Proporcionar una solución para transcripción de audio, diarización, estructuración de transcripción, explotación de inteligencia artificial, generación de documentos, gestión de sesiones y usuarios, registro y sugerencia de identificación de oradores.</w:t>
      </w:r>
    </w:p>
    <w:p>
      <w:pPr>
        <w:pStyle w:val="BodyText"/>
      </w:pPr>
      <w:r>
        <w:rPr>
          <w:b/>
          <w:bCs/>
          <w:lang w:val="es-ES"/>
        </w:rPr>
        <w:t xml:space="preserve">Naturaleza. </w:t>
      </w:r>
      <w:r>
        <w:rPr>
          <w:lang w:val="es-ES"/>
        </w:rPr>
        <w:t xml:space="preserve"/>
      </w:r>
      <w:r>
        <w:rPr>
          <w:lang w:val="es-ES"/>
        </w:rPr>
        <w:t xml:space="preserve">Recopilación mediante carga, alojamiento, almacenamiento, organización, visualización, extracción, transcripción, diarización, corrección, generación asistida por IA, exportación, registro, copia de seguridad, eliminación y asistencia técnica.</w:t>
      </w:r>
    </w:p>
    <w:p>
      <w:pPr>
        <w:pStyle w:val="BodyText"/>
      </w:pPr>
      <w:r>
        <w:rPr>
          <w:b/>
          <w:bCs/>
          <w:lang w:val="es-ES"/>
        </w:rPr>
        <w:t xml:space="preserve">Propósitos. </w:t>
      </w:r>
      <w:r>
        <w:rPr>
          <w:lang w:val="es-ES"/>
        </w:rPr>
        <w:t xml:space="preserve"/>
      </w:r>
      <w:r>
        <w:rPr>
          <w:lang w:val="es-ES"/>
        </w:rPr>
        <w:t xml:space="preserve">Permita que su organización cree sesiones de trabajo, cargue archivos de audio, obtenga transcripciones utilizables, gestione ponentes, corrija o enriquezca contenidos, produzca resúmenes, actas, capítulos o análisis, gestione documentos preparatorios, asegure la trazabilidad y administre el acceso.</w:t>
      </w:r>
    </w:p>
    <w:p>
      <w:pPr>
        <w:pStyle w:val="BodyText"/>
      </w:pPr>
      <w:r>
        <w:rPr>
          <w:lang w:val="es-ES"/>
        </w:rPr>
        <w:t xml:space="preserve">Los propósitos </w:t>
      </w:r>
      <w:r>
        <w:rPr>
          <w:lang w:val="es-ES"/>
        </w:rPr>
        <w:t xml:space="preserve"/>
      </w:r>
      <w:r>
        <w:rPr>
          <w:b/>
          <w:bCs/>
          <w:lang w:val="es-ES"/>
        </w:rPr>
        <w:t xml:space="preserve">los determina su organización en </w:t>
      </w:r>
      <w:r>
        <w:rPr>
          <w:lang w:val="es-ES"/>
        </w:rPr>
        <w:t xml:space="preserve"/>
      </w:r>
      <w:r>
        <w:rPr>
          <w:lang w:val="es-ES"/>
        </w:rPr>
        <w:t xml:space="preserve">su calidad de responsable del tratamiento. OHADJA no utiliza ningún dato para fines propios.</w:t>
      </w:r>
    </w:p>
    <w:bookmarkEnd w:id="28"/>
    <w:bookmarkStart w:id="29" w:name="X56485e4b262afdb194453dd1109068006fcc426"/>
    <w:p>
      <w:pPr>
        <w:pStyle w:val="Heading2"/>
        <w:keepNext/>
        <w:keepLines/>
      </w:pPr>
      <w:r>
        <w:rPr>
          <w:color w:val="000000"/>
          <w:lang w:val="es-ES"/>
        </w:rPr>
        <w:t xml:space="preserve">3. Categorías de datos procesados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Categoría</w:t>
            </w:r>
          </w:p>
        </w:tc>
        <w:tc>
          <w:tcPr/>
          <w:p>
            <w:pPr>
              <w:pStyle w:val="Compact"/>
            </w:pPr>
            <w:r>
              <w:rPr>
                <w:lang w:val="es-ES"/>
              </w:rPr>
              <w:t xml:space="preserve">Ejemplos</w:t>
            </w:r>
          </w:p>
        </w:tc>
      </w:tr>
      <w:tr>
        <w:trPr>
          <w:cantSplit/>
        </w:trPr>
        <w:tc>
          <w:tcPr/>
          <w:p>
            <w:pPr>
              <w:pStyle w:val="Compact"/>
            </w:pPr>
            <w:r>
              <w:rPr>
                <w:lang w:val="es-ES"/>
              </w:rPr>
              <w:t xml:space="preserve">Posibles grabaciones de audio y vídeo.</w:t>
            </w:r>
          </w:p>
        </w:tc>
        <w:tc>
          <w:tcPr/>
          <w:p>
            <w:pPr>
              <w:pStyle w:val="Compact"/>
            </w:pPr>
            <w:r>
              <w:rPr>
                <w:lang w:val="es-ES"/>
              </w:rPr>
              <w:t xml:space="preserve">Archivos MP3, wav, ogg, m4a, flac, webm, mp4, avi, mkv, mov, wmv (tamaño máximo 2500 MB)</w:t>
            </w:r>
          </w:p>
        </w:tc>
      </w:tr>
      <w:tr>
        <w:trPr>
          <w:cantSplit/>
        </w:trPr>
        <w:tc>
          <w:tcPr/>
          <w:p>
            <w:pPr>
              <w:pStyle w:val="Compact"/>
            </w:pPr>
            <w:r>
              <w:rPr>
                <w:lang w:val="es-ES"/>
              </w:rPr>
              <w:t xml:space="preserve">Transcripciones</w:t>
            </w:r>
          </w:p>
        </w:tc>
        <w:tc>
          <w:tcPr/>
          <w:p>
            <w:pPr>
              <w:pStyle w:val="Compact"/>
            </w:pPr>
            <w:r>
              <w:rPr>
                <w:lang w:val="es-ES"/>
              </w:rPr>
              <w:t xml:space="preserve">Transcripción JSON, segmentos, marcas de tiempo, palabra por palabra, versiones, correcciones, capítulos, diarización</w:t>
            </w:r>
          </w:p>
        </w:tc>
      </w:tr>
      <w:tr>
        <w:trPr>
          <w:cantSplit/>
        </w:trPr>
        <w:tc>
          <w:tcPr/>
          <w:p>
            <w:pPr>
              <w:pStyle w:val="Compact"/>
            </w:pPr>
            <w:r>
              <w:rPr>
                <w:lang w:val="es-ES"/>
              </w:rPr>
              <w:t xml:space="preserve">Datos del hablante</w:t>
            </w:r>
          </w:p>
        </w:tc>
        <w:tc>
          <w:tcPr/>
          <w:p>
            <w:pPr>
              <w:pStyle w:val="Compact"/>
            </w:pPr>
            <w:r>
              <w:rPr>
                <w:lang w:val="es-ES"/>
              </w:rPr>
              <w:t xml:space="preserve">Nombres ingresados por los usuarios, etiquetas de oradores, coincidencias propuestas y validadas.</w:t>
            </w:r>
          </w:p>
        </w:tc>
      </w:tr>
      <w:tr>
        <w:trPr>
          <w:cantSplit/>
        </w:trPr>
        <w:tc>
          <w:tcPr/>
          <w:p>
            <w:pPr>
              <w:pStyle w:val="Compact"/>
            </w:pPr>
            <w:r>
              <w:rPr>
                <w:lang w:val="es-ES"/>
              </w:rPr>
              <w:t xml:space="preserve">Documentos preparatorios</w:t>
            </w:r>
          </w:p>
        </w:tc>
        <w:tc>
          <w:tcPr/>
          <w:p>
            <w:pPr>
              <w:pStyle w:val="Compact"/>
            </w:pPr>
            <w:r>
              <w:rPr>
                <w:lang w:val="es-ES"/>
              </w:rPr>
              <w:t xml:space="preserve">Órdenes del día, actas anteriores, notas, PDF/DOCX, texto o Markdown extraído</w:t>
            </w:r>
          </w:p>
        </w:tc>
      </w:tr>
      <w:tr>
        <w:trPr>
          <w:cantSplit/>
        </w:trPr>
        <w:tc>
          <w:tcPr/>
          <w:p>
            <w:pPr>
              <w:pStyle w:val="Compact"/>
            </w:pPr>
            <w:r>
              <w:rPr>
                <w:lang w:val="es-ES"/>
              </w:rPr>
              <w:t xml:space="preserve">Metadatos de sesión</w:t>
            </w:r>
          </w:p>
        </w:tc>
        <w:tc>
          <w:tcPr/>
          <w:p>
            <w:pPr>
              <w:pStyle w:val="Compact"/>
            </w:pPr>
            <w:r>
              <w:rPr>
                <w:lang w:val="es-ES"/>
              </w:rPr>
              <w:t xml:space="preserve">Título, fecha, ubicación, tipo de sesión, estado, calendario, equipo, organización, archivos vinculados, configuración</w:t>
            </w:r>
          </w:p>
        </w:tc>
      </w:tr>
      <w:tr>
        <w:trPr>
          <w:cantSplit/>
        </w:trPr>
        <w:tc>
          <w:tcPr/>
          <w:p>
            <w:pPr>
              <w:pStyle w:val="Compact"/>
            </w:pPr>
            <w:r>
              <w:rPr>
                <w:lang w:val="es-ES"/>
              </w:rPr>
              <w:t xml:space="preserve">Cuentas de usuario</w:t>
            </w:r>
          </w:p>
        </w:tc>
        <w:tc>
          <w:tcPr/>
          <w:p>
            <w:pPr>
              <w:pStyle w:val="Compact"/>
            </w:pPr>
            <w:r>
              <w:rPr>
                <w:lang w:val="es-ES"/>
              </w:rPr>
              <w:t xml:space="preserve">Apellido, nombre si corresponde, dirección de correo electrónico, función, organización, equipo, tokens de acceso, fechas de conexión</w:t>
            </w:r>
          </w:p>
        </w:tc>
      </w:tr>
      <w:tr>
        <w:trPr>
          <w:cantSplit/>
        </w:trPr>
        <w:tc>
          <w:tcPr/>
          <w:p>
            <w:pPr>
              <w:pStyle w:val="Compact"/>
            </w:pPr>
            <w:r>
              <w:rPr>
                <w:lang w:val="es-ES"/>
              </w:rPr>
              <w:t xml:space="preserve">Registros de auditoría y seguimientos técnicos</w:t>
            </w:r>
          </w:p>
        </w:tc>
        <w:tc>
          <w:tcPr/>
          <w:p>
            <w:pPr>
              <w:pStyle w:val="Compact"/>
            </w:pPr>
            <w:r>
              <w:rPr>
                <w:lang w:val="es-ES"/>
              </w:rPr>
              <w:t xml:space="preserve">Identificadores de usuario, acciones, fechas, direcciones IP recopiladas, eventos de aplicación, errores, identificadores de correlación</w:t>
            </w:r>
          </w:p>
        </w:tc>
      </w:tr>
      <w:tr>
        <w:trPr>
          <w:cantSplit/>
        </w:trPr>
        <w:tc>
          <w:tcPr/>
          <w:p>
            <w:pPr>
              <w:pStyle w:val="Compact"/>
            </w:pPr>
            <w:r>
              <w:rPr>
                <w:lang w:val="es-ES"/>
              </w:rPr>
              <w:t xml:space="preserve">Generaciones de IA</w:t>
            </w:r>
          </w:p>
        </w:tc>
        <w:tc>
          <w:tcPr/>
          <w:p>
            <w:pPr>
              <w:pStyle w:val="Compact"/>
            </w:pPr>
            <w:r>
              <w:rPr>
                <w:lang w:val="es-ES"/>
              </w:rPr>
              <w:t xml:space="preserve">Mensajes, fuentes seleccionadas, respuestas generadas, resúmenes, análisis, correcciones, actas, exportaciones</w:t>
            </w:r>
          </w:p>
        </w:tc>
      </w:tr>
      <w:tr>
        <w:trPr>
          <w:cantSplit/>
        </w:trPr>
        <w:tc>
          <w:tcPr/>
          <w:p>
            <w:pPr>
              <w:pStyle w:val="Compact"/>
            </w:pPr>
            <w:r>
              <w:rPr>
                <w:lang w:val="es-ES"/>
              </w:rPr>
              <w:t xml:space="preserve">Datos de votación o asistencia, si están habilitados</w:t>
            </w:r>
          </w:p>
        </w:tc>
        <w:tc>
          <w:tcPr/>
          <w:p>
            <w:pPr>
              <w:pStyle w:val="Compact"/>
            </w:pPr>
            <w:r>
              <w:rPr>
                <w:lang w:val="es-ES"/>
              </w:rPr>
              <w:t xml:space="preserve">Presencias, ausencias, delegaciones, resultados de las votaciones, calidad o función de los participantes</w:t>
            </w:r>
          </w:p>
        </w:tc>
      </w:tr>
      <w:tr>
        <w:trPr>
          <w:cantSplit/>
        </w:trPr>
        <w:tc>
          <w:tcPr/>
          <w:p>
            <w:pPr>
              <w:pStyle w:val="Compact"/>
            </w:pPr>
            <w:r>
              <w:rPr>
                <w:lang w:val="es-ES"/>
              </w:rPr>
              <w:t xml:space="preserve">Actuaciones vocales temporales</w:t>
            </w:r>
          </w:p>
        </w:tc>
        <w:tc>
          <w:tcPr/>
          <w:p>
            <w:pPr>
              <w:pStyle w:val="Compact"/>
            </w:pPr>
            <w:r>
              <w:rPr>
                <w:lang w:val="es-ES"/>
              </w:rPr>
              <w:t xml:space="preserve">Vectores digitales calculados en RAM para correlación de voz, destruidos al final de la solicitud</w:t>
            </w:r>
          </w:p>
        </w:tc>
      </w:tr>
    </w:tbl>
    <w:bookmarkEnd w:id="29"/>
    <w:bookmarkStart w:id="30" w:name="Xb026068f2151d4ac72560dc3548f72be26eed7b"/>
    <w:p>
      <w:pPr>
        <w:pStyle w:val="Heading2"/>
        <w:keepNext/>
        <w:keepLines/>
      </w:pPr>
      <w:r>
        <w:rPr>
          <w:color w:val="000000"/>
          <w:lang w:val="es-ES"/>
        </w:rPr>
        <w:t xml:space="preserve">4. Categorías de personas interesadas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Categoría</w:t>
            </w:r>
          </w:p>
        </w:tc>
        <w:tc>
          <w:tcPr/>
          <w:p>
            <w:pPr>
              <w:pStyle w:val="Compact"/>
            </w:pPr>
            <w:r>
              <w:rPr>
                <w:lang w:val="es-ES"/>
              </w:rPr>
              <w:t xml:space="preserve">Descripción</w:t>
            </w:r>
          </w:p>
        </w:tc>
      </w:tr>
      <w:tr>
        <w:trPr>
          <w:cantSplit/>
        </w:trPr>
        <w:tc>
          <w:tcPr/>
          <w:p>
            <w:pPr>
              <w:pStyle w:val="Compact"/>
            </w:pPr>
            <w:r>
              <w:rPr>
                <w:lang w:val="es-ES"/>
              </w:rPr>
              <w:t xml:space="preserve">Usuarios del cliente</w:t>
            </w:r>
          </w:p>
        </w:tc>
        <w:tc>
          <w:tcPr/>
          <w:p>
            <w:pPr>
              <w:pStyle w:val="Compact"/>
            </w:pPr>
            <w:r>
              <w:rPr>
                <w:lang w:val="es-ES"/>
              </w:rPr>
              <w:t xml:space="preserve">Agentes, empleados, funcionarios electos, profesionales, abogados, notarios, profesores, periodistas, administradores, miembros del equipo.</w:t>
            </w:r>
          </w:p>
        </w:tc>
      </w:tr>
      <w:tr>
        <w:trPr>
          <w:cantSplit/>
        </w:trPr>
        <w:tc>
          <w:tcPr/>
          <w:p>
            <w:pPr>
              <w:pStyle w:val="Compact"/>
            </w:pPr>
            <w:r>
              <w:rPr>
                <w:lang w:val="es-ES"/>
              </w:rPr>
              <w:t xml:space="preserve">Oradores registrados</w:t>
            </w:r>
          </w:p>
        </w:tc>
        <w:tc>
          <w:tcPr/>
          <w:p>
            <w:pPr>
              <w:pStyle w:val="Compact"/>
            </w:pPr>
            <w:r>
              <w:rPr>
                <w:lang w:val="es-ES"/>
              </w:rPr>
              <w:t xml:space="preserve">Participantes cuya voz se captura en archivos cargados</w:t>
            </w:r>
          </w:p>
        </w:tc>
      </w:tr>
      <w:tr>
        <w:trPr>
          <w:cantSplit/>
        </w:trPr>
        <w:tc>
          <w:tcPr/>
          <w:p>
            <w:pPr>
              <w:pStyle w:val="Compact"/>
            </w:pPr>
            <w:r>
              <w:rPr>
                <w:lang w:val="es-ES"/>
              </w:rPr>
              <w:t xml:space="preserve">personas mencionadas</w:t>
            </w:r>
          </w:p>
        </w:tc>
        <w:tc>
          <w:tcPr/>
          <w:p>
            <w:pPr>
              <w:pStyle w:val="Compact"/>
            </w:pPr>
            <w:r>
              <w:rPr>
                <w:lang w:val="es-ES"/>
              </w:rPr>
              <w:t xml:space="preserve">Personas citadas en reuniones, transcripciones, documentos, votaciones, actas o generaciones de IA</w:t>
            </w:r>
          </w:p>
        </w:tc>
      </w:tr>
      <w:tr>
        <w:trPr>
          <w:cantSplit/>
        </w:trPr>
        <w:tc>
          <w:tcPr/>
          <w:p>
            <w:pPr>
              <w:pStyle w:val="Compact"/>
            </w:pPr>
            <w:r>
              <w:rPr>
                <w:lang w:val="es-ES"/>
              </w:rPr>
              <w:t xml:space="preserve">Contactos institucionales</w:t>
            </w:r>
          </w:p>
        </w:tc>
        <w:tc>
          <w:tcPr/>
          <w:p>
            <w:pPr>
              <w:pStyle w:val="Compact"/>
            </w:pPr>
            <w:r>
              <w:rPr>
                <w:lang w:val="es-ES"/>
              </w:rPr>
              <w:t xml:space="preserve">Consejeros, funcionarios electos, colaboradores, representantes, participantes invitados</w:t>
            </w:r>
          </w:p>
        </w:tc>
      </w:tr>
      <w:tr>
        <w:trPr>
          <w:cantSplit/>
        </w:trPr>
        <w:tc>
          <w:tcPr/>
          <w:p>
            <w:pPr>
              <w:pStyle w:val="Compact"/>
            </w:pPr>
            <w:r>
              <w:rPr>
                <w:lang w:val="es-ES"/>
              </w:rPr>
              <w:t xml:space="preserve">Personal OHADJA</w:t>
            </w:r>
          </w:p>
        </w:tc>
        <w:tc>
          <w:tcPr/>
          <w:p>
            <w:pPr>
              <w:pStyle w:val="Compact"/>
            </w:pPr>
            <w:r>
              <w:rPr>
                <w:lang w:val="es-ES"/>
              </w:rPr>
              <w:t xml:space="preserve">Sólo para rastros de intervención, soporte, seguridad o auditoría interna vinculados al servicio.</w:t>
            </w:r>
          </w:p>
        </w:tc>
      </w:tr>
    </w:tbl>
    <w:bookmarkEnd w:id="30"/>
    <w:bookmarkStart w:id="32" w:name="X1b3637a51c839f2e3fee467cfce921b002e0fd8"/>
    <w:p>
      <w:pPr>
        <w:pStyle w:val="Heading2"/>
        <w:keepNext/>
        <w:keepLines/>
      </w:pPr>
      <w:r>
        <w:rPr>
          <w:color w:val="000000"/>
          <w:lang w:val="es-ES"/>
        </w:rPr>
        <w:t xml:space="preserve">5. Operaciones de procesamiento, paso a paso</w:t>
      </w:r>
    </w:p>
    <w:p>
      <w:pPr>
        <w:pStyle w:val="FirstParagraph"/>
      </w:pPr>
      <w:r>
        <w:rPr>
          <w:lang w:val="es-ES"/>
        </w:rPr>
        <w:t xml:space="preserve">La siguiente tabla describe cada operación del flujo funcional, el componente técnico en cuestión, la ubicación del procesamiento en la Opción A y el comportamiento en la Opción B aislada.</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s-ES"/>
              </w:rPr>
              <w:t xml:space="preserve">paso</w:t>
            </w:r>
          </w:p>
        </w:tc>
        <w:tc>
          <w:tcPr>
            <w:tcW w:type="dxa" w:w="1872"/>
            <w:tcMar>
              <w:left w:type="dxa" w:w="80"/>
              <w:right w:type="dxa" w:w="80"/>
            </w:tcMar>
          </w:tcPr>
          <w:p>
            <w:pPr>
              <w:pStyle w:val="Compact"/>
            </w:pPr>
            <w:r>
              <w:rPr>
                <w:sz w:val="19"/>
                <w:szCs w:val="19"/>
                <w:lang w:val="es-ES"/>
              </w:rPr>
              <w:t xml:space="preserve">Operación</w:t>
            </w:r>
          </w:p>
        </w:tc>
        <w:tc>
          <w:tcPr>
            <w:tcW w:type="dxa" w:w="1872"/>
            <w:tcMar>
              <w:left w:type="dxa" w:w="80"/>
              <w:right w:type="dxa" w:w="80"/>
            </w:tcMar>
          </w:tcPr>
          <w:p>
            <w:pPr>
              <w:pStyle w:val="Compact"/>
            </w:pPr>
            <w:r>
              <w:rPr>
                <w:sz w:val="19"/>
                <w:szCs w:val="19"/>
                <w:lang w:val="es-ES"/>
              </w:rPr>
              <w:t xml:space="preserve">Componente</w:t>
            </w:r>
          </w:p>
        </w:tc>
        <w:tc>
          <w:tcPr>
            <w:tcW w:type="dxa" w:w="1872"/>
            <w:tcMar>
              <w:left w:type="dxa" w:w="80"/>
              <w:right w:type="dxa" w:w="80"/>
            </w:tcMar>
          </w:tcPr>
          <w:p>
            <w:pPr>
              <w:pStyle w:val="Compact"/>
            </w:pPr>
            <w:r>
              <w:rPr>
                <w:sz w:val="19"/>
                <w:szCs w:val="19"/>
                <w:lang w:val="es-ES"/>
              </w:rPr>
              <w:t xml:space="preserve">Opción A (SaaS)</w:t>
            </w:r>
          </w:p>
        </w:tc>
        <w:tc>
          <w:tcPr>
            <w:tcW w:type="dxa" w:w="1872"/>
            <w:tcMar>
              <w:left w:type="dxa" w:w="80"/>
              <w:right w:type="dxa" w:w="80"/>
            </w:tcMar>
          </w:tcPr>
          <w:p>
            <w:pPr>
              <w:pStyle w:val="Compact"/>
            </w:pPr>
            <w:r>
              <w:rPr>
                <w:sz w:val="19"/>
                <w:szCs w:val="19"/>
                <w:lang w:val="es-ES"/>
              </w:rPr>
              <w:t xml:space="preserve">Opción B (aislada)</w:t>
            </w:r>
          </w:p>
        </w:tc>
      </w:tr>
      <w:tr>
        <w:trPr>
          <w:cantSplit/>
        </w:trPr>
        <w:tc>
          <w:tcPr>
            <w:tcW w:type="dxa" w:w="1872"/>
            <w:tcMar>
              <w:left w:type="dxa" w:w="80"/>
              <w:right w:type="dxa" w:w="80"/>
            </w:tcMar>
          </w:tcPr>
          <w:p>
            <w:pPr>
              <w:pStyle w:val="Compact"/>
            </w:pPr>
            <w:r>
              <w:rPr>
                <w:sz w:val="19"/>
                <w:szCs w:val="19"/>
                <w:lang w:val="es-ES"/>
              </w:rPr>
              <w:t xml:space="preserve">1. Subir</w:t>
            </w:r>
          </w:p>
        </w:tc>
        <w:tc>
          <w:tcPr>
            <w:tcW w:type="dxa" w:w="1872"/>
            <w:tcMar>
              <w:left w:type="dxa" w:w="80"/>
              <w:right w:type="dxa" w:w="80"/>
            </w:tcMar>
          </w:tcPr>
          <w:p>
            <w:pPr>
              <w:pStyle w:val="Compact"/>
            </w:pPr>
            <w:r>
              <w:rPr>
                <w:sz w:val="19"/>
                <w:szCs w:val="19"/>
                <w:lang w:val="es-ES"/>
              </w:rPr>
              <w:t xml:space="preserve">Recepción del archivo de audio o vídeo, verificación de formato y tamaño (máximo 2.500 MB), cambio a estado “pendiente”</w:t>
            </w:r>
          </w:p>
        </w:tc>
        <w:tc>
          <w:tcPr>
            <w:tcW w:type="dxa" w:w="1872"/>
            <w:tcMar>
              <w:left w:type="dxa" w:w="80"/>
              <w:right w:type="dxa" w:w="80"/>
            </w:tcMar>
          </w:tcPr>
          <w:p>
            <w:pPr>
              <w:pStyle w:val="Compact"/>
            </w:pPr>
            <w:r>
              <w:rPr>
                <w:sz w:val="19"/>
                <w:szCs w:val="19"/>
                <w:lang w:val="es-ES"/>
              </w:rPr>
              <w:t xml:space="preserve">Aplicación Laravel + Nginx</w:t>
            </w:r>
          </w:p>
        </w:tc>
        <w:tc>
          <w:tcPr>
            <w:tcW w:type="dxa" w:w="1872"/>
            <w:tcMar>
              <w:left w:type="dxa" w:w="80"/>
              <w:right w:type="dxa" w:w="80"/>
            </w:tcMar>
          </w:tcPr>
          <w:p>
            <w:pPr>
              <w:pStyle w:val="Compact"/>
            </w:pPr>
            <w:r>
              <w:rPr>
                <w:sz w:val="19"/>
                <w:szCs w:val="19"/>
                <w:lang w:val="es-ES"/>
              </w:rPr>
              <w:t xml:space="preserve">Servidor Francia</w:t>
            </w:r>
          </w:p>
        </w:tc>
        <w:tc>
          <w:tcPr>
            <w:tcW w:type="dxa" w:w="1872"/>
            <w:tcMar>
              <w:left w:type="dxa" w:w="80"/>
              <w:right w:type="dxa" w:w="80"/>
            </w:tcMar>
          </w:tcPr>
          <w:p>
            <w:pPr>
              <w:pStyle w:val="Compact"/>
            </w:pPr>
            <w:r>
              <w:rPr>
                <w:sz w:val="19"/>
                <w:szCs w:val="19"/>
                <w:lang w:val="es-ES"/>
              </w:rPr>
              <w:t xml:space="preserve">Infraestructura del cliente</w:t>
            </w:r>
          </w:p>
        </w:tc>
      </w:tr>
      <w:tr>
        <w:trPr>
          <w:cantSplit/>
        </w:trPr>
        <w:tc>
          <w:tcPr>
            <w:tcW w:type="dxa" w:w="1872"/>
            <w:tcMar>
              <w:left w:type="dxa" w:w="80"/>
              <w:right w:type="dxa" w:w="80"/>
            </w:tcMar>
          </w:tcPr>
          <w:p>
            <w:pPr>
              <w:pStyle w:val="Compact"/>
            </w:pPr>
            <w:r>
              <w:rPr>
                <w:sz w:val="19"/>
                <w:szCs w:val="19"/>
                <w:lang w:val="es-ES"/>
              </w:rPr>
              <w:t xml:space="preserve">2. Análisis de virus</w:t>
            </w:r>
          </w:p>
        </w:tc>
        <w:tc>
          <w:tcPr>
            <w:tcW w:type="dxa" w:w="1872"/>
            <w:tcMar>
              <w:left w:type="dxa" w:w="80"/>
              <w:right w:type="dxa" w:w="80"/>
            </w:tcMar>
          </w:tcPr>
          <w:p>
            <w:pPr>
              <w:pStyle w:val="Compact"/>
            </w:pPr>
            <w:r>
              <w:rPr>
                <w:sz w:val="19"/>
                <w:szCs w:val="19"/>
                <w:lang w:val="es-ES"/>
              </w:rPr>
              <w:t xml:space="preserve">Control sistemático de cada carga antes de la escritura en disco, rechazo y alerta en caso de archivo infectado</w:t>
            </w:r>
          </w:p>
        </w:tc>
        <w:tc>
          <w:tcPr>
            <w:tcW w:type="dxa" w:w="1872"/>
            <w:tcMar>
              <w:left w:type="dxa" w:w="80"/>
              <w:right w:type="dxa" w:w="80"/>
            </w:tcMar>
          </w:tcPr>
          <w:p>
            <w:pPr>
              <w:pStyle w:val="Compact"/>
            </w:pPr>
            <w:r>
              <w:rPr>
                <w:sz w:val="19"/>
                <w:szCs w:val="19"/>
                <w:lang w:val="es-ES"/>
              </w:rPr>
              <w:t xml:space="preserve">Sidecar ClamAV</w:t>
            </w:r>
          </w:p>
        </w:tc>
        <w:tc>
          <w:tcPr>
            <w:tcW w:type="dxa" w:w="1872"/>
            <w:tcMar>
              <w:left w:type="dxa" w:w="80"/>
              <w:right w:type="dxa" w:w="80"/>
            </w:tcMar>
          </w:tcPr>
          <w:p>
            <w:pPr>
              <w:pStyle w:val="Compact"/>
            </w:pPr>
            <w:r>
              <w:rPr>
                <w:sz w:val="19"/>
                <w:szCs w:val="19"/>
                <w:lang w:val="es-ES"/>
              </w:rPr>
              <w:t xml:space="preserve">Servidor Francia</w:t>
            </w:r>
          </w:p>
        </w:tc>
        <w:tc>
          <w:tcPr>
            <w:tcW w:type="dxa" w:w="1872"/>
            <w:tcMar>
              <w:left w:type="dxa" w:w="80"/>
              <w:right w:type="dxa" w:w="80"/>
            </w:tcMar>
          </w:tcPr>
          <w:p>
            <w:pPr>
              <w:pStyle w:val="Compact"/>
            </w:pPr>
            <w:r>
              <w:rPr>
                <w:sz w:val="19"/>
                <w:szCs w:val="19"/>
                <w:lang w:val="es-ES"/>
              </w:rPr>
              <w:t xml:space="preserve">Infraestructura del cliente</w:t>
            </w:r>
          </w:p>
        </w:tc>
      </w:tr>
      <w:tr>
        <w:trPr>
          <w:cantSplit/>
        </w:trPr>
        <w:tc>
          <w:tcPr>
            <w:tcW w:type="dxa" w:w="1872"/>
            <w:tcMar>
              <w:left w:type="dxa" w:w="80"/>
              <w:right w:type="dxa" w:w="80"/>
            </w:tcMar>
          </w:tcPr>
          <w:p>
            <w:pPr>
              <w:pStyle w:val="Compact"/>
            </w:pPr>
            <w:r>
              <w:rPr>
                <w:sz w:val="19"/>
                <w:szCs w:val="19"/>
                <w:lang w:val="es-ES"/>
              </w:rPr>
              <w:t xml:space="preserve">3. Transcripción</w:t>
            </w:r>
          </w:p>
        </w:tc>
        <w:tc>
          <w:tcPr>
            <w:tcW w:type="dxa" w:w="1872"/>
            <w:tcMar>
              <w:left w:type="dxa" w:w="80"/>
              <w:right w:type="dxa" w:w="80"/>
            </w:tcMar>
          </w:tcPr>
          <w:p>
            <w:pPr>
              <w:pStyle w:val="Compact"/>
            </w:pPr>
            <w:r>
              <w:rPr>
                <w:sz w:val="19"/>
                <w:szCs w:val="19"/>
                <w:lang w:val="es-ES"/>
              </w:rPr>
              <w:t xml:space="preserve">Conversión de voz a texto, producción de segmentos y marcas de tiempo</w:t>
            </w:r>
          </w:p>
        </w:tc>
        <w:tc>
          <w:tcPr>
            <w:tcW w:type="dxa" w:w="1872"/>
            <w:tcMar>
              <w:left w:type="dxa" w:w="80"/>
              <w:right w:type="dxa" w:w="80"/>
            </w:tcMar>
          </w:tcPr>
          <w:p>
            <w:pPr>
              <w:pStyle w:val="Compact"/>
            </w:pPr>
            <w:r>
              <w:rPr>
                <w:sz w:val="19"/>
                <w:szCs w:val="19"/>
                <w:lang w:val="es-ES"/>
              </w:rPr>
              <w:t xml:space="preserve">Servidor de transcripción GPU (whisperX)</w:t>
            </w:r>
          </w:p>
        </w:tc>
        <w:tc>
          <w:tcPr>
            <w:tcW w:type="dxa" w:w="1872"/>
            <w:tcMar>
              <w:left w:type="dxa" w:w="80"/>
              <w:right w:type="dxa" w:w="80"/>
            </w:tcMar>
          </w:tcPr>
          <w:p>
            <w:pPr>
              <w:pStyle w:val="Compact"/>
            </w:pPr>
            <w:r>
              <w:rPr>
                <w:sz w:val="19"/>
                <w:szCs w:val="19"/>
                <w:lang w:val="es-ES"/>
              </w:rPr>
              <w:t xml:space="preserve">Recurso GPU o UE dedicado cuando sea necesario</w:t>
            </w:r>
          </w:p>
        </w:tc>
        <w:tc>
          <w:tcPr>
            <w:tcW w:type="dxa" w:w="1872"/>
            <w:tcMar>
              <w:left w:type="dxa" w:w="80"/>
              <w:right w:type="dxa" w:w="80"/>
            </w:tcMar>
          </w:tcPr>
          <w:p>
            <w:pPr>
              <w:pStyle w:val="Compact"/>
            </w:pPr>
            <w:r>
              <w:rPr>
                <w:sz w:val="19"/>
                <w:szCs w:val="19"/>
                <w:lang w:val="es-ES"/>
              </w:rPr>
              <w:t xml:space="preserve">Trabajador de GPU local del cliente</w:t>
            </w:r>
          </w:p>
        </w:tc>
      </w:tr>
      <w:tr>
        <w:trPr>
          <w:cantSplit/>
        </w:trPr>
        <w:tc>
          <w:tcPr>
            <w:tcW w:type="dxa" w:w="1872"/>
            <w:tcMar>
              <w:left w:type="dxa" w:w="80"/>
              <w:right w:type="dxa" w:w="80"/>
            </w:tcMar>
          </w:tcPr>
          <w:p>
            <w:pPr>
              <w:pStyle w:val="Compact"/>
            </w:pPr>
            <w:r>
              <w:rPr>
                <w:sz w:val="19"/>
                <w:szCs w:val="19"/>
                <w:lang w:val="es-ES"/>
              </w:rPr>
              <w:t xml:space="preserve">4. Diarización</w:t>
            </w:r>
          </w:p>
        </w:tc>
        <w:tc>
          <w:tcPr>
            <w:tcW w:type="dxa" w:w="1872"/>
            <w:tcMar>
              <w:left w:type="dxa" w:w="80"/>
              <w:right w:type="dxa" w:w="80"/>
            </w:tcMar>
          </w:tcPr>
          <w:p>
            <w:pPr>
              <w:pStyle w:val="Compact"/>
            </w:pPr>
            <w:r>
              <w:rPr>
                <w:sz w:val="19"/>
                <w:szCs w:val="19"/>
                <w:lang w:val="es-ES"/>
              </w:rPr>
              <w:t xml:space="preserve">Separación posicional de los interlocutores, etiquetas neutras «Speaker N», sin plantilla conservada; esto no garantiza el anonimato.</w:t>
            </w:r>
          </w:p>
        </w:tc>
        <w:tc>
          <w:tcPr>
            <w:tcW w:type="dxa" w:w="1872"/>
            <w:tcMar>
              <w:left w:type="dxa" w:w="80"/>
              <w:right w:type="dxa" w:w="80"/>
            </w:tcMar>
          </w:tcPr>
          <w:p>
            <w:pPr>
              <w:pStyle w:val="Compact"/>
            </w:pPr>
            <w:r>
              <w:rPr>
                <w:sz w:val="19"/>
                <w:szCs w:val="19"/>
                <w:lang w:val="es-ES"/>
              </w:rPr>
              <w:t xml:space="preserve">pyannote.audio</w:t>
            </w:r>
          </w:p>
        </w:tc>
        <w:tc>
          <w:tcPr>
            <w:tcW w:type="dxa" w:w="1872"/>
            <w:tcMar>
              <w:left w:type="dxa" w:w="80"/>
              <w:right w:type="dxa" w:w="80"/>
            </w:tcMar>
          </w:tcPr>
          <w:p>
            <w:pPr>
              <w:pStyle w:val="Compact"/>
            </w:pPr>
            <w:r>
              <w:rPr>
                <w:sz w:val="19"/>
                <w:szCs w:val="19"/>
                <w:lang w:val="es-ES"/>
              </w:rPr>
              <w:t xml:space="preserve">Procesamiento automatizado, datos eliminados después del trabajo.</w:t>
            </w:r>
          </w:p>
        </w:tc>
        <w:tc>
          <w:tcPr>
            <w:tcW w:type="dxa" w:w="1872"/>
            <w:tcMar>
              <w:left w:type="dxa" w:w="80"/>
              <w:right w:type="dxa" w:w="80"/>
            </w:tcMar>
          </w:tcPr>
          <w:p>
            <w:pPr>
              <w:pStyle w:val="Compact"/>
            </w:pPr>
            <w:r>
              <w:rPr>
                <w:sz w:val="19"/>
                <w:szCs w:val="19"/>
                <w:lang w:val="es-ES"/>
              </w:rPr>
              <w:t xml:space="preserve">Trabajador de GPU local del cliente</w:t>
            </w:r>
          </w:p>
        </w:tc>
      </w:tr>
      <w:tr>
        <w:trPr>
          <w:cantSplit/>
        </w:trPr>
        <w:tc>
          <w:tcPr>
            <w:tcW w:type="dxa" w:w="1872"/>
            <w:tcMar>
              <w:left w:type="dxa" w:w="80"/>
              <w:right w:type="dxa" w:w="80"/>
            </w:tcMar>
          </w:tcPr>
          <w:p>
            <w:pPr>
              <w:pStyle w:val="Compact"/>
            </w:pPr>
            <w:r>
              <w:rPr>
                <w:sz w:val="19"/>
                <w:szCs w:val="19"/>
                <w:lang w:val="es-ES"/>
              </w:rPr>
              <w:t xml:space="preserve">5. Explotación de la IA</w:t>
            </w:r>
          </w:p>
        </w:tc>
        <w:tc>
          <w:tcPr>
            <w:tcW w:type="dxa" w:w="1872"/>
            <w:tcMar>
              <w:left w:type="dxa" w:w="80"/>
              <w:right w:type="dxa" w:w="80"/>
            </w:tcMar>
          </w:tcPr>
          <w:p>
            <w:pPr>
              <w:pStyle w:val="Compact"/>
            </w:pPr>
            <w:r>
              <w:rPr>
                <w:sz w:val="19"/>
                <w:szCs w:val="19"/>
                <w:lang w:val="es-ES"/>
              </w:rPr>
              <w:t xml:space="preserve">Corrección, resumen, actas, capítulos, sugerencia de identificación de oradores, únicamente de fuentes seleccionadas</w:t>
            </w:r>
          </w:p>
        </w:tc>
        <w:tc>
          <w:tcPr>
            <w:tcW w:type="dxa" w:w="1872"/>
            <w:tcMar>
              <w:left w:type="dxa" w:w="80"/>
              <w:right w:type="dxa" w:w="80"/>
            </w:tcMar>
          </w:tcPr>
          <w:p>
            <w:pPr>
              <w:pStyle w:val="Compact"/>
            </w:pPr>
            <w:r>
              <w:rPr>
                <w:sz w:val="19"/>
                <w:szCs w:val="19"/>
                <w:lang w:val="es-ES"/>
              </w:rPr>
              <w:t xml:space="preserve">Servidores vLLM dominados / LlmGateway / Configuración LLM por organización</w:t>
            </w:r>
          </w:p>
        </w:tc>
        <w:tc>
          <w:tcPr>
            <w:tcW w:type="dxa" w:w="1872"/>
            <w:tcMar>
              <w:left w:type="dxa" w:w="80"/>
              <w:right w:type="dxa" w:w="80"/>
            </w:tcMar>
          </w:tcPr>
          <w:p>
            <w:pPr>
              <w:pStyle w:val="Compact"/>
            </w:pPr>
            <w:r>
              <w:rPr>
                <w:sz w:val="19"/>
                <w:szCs w:val="19"/>
                <w:lang w:val="es-ES"/>
              </w:rPr>
              <w:t xml:space="preserve">Ruta principal: pesos abiertos de vLLM en GPU dominadas en Europa (Estrasburgo/París); Copia de seguridad de OpenRouter (fuera del EEE) si la ruta principal no está disponible y no está deshabilitada</w:t>
            </w:r>
          </w:p>
        </w:tc>
        <w:tc>
          <w:tcPr>
            <w:tcW w:type="dxa" w:w="1872"/>
            <w:tcMar>
              <w:left w:type="dxa" w:w="80"/>
              <w:right w:type="dxa" w:w="80"/>
            </w:tcMar>
          </w:tcPr>
          <w:p>
            <w:pPr>
              <w:pStyle w:val="Compact"/>
            </w:pPr>
            <w:r>
              <w:rPr>
                <w:sz w:val="19"/>
                <w:szCs w:val="19"/>
                <w:lang w:val="es-ES"/>
              </w:rPr>
              <w:t xml:space="preserve">Modelo local autohospedado (vLLM/Ollama), sin flujo saliente</w:t>
            </w:r>
          </w:p>
        </w:tc>
      </w:tr>
      <w:tr>
        <w:trPr>
          <w:cantSplit/>
        </w:trPr>
        <w:tc>
          <w:tcPr>
            <w:tcW w:type="dxa" w:w="1872"/>
            <w:tcMar>
              <w:left w:type="dxa" w:w="80"/>
              <w:right w:type="dxa" w:w="80"/>
            </w:tcMar>
          </w:tcPr>
          <w:p>
            <w:pPr>
              <w:pStyle w:val="Compact"/>
            </w:pPr>
            <w:r>
              <w:rPr>
                <w:sz w:val="19"/>
                <w:szCs w:val="19"/>
                <w:lang w:val="es-ES"/>
              </w:rPr>
              <w:t xml:space="preserve">6. Correlación de voz (opción)</w:t>
            </w:r>
          </w:p>
        </w:tc>
        <w:tc>
          <w:tcPr>
            <w:tcW w:type="dxa" w:w="1872"/>
            <w:tcMar>
              <w:left w:type="dxa" w:w="80"/>
              <w:right w:type="dxa" w:w="80"/>
            </w:tcMar>
          </w:tcPr>
          <w:p>
            <w:pPr>
              <w:pStyle w:val="Compact"/>
            </w:pPr>
            <w:r>
              <w:rPr>
                <w:sz w:val="19"/>
                <w:szCs w:val="19"/>
                <w:lang w:val="es-ES"/>
              </w:rPr>
              <w:t xml:space="preserve">Comparación de voces efímeras para sugerir conexiones de hablantes, incrustaciones destruidas al final de la solicitud</w:t>
            </w:r>
          </w:p>
        </w:tc>
        <w:tc>
          <w:tcPr>
            <w:tcW w:type="dxa" w:w="1872"/>
            <w:tcMar>
              <w:left w:type="dxa" w:w="80"/>
              <w:right w:type="dxa" w:w="80"/>
            </w:tcMar>
          </w:tcPr>
          <w:p>
            <w:pPr>
              <w:pStyle w:val="Compact"/>
            </w:pPr>
            <w:r>
              <w:rPr>
                <w:sz w:val="19"/>
                <w:szCs w:val="19"/>
                <w:lang w:val="es-ES"/>
              </w:rPr>
              <w:t xml:space="preserve">Trabajador dedicado</w:t>
            </w:r>
          </w:p>
        </w:tc>
        <w:tc>
          <w:tcPr>
            <w:tcW w:type="dxa" w:w="1872"/>
            <w:tcMar>
              <w:left w:type="dxa" w:w="80"/>
              <w:right w:type="dxa" w:w="80"/>
            </w:tcMar>
          </w:tcPr>
          <w:p>
            <w:pPr>
              <w:pStyle w:val="Compact"/>
            </w:pPr>
            <w:r>
              <w:rPr>
                <w:sz w:val="19"/>
                <w:szCs w:val="19"/>
                <w:lang w:val="es-ES"/>
              </w:rPr>
              <w:t xml:space="preserve">Deshabilitado por defecto; suscripción voluntaria + enmienda DPA + EIPD</w:t>
            </w:r>
          </w:p>
        </w:tc>
        <w:tc>
          <w:tcPr>
            <w:tcW w:type="dxa" w:w="1872"/>
            <w:tcMar>
              <w:left w:type="dxa" w:w="80"/>
              <w:right w:type="dxa" w:w="80"/>
            </w:tcMar>
          </w:tcPr>
          <w:p>
            <w:pPr>
              <w:pStyle w:val="Compact"/>
            </w:pPr>
            <w:r>
              <w:rPr>
                <w:sz w:val="19"/>
                <w:szCs w:val="19"/>
                <w:lang w:val="es-ES"/>
              </w:rPr>
              <w:t xml:space="preserve">Deshabilitado por defecto; tratamiento local solamente</w:t>
            </w:r>
          </w:p>
        </w:tc>
      </w:tr>
      <w:tr>
        <w:trPr>
          <w:cantSplit/>
        </w:trPr>
        <w:tc>
          <w:tcPr>
            <w:tcW w:type="dxa" w:w="1872"/>
            <w:tcMar>
              <w:left w:type="dxa" w:w="80"/>
              <w:right w:type="dxa" w:w="80"/>
            </w:tcMar>
          </w:tcPr>
          <w:p>
            <w:pPr>
              <w:pStyle w:val="Compact"/>
            </w:pPr>
            <w:r>
              <w:rPr>
                <w:sz w:val="19"/>
                <w:szCs w:val="19"/>
                <w:lang w:val="es-ES"/>
              </w:rPr>
              <w:t xml:space="preserve">7. Exportaciones</w:t>
            </w:r>
          </w:p>
        </w:tc>
        <w:tc>
          <w:tcPr>
            <w:tcW w:type="dxa" w:w="1872"/>
            <w:tcMar>
              <w:left w:type="dxa" w:w="80"/>
              <w:right w:type="dxa" w:w="80"/>
            </w:tcMar>
          </w:tcPr>
          <w:p>
            <w:pPr>
              <w:pStyle w:val="Compact"/>
            </w:pPr>
            <w:r>
              <w:rPr>
                <w:sz w:val="19"/>
                <w:szCs w:val="19"/>
                <w:lang w:val="es-ES"/>
              </w:rPr>
              <w:t xml:space="preserve">Generación de documentos Word, exportación de datos.</w:t>
            </w:r>
          </w:p>
        </w:tc>
        <w:tc>
          <w:tcPr>
            <w:tcW w:type="dxa" w:w="1872"/>
            <w:tcMar>
              <w:left w:type="dxa" w:w="80"/>
              <w:right w:type="dxa" w:w="80"/>
            </w:tcMar>
          </w:tcPr>
          <w:p>
            <w:pPr>
              <w:pStyle w:val="Compact"/>
            </w:pPr>
            <w:r>
              <w:rPr>
                <w:sz w:val="19"/>
                <w:szCs w:val="19"/>
                <w:lang w:val="es-ES"/>
              </w:rPr>
              <w:t xml:space="preserve">Aplicación Laravel</w:t>
            </w:r>
          </w:p>
        </w:tc>
        <w:tc>
          <w:tcPr>
            <w:tcW w:type="dxa" w:w="1872"/>
            <w:tcMar>
              <w:left w:type="dxa" w:w="80"/>
              <w:right w:type="dxa" w:w="80"/>
            </w:tcMar>
          </w:tcPr>
          <w:p>
            <w:pPr>
              <w:pStyle w:val="Compact"/>
            </w:pPr>
            <w:r>
              <w:rPr>
                <w:sz w:val="19"/>
                <w:szCs w:val="19"/>
                <w:lang w:val="es-ES"/>
              </w:rPr>
              <w:t xml:space="preserve">Servidor Francia</w:t>
            </w:r>
          </w:p>
        </w:tc>
        <w:tc>
          <w:tcPr>
            <w:tcW w:type="dxa" w:w="1872"/>
            <w:tcMar>
              <w:left w:type="dxa" w:w="80"/>
              <w:right w:type="dxa" w:w="80"/>
            </w:tcMar>
          </w:tcPr>
          <w:p>
            <w:pPr>
              <w:pStyle w:val="Compact"/>
            </w:pPr>
            <w:r>
              <w:rPr>
                <w:sz w:val="19"/>
                <w:szCs w:val="19"/>
                <w:lang w:val="es-ES"/>
              </w:rPr>
              <w:t xml:space="preserve">Infraestructura del cliente</w:t>
            </w:r>
          </w:p>
        </w:tc>
      </w:tr>
      <w:tr>
        <w:trPr>
          <w:cantSplit/>
        </w:trPr>
        <w:tc>
          <w:tcPr>
            <w:tcW w:type="dxa" w:w="1872"/>
            <w:tcMar>
              <w:left w:type="dxa" w:w="80"/>
              <w:right w:type="dxa" w:w="80"/>
            </w:tcMar>
          </w:tcPr>
          <w:p>
            <w:pPr>
              <w:pStyle w:val="Compact"/>
            </w:pPr>
            <w:r>
              <w:rPr>
                <w:sz w:val="19"/>
                <w:szCs w:val="19"/>
                <w:lang w:val="es-ES"/>
              </w:rPr>
              <w:t xml:space="preserve">8. Registro</w:t>
            </w:r>
          </w:p>
        </w:tc>
        <w:tc>
          <w:tcPr>
            <w:tcW w:type="dxa" w:w="1872"/>
            <w:tcMar>
              <w:left w:type="dxa" w:w="80"/>
              <w:right w:type="dxa" w:w="80"/>
            </w:tcMar>
          </w:tcPr>
          <w:p>
            <w:pPr>
              <w:pStyle w:val="Compact"/>
            </w:pPr>
            <w:r>
              <w:rPr>
                <w:sz w:val="19"/>
                <w:szCs w:val="19"/>
                <w:lang w:val="es-ES"/>
              </w:rPr>
              <w:t xml:space="preserve">Registro de acciones en registros de auditoría por organización y a nivel de plataforma</w:t>
            </w:r>
          </w:p>
        </w:tc>
        <w:tc>
          <w:tcPr>
            <w:tcW w:type="dxa" w:w="1872"/>
            <w:tcMar>
              <w:left w:type="dxa" w:w="80"/>
              <w:right w:type="dxa" w:w="80"/>
            </w:tcMar>
          </w:tcPr>
          <w:p>
            <w:pPr>
              <w:pStyle w:val="Compact"/>
            </w:pPr>
            <w:r>
              <w:rPr>
                <w:sz w:val="19"/>
                <w:szCs w:val="19"/>
                <w:lang w:val="es-ES"/>
              </w:rPr>
              <w:t xml:space="preserve">PostgreSQL (</w:t>
            </w:r>
            <w:r>
              <w:rPr>
                <w:rStyle w:val="VerbatimChar"/>
                <w:sz w:val="19"/>
                <w:szCs w:val="19"/>
                <w:lang w:val="es-ES"/>
              </w:rPr>
              <w:t xml:space="preserve">activity_logs</w:t>
            </w:r>
            <w:r>
              <w:rPr>
                <w:sz w:val="19"/>
                <w:szCs w:val="19"/>
                <w:lang w:val="es-ES"/>
              </w:rPr>
              <w:t xml:space="preserve">,</w:t>
            </w:r>
            <w:r>
              <w:rPr>
                <w:sz w:val="19"/>
                <w:szCs w:val="19"/>
                <w:lang w:val="es-ES"/>
              </w:rPr>
              <w:t xml:space="preserve"> </w:t>
            </w:r>
            <w:r>
              <w:rPr>
                <w:rStyle w:val="VerbatimChar"/>
                <w:sz w:val="19"/>
                <w:szCs w:val="19"/>
                <w:lang w:val="es-ES"/>
              </w:rPr>
              <w:t xml:space="preserve">public.audit_logs</w:t>
            </w:r>
            <w:r>
              <w:rPr>
                <w:sz w:val="19"/>
                <w:szCs w:val="19"/>
                <w:lang w:val="es-ES"/>
              </w:rPr>
              <w:t xml:space="preserve">)</w:t>
            </w:r>
          </w:p>
        </w:tc>
        <w:tc>
          <w:tcPr>
            <w:tcW w:type="dxa" w:w="1872"/>
            <w:tcMar>
              <w:left w:type="dxa" w:w="80"/>
              <w:right w:type="dxa" w:w="80"/>
            </w:tcMar>
          </w:tcPr>
          <w:p>
            <w:pPr>
              <w:pStyle w:val="Compact"/>
            </w:pPr>
            <w:r>
              <w:rPr>
                <w:sz w:val="19"/>
                <w:szCs w:val="19"/>
                <w:lang w:val="es-ES"/>
              </w:rPr>
              <w:t xml:space="preserve">Servidor Francia</w:t>
            </w:r>
          </w:p>
        </w:tc>
        <w:tc>
          <w:tcPr>
            <w:tcW w:type="dxa" w:w="1872"/>
            <w:tcMar>
              <w:left w:type="dxa" w:w="80"/>
              <w:right w:type="dxa" w:w="80"/>
            </w:tcMar>
          </w:tcPr>
          <w:p>
            <w:pPr>
              <w:pStyle w:val="Compact"/>
            </w:pPr>
            <w:r>
              <w:rPr>
                <w:sz w:val="19"/>
                <w:szCs w:val="19"/>
                <w:lang w:val="es-ES"/>
              </w:rPr>
              <w:t xml:space="preserve">Infraestructura del cliente</w:t>
            </w:r>
          </w:p>
        </w:tc>
      </w:tr>
      <w:tr>
        <w:trPr>
          <w:cantSplit/>
        </w:trPr>
        <w:tc>
          <w:tcPr>
            <w:tcW w:type="dxa" w:w="1872"/>
            <w:tcMar>
              <w:left w:type="dxa" w:w="80"/>
              <w:right w:type="dxa" w:w="80"/>
            </w:tcMar>
          </w:tcPr>
          <w:p>
            <w:pPr>
              <w:pStyle w:val="Compact"/>
            </w:pPr>
            <w:r>
              <w:rPr>
                <w:sz w:val="19"/>
                <w:szCs w:val="19"/>
                <w:lang w:val="es-ES"/>
              </w:rPr>
              <w:t xml:space="preserve">9. Copia de seguridad</w:t>
            </w:r>
          </w:p>
        </w:tc>
        <w:tc>
          <w:tcPr>
            <w:tcW w:type="dxa" w:w="1872"/>
            <w:tcMar>
              <w:left w:type="dxa" w:w="80"/>
              <w:right w:type="dxa" w:w="80"/>
            </w:tcMar>
          </w:tcPr>
          <w:p>
            <w:pPr>
              <w:pStyle w:val="Compact"/>
            </w:pPr>
            <w:r>
              <w:rPr>
                <w:sz w:val="19"/>
                <w:szCs w:val="19"/>
                <w:lang w:val="es-ES"/>
              </w:rPr>
              <w:t xml:space="preserve">Copias de seguridad diarias cifradas antes de la subcontratación</w:t>
            </w:r>
          </w:p>
        </w:tc>
        <w:tc>
          <w:tcPr>
            <w:tcW w:type="dxa" w:w="1872"/>
            <w:tcMar>
              <w:left w:type="dxa" w:w="80"/>
              <w:right w:type="dxa" w:w="80"/>
            </w:tcMar>
          </w:tcPr>
          <w:p>
            <w:pPr>
              <w:pStyle w:val="Compact"/>
            </w:pPr>
            <w:r>
              <w:rPr>
                <w:sz w:val="19"/>
                <w:szCs w:val="19"/>
                <w:lang w:val="es-ES"/>
              </w:rPr>
              <w:t xml:space="preserve">Copia de seguridad + scripts rclone</w:t>
            </w:r>
          </w:p>
        </w:tc>
        <w:tc>
          <w:tcPr>
            <w:tcW w:type="dxa" w:w="1872"/>
            <w:tcMar>
              <w:left w:type="dxa" w:w="80"/>
              <w:right w:type="dxa" w:w="80"/>
            </w:tcMar>
          </w:tcPr>
          <w:p>
            <w:pPr>
              <w:pStyle w:val="Compact"/>
            </w:pPr>
            <w:r>
              <w:rPr>
                <w:sz w:val="19"/>
                <w:szCs w:val="19"/>
                <w:lang w:val="es-ES"/>
              </w:rPr>
              <w:t xml:space="preserve">Cifrado de age, almacenamiento Scaleway (Francia)</w:t>
            </w:r>
          </w:p>
        </w:tc>
        <w:tc>
          <w:tcPr>
            <w:tcW w:type="dxa" w:w="1872"/>
            <w:tcMar>
              <w:left w:type="dxa" w:w="80"/>
              <w:right w:type="dxa" w:w="80"/>
            </w:tcMar>
          </w:tcPr>
          <w:p>
            <w:pPr>
              <w:pStyle w:val="Compact"/>
            </w:pPr>
            <w:r>
              <w:rPr>
                <w:sz w:val="19"/>
                <w:szCs w:val="19"/>
                <w:lang w:val="es-ES"/>
              </w:rPr>
              <w:t xml:space="preserve">A cargo del cliente</w:t>
            </w:r>
          </w:p>
        </w:tc>
      </w:tr>
      <w:tr>
        <w:trPr>
          <w:cantSplit/>
        </w:trPr>
        <w:tc>
          <w:tcPr>
            <w:tcW w:type="dxa" w:w="1872"/>
            <w:tcMar>
              <w:left w:type="dxa" w:w="80"/>
              <w:right w:type="dxa" w:w="80"/>
            </w:tcMar>
          </w:tcPr>
          <w:p>
            <w:pPr>
              <w:pStyle w:val="Compact"/>
            </w:pPr>
            <w:r>
              <w:rPr>
                <w:sz w:val="19"/>
                <w:szCs w:val="19"/>
                <w:lang w:val="es-ES"/>
              </w:rPr>
              <w:t xml:space="preserve">10. Eliminación</w:t>
            </w:r>
          </w:p>
        </w:tc>
        <w:tc>
          <w:tcPr>
            <w:tcW w:type="dxa" w:w="1872"/>
            <w:tcMar>
              <w:left w:type="dxa" w:w="80"/>
              <w:right w:type="dxa" w:w="80"/>
            </w:tcMar>
          </w:tcPr>
          <w:p>
            <w:pPr>
              <w:pStyle w:val="Compact"/>
            </w:pPr>
            <w:r>
              <w:rPr>
                <w:sz w:val="19"/>
                <w:szCs w:val="19"/>
                <w:lang w:val="es-ES"/>
              </w:rPr>
              <w:t xml:space="preserve">Purga de datos certificada previa solicitud, emisión de certificado de eliminación</w:t>
            </w:r>
          </w:p>
        </w:tc>
        <w:tc>
          <w:tcPr>
            <w:tcW w:type="dxa" w:w="1872"/>
            <w:tcMar>
              <w:left w:type="dxa" w:w="80"/>
              <w:right w:type="dxa" w:w="80"/>
            </w:tcMar>
          </w:tcPr>
          <w:p>
            <w:pPr>
              <w:pStyle w:val="Compact"/>
            </w:pPr>
            <w:r>
              <w:rPr>
                <w:sz w:val="19"/>
                <w:szCs w:val="19"/>
                <w:lang w:val="es-ES"/>
              </w:rPr>
              <w:t xml:space="preserve">Flujo de trabajo de purga de aplicaciones</w:t>
            </w:r>
          </w:p>
        </w:tc>
        <w:tc>
          <w:tcPr>
            <w:tcW w:type="dxa" w:w="1872"/>
            <w:tcMar>
              <w:left w:type="dxa" w:w="80"/>
              <w:right w:type="dxa" w:w="80"/>
            </w:tcMar>
          </w:tcPr>
          <w:p>
            <w:pPr>
              <w:pStyle w:val="Compact"/>
            </w:pPr>
            <w:r>
              <w:rPr>
                <w:sz w:val="19"/>
                <w:szCs w:val="19"/>
                <w:lang w:val="es-ES"/>
              </w:rPr>
              <w:t xml:space="preserve">Servidor de Francia + purga de copias de seguridad (≤ 90 días)</w:t>
            </w:r>
          </w:p>
        </w:tc>
        <w:tc>
          <w:tcPr>
            <w:tcW w:type="dxa" w:w="1872"/>
            <w:tcMar>
              <w:left w:type="dxa" w:w="80"/>
              <w:right w:type="dxa" w:w="80"/>
            </w:tcMar>
          </w:tcPr>
          <w:p>
            <w:pPr>
              <w:pStyle w:val="Compact"/>
            </w:pPr>
            <w:r>
              <w:rPr>
                <w:sz w:val="19"/>
                <w:szCs w:val="19"/>
                <w:lang w:val="es-ES"/>
              </w:rPr>
              <w:t xml:space="preserve">Infraestructura del cliente</w:t>
            </w:r>
          </w:p>
        </w:tc>
      </w:tr>
    </w:tbl>
    <w:bookmarkStart w:id="31" w:name="détail-des-étapes"/>
    <w:p>
      <w:pPr>
        <w:pStyle w:val="Heading3"/>
        <w:keepNext/>
        <w:keepLines/>
      </w:pPr>
      <w:r>
        <w:rPr>
          <w:color w:val="000000"/>
          <w:lang w:val="es-ES"/>
        </w:rPr>
        <w:t xml:space="preserve">Detalles de los pasos</w:t>
      </w:r>
    </w:p>
    <w:p>
      <w:pPr>
        <w:pStyle w:val="FirstParagraph"/>
      </w:pPr>
      <w:r>
        <w:rPr>
          <w:b/>
          <w:bCs/>
          <w:lang w:val="es-ES"/>
        </w:rPr>
        <w:t xml:space="preserve">Paso 1: cargar. El usuario </w:t>
      </w:r>
      <w:r>
        <w:rPr>
          <w:lang w:val="es-ES"/>
        </w:rPr>
        <w:t xml:space="preserve"/>
      </w:r>
      <w:r>
        <w:rPr>
          <w:lang w:val="es-ES"/>
        </w:rPr>
        <w:t xml:space="preserve">autorizado crea una sesión y carga un archivo. El archivo se verifica (formato entre mp3, wav, ogg, m4a, flac, webm, mp4, avi, mkv, mov, wmv; tamaño máximo 2500 MB) y luego se coloca en una cola con estado "pendiente". El acceso posterior al archivo para su transmisión se realiza a través de una URL firmada temporalmente (válida por 30 minutos).</w:t>
      </w:r>
    </w:p>
    <w:p>
      <w:pPr>
        <w:pStyle w:val="BodyText"/>
      </w:pPr>
      <w:r>
        <w:rPr>
          <w:b/>
          <w:bCs/>
          <w:lang w:val="es-ES"/>
        </w:rPr>
        <w:t xml:space="preserve">Paso 2: escaneo antivirus. </w:t>
      </w:r>
      <w:r>
        <w:rPr>
          <w:lang w:val="es-ES"/>
        </w:rPr>
        <w:t xml:space="preserve">Cada </w:t>
      </w:r>
      <w:r>
        <w:rPr>
          <w:lang w:val="es-ES"/>
        </w:rPr>
        <w:t xml:space="preserve">carga está sujeta a un análisis de ClamAV antes de la redacción final. Un archivo infectado se rechaza, se registra y genera una alerta. En caso de que el escáner no esté disponible, se rastrea el evento (se registra el comportamiento de "apertura fallida"), lo que debe tenerse en cuenta en su análisis de riesgos.</w:t>
      </w:r>
    </w:p>
    <w:p>
      <w:pPr>
        <w:pStyle w:val="BodyText"/>
      </w:pPr>
      <w:r>
        <w:rPr>
          <w:b/>
          <w:bCs/>
          <w:lang w:val="es-ES"/>
        </w:rPr>
        <w:t xml:space="preserve">Paso 3: Transcripción. </w:t>
      </w:r>
      <w:r>
        <w:rPr>
          <w:lang w:val="es-ES"/>
        </w:rPr>
        <w:t xml:space="preserve"/>
      </w:r>
      <w:r>
        <w:rPr>
          <w:lang w:val="es-ES"/>
        </w:rPr>
        <w:t xml:space="preserve">Un trabajador de transcripción sondea la cola, recupera archivos pendientes, realiza conversión de voz a texto, transmite el progreso y luego entrega el resultado como segmentos JSON. Los datos de audio se eliminan del trabajador después de procesar el trabajo.</w:t>
      </w:r>
    </w:p>
    <w:p>
      <w:pPr>
        <w:pStyle w:val="BodyText"/>
      </w:pPr>
      <w:r>
        <w:rPr>
          <w:b/>
          <w:bCs/>
          <w:lang w:val="es-ES"/>
        </w:rPr>
        <w:t xml:space="preserve">Etapa 4 — Diarización. La </w:t>
      </w:r>
      <w:r>
        <w:rPr>
          <w:lang w:val="es-ES"/>
        </w:rPr>
        <w:t xml:space="preserve"/>
      </w:r>
      <w:r>
        <w:rPr>
          <w:lang w:val="es-ES"/>
        </w:rPr>
        <w:t xml:space="preserve">diarización asigna etiquetas posicionales «Speaker 1», «Speaker 2», etc. a los segmentos de una misma sesión. Estas etiquetas no son necesariamente anónimas en el sentido del RGPD. Las representaciones vocales se liberan al finalizar la tarea según la configuración documentada. La clasificación con arreglo a los artículos 4.14 y 9 debe evaluarse según las finalidades y los medios efectivos; no queda excluida por la mera supresión de las plantillas.</w:t>
      </w:r>
    </w:p>
    <w:p>
      <w:pPr>
        <w:pStyle w:val="BodyText"/>
      </w:pPr>
      <w:r>
        <w:rPr>
          <w:b/>
          <w:bCs/>
          <w:lang w:val="es-ES"/>
        </w:rPr>
        <w:t xml:space="preserve">Paso 5: Explotación de la </w:t>
      </w:r>
      <w:r>
        <w:rPr>
          <w:lang w:val="es-ES"/>
        </w:rPr>
        <w:t xml:space="preserve"/>
      </w:r>
      <w:r>
        <w:rPr>
          <w:lang w:val="es-ES"/>
        </w:rPr>
        <w:t xml:space="preserve">IA. Por defecto, las funciones de IA (corrección, resumen, actas, capítulos, sugerencia de identificación) se ejecutan en servidores GPU controlados por OHADJA que ejecutan vLLM con modelos de peso abierto ([PARA COMPLETAR: versiones exactas — Qwen 3.6 o Mistral]), alojados en Europa (principalmente Estrasburgo y París) o, en la Opción B, en la infraestructura del cliente; En esta ruta principal, ningún dato sale del EEE ni se transmite a un proveedor de modelos externo. La puerta de enlace OpenRouter (Claude, GPT, etc.) solo se utiliza como respaldo (failover), en caso de indisponibilidad de la ruta principal, y puede ser desactivada por la organización. Las funciones de IA funcionan únicamente en fuentes seleccionadas por el usuario, según un principio de minimización. Los datos pasados ​​al modelo no se utilizan para entrenar modelos específicos de OHADJA. Desde la versión 1.7.0, cada organización puede definir su propio proveedor, clave, plantilla y, si corresponde, una URL de plantilla autohospedada; una organización con sus propias configuraciones nunca utiliza las configuraciones de la plataforma (comportamiento de "fallo cerrado").</w:t>
      </w:r>
    </w:p>
    <w:p>
      <w:pPr>
        <w:pStyle w:val="BodyText"/>
      </w:pPr>
      <w:r>
        <w:rPr>
          <w:b/>
          <w:bCs/>
          <w:lang w:val="es-ES"/>
        </w:rPr>
        <w:t xml:space="preserve">Paso 6: Correlación de voz (opcional). </w:t>
      </w:r>
      <w:r>
        <w:rPr>
          <w:lang w:val="es-ES"/>
        </w:rPr>
        <w:t xml:space="preserve"/>
      </w:r>
      <w:r>
        <w:rPr>
          <w:lang w:val="es-ES"/>
        </w:rPr>
        <w:t xml:space="preserve">Procesamiento deshabilitado por defecto, descrito en el Apéndice 1 de la DPA y la hoja de conformidad (documento TRB-CONF-01.01). Calcula temporalmente las características de la voz en la RAM, sin plantilla persistente, con destrucción al final de la solicitud y validación humana obligatoria de las sugerencias.</w:t>
      </w:r>
    </w:p>
    <w:p>
      <w:pPr>
        <w:pStyle w:val="BodyText"/>
      </w:pPr>
      <w:r>
        <w:rPr>
          <w:b/>
          <w:bCs/>
          <w:lang w:val="es-ES"/>
        </w:rPr>
        <w:t xml:space="preserve">Paso 7: Exportaciones. </w:t>
      </w:r>
      <w:r>
        <w:rPr>
          <w:lang w:val="es-ES"/>
        </w:rPr>
        <w:t xml:space="preserve"/>
      </w:r>
      <w:r>
        <w:rPr>
          <w:lang w:val="es-ES"/>
        </w:rPr>
        <w:t xml:space="preserve">Generación de documentos Word y exportación de datos del contenido producido, a solicitud del usuario.</w:t>
      </w:r>
    </w:p>
    <w:p>
      <w:pPr>
        <w:pStyle w:val="BodyText"/>
      </w:pPr>
      <w:r>
        <w:rPr>
          <w:b/>
          <w:bCs/>
          <w:lang w:val="es-ES"/>
        </w:rPr>
        <w:t xml:space="preserve">Paso 8: Registro. Las </w:t>
      </w:r>
      <w:r>
        <w:rPr>
          <w:lang w:val="es-ES"/>
        </w:rPr>
        <w:t xml:space="preserve"/>
      </w:r>
      <w:r>
        <w:rPr>
          <w:lang w:val="es-ES"/>
        </w:rPr>
        <w:t xml:space="preserve">acciones significativas (conexiones, creaciones, modificaciones, eliminaciones, cargas, procesamientos, errores, exportaciones, operaciones de administración) se registran en un registro de auditoría específico de cada organización (</w:t>
      </w:r>
      <w:r>
        <w:rPr>
          <w:rStyle w:val="VerbatimChar"/>
          <w:lang w:val="es-ES"/>
        </w:rPr>
        <w:t xml:space="preserve">activity_logs</w:t>
      </w:r>
      <w:r>
        <w:rPr>
          <w:lang w:val="es-ES"/>
        </w:rPr>
        <w:t xml:space="preserve">) y, para eventos de plataforma, en </w:t>
      </w:r>
      <w:r>
        <w:rPr>
          <w:lang w:val="es-ES"/>
        </w:rPr>
        <w:t xml:space="preserve"/>
      </w:r>
      <w:r>
        <w:rPr>
          <w:rStyle w:val="VerbatimChar"/>
          <w:lang w:val="es-ES"/>
        </w:rPr>
        <w:t xml:space="preserve">public.audit_logs</w:t>
      </w:r>
      <w:r>
        <w:rPr>
          <w:lang w:val="es-ES"/>
        </w:rPr>
        <w:t xml:space="preserve">. Los registros se pueden exportar en CSV/JSON.</w:t>
      </w:r>
    </w:p>
    <w:p>
      <w:pPr>
        <w:pStyle w:val="BodyText"/>
      </w:pPr>
      <w:r>
        <w:rPr>
          <w:b/>
          <w:bCs/>
          <w:lang w:val="es-ES"/>
        </w:rPr>
        <w:t xml:space="preserve">Paso 9: Copia de seguridad (Opción </w:t>
      </w:r>
      <w:r>
        <w:rPr>
          <w:lang w:val="es-ES"/>
        </w:rPr>
        <w:t xml:space="preserve"/>
      </w:r>
      <w:r>
        <w:rPr>
          <w:lang w:val="es-ES"/>
        </w:rPr>
        <w:t xml:space="preserve">A). Copias de seguridad diarias cifradas con age (X25519 + ChaCha20-Poly1305) antes de la subcontratación por rclone a Scaleway (Francia). Retención: 90 días para copias de seguridad completas, 30 días por organización.</w:t>
      </w:r>
    </w:p>
    <w:p>
      <w:pPr>
        <w:pStyle w:val="BodyText"/>
      </w:pPr>
      <w:r>
        <w:rPr>
          <w:b/>
          <w:bCs/>
          <w:lang w:val="es-ES"/>
        </w:rPr>
        <w:t xml:space="preserve">Paso 10: Eliminar. Al </w:t>
      </w:r>
      <w:r>
        <w:rPr>
          <w:lang w:val="es-ES"/>
        </w:rPr>
        <w:t xml:space="preserve"/>
      </w:r>
      <w:r>
        <w:rPr>
          <w:lang w:val="es-ES"/>
        </w:rPr>
        <w:t xml:space="preserve">recibir una solicitud de borrado certificado o al final del contrato, un flujo de trabajo de purga elimina los datos de producción dentro del plazo aplicable; las copias de seguridad residuales se purgan según su ciclo (≤ 90 días). Se emite un certificado de eliminación previa solicitud.</w:t>
      </w:r>
    </w:p>
    <w:bookmarkEnd w:id="31"/>
    <w:bookmarkEnd w:id="32"/>
    <w:bookmarkStart w:id="33" w:name="X67f20aed3ddc665545c61ff159c12fd104115e5"/>
    <w:p>
      <w:pPr>
        <w:pStyle w:val="Heading2"/>
        <w:keepNext/>
        <w:keepLines/>
      </w:pPr>
      <w:r>
        <w:rPr>
          <w:color w:val="000000"/>
          <w:lang w:val="es-ES"/>
        </w:rPr>
        <w:t xml:space="preserve">6. Distribución de responsabilidades según modalidad</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Dominio</w:t>
            </w:r>
          </w:p>
        </w:tc>
        <w:tc>
          <w:tcPr/>
          <w:p>
            <w:pPr>
              <w:pStyle w:val="Compact"/>
            </w:pPr>
            <w:r>
              <w:rPr>
                <w:lang w:val="es-ES"/>
              </w:rPr>
              <w:t xml:space="preserve">Opción A (SaaS)</w:t>
            </w:r>
          </w:p>
        </w:tc>
        <w:tc>
          <w:tcPr/>
          <w:p>
            <w:pPr>
              <w:pStyle w:val="Compact"/>
            </w:pPr>
            <w:r>
              <w:rPr>
                <w:lang w:val="es-ES"/>
              </w:rPr>
              <w:t xml:space="preserve">Opción B (local)</w:t>
            </w:r>
          </w:p>
        </w:tc>
      </w:tr>
      <w:tr>
        <w:trPr>
          <w:cantSplit/>
        </w:trPr>
        <w:tc>
          <w:tcPr/>
          <w:p>
            <w:pPr>
              <w:pStyle w:val="Compact"/>
            </w:pPr>
            <w:r>
              <w:rPr>
                <w:lang w:val="es-ES"/>
              </w:rPr>
              <w:t xml:space="preserve">Alojamiento e infraestructura</w:t>
            </w:r>
          </w:p>
        </w:tc>
        <w:tc>
          <w:tcPr/>
          <w:p>
            <w:pPr>
              <w:pStyle w:val="Compact"/>
            </w:pPr>
            <w:r>
              <w:rPr>
                <w:lang w:val="es-ES"/>
              </w:rPr>
              <w:t xml:space="preserve">OHADJA (Francia)</w:t>
            </w:r>
          </w:p>
        </w:tc>
        <w:tc>
          <w:tcPr/>
          <w:p>
            <w:pPr>
              <w:pStyle w:val="Compact"/>
            </w:pPr>
            <w:r>
              <w:rPr>
                <w:lang w:val="es-ES"/>
              </w:rPr>
              <w:t xml:space="preserve">Cliente</w:t>
            </w:r>
          </w:p>
        </w:tc>
      </w:tr>
      <w:tr>
        <w:trPr>
          <w:cantSplit/>
        </w:trPr>
        <w:tc>
          <w:tcPr/>
          <w:p>
            <w:pPr>
              <w:pStyle w:val="Compact"/>
            </w:pPr>
            <w:r>
              <w:rPr>
                <w:lang w:val="es-ES"/>
              </w:rPr>
              <w:t xml:space="preserve">Operación de la aplicación, actualizaciones.</w:t>
            </w:r>
          </w:p>
        </w:tc>
        <w:tc>
          <w:tcPr/>
          <w:p>
            <w:pPr>
              <w:pStyle w:val="Compact"/>
            </w:pPr>
            <w:r>
              <w:rPr>
                <w:lang w:val="es-ES"/>
              </w:rPr>
              <w:t xml:space="preserve">OHADJA</w:t>
            </w:r>
          </w:p>
        </w:tc>
        <w:tc>
          <w:tcPr/>
          <w:p>
            <w:pPr>
              <w:pStyle w:val="Compact"/>
            </w:pPr>
            <w:r>
              <w:rPr>
                <w:lang w:val="es-ES"/>
              </w:rPr>
              <w:t xml:space="preserve">Cliente, excepto misión de mantenimiento encomendada a OHADJA</w:t>
            </w:r>
          </w:p>
        </w:tc>
      </w:tr>
      <w:tr>
        <w:trPr>
          <w:cantSplit/>
        </w:trPr>
        <w:tc>
          <w:tcPr/>
          <w:p>
            <w:pPr>
              <w:pStyle w:val="Compact"/>
            </w:pPr>
            <w:r>
              <w:rPr>
                <w:lang w:val="es-ES"/>
              </w:rPr>
              <w:t xml:space="preserve">Copias de seguridad</w:t>
            </w:r>
          </w:p>
        </w:tc>
        <w:tc>
          <w:tcPr/>
          <w:p>
            <w:pPr>
              <w:pStyle w:val="Compact"/>
            </w:pPr>
            <w:r>
              <w:rPr>
                <w:lang w:val="es-ES"/>
              </w:rPr>
              <w:t xml:space="preserve">OHADJA</w:t>
            </w:r>
          </w:p>
        </w:tc>
        <w:tc>
          <w:tcPr/>
          <w:p>
            <w:pPr>
              <w:pStyle w:val="Compact"/>
            </w:pPr>
            <w:r>
              <w:rPr>
                <w:lang w:val="es-ES"/>
              </w:rPr>
              <w:t xml:space="preserve">Cliente</w:t>
            </w:r>
          </w:p>
        </w:tc>
      </w:tr>
      <w:tr>
        <w:trPr>
          <w:cantSplit/>
        </w:trPr>
        <w:tc>
          <w:tcPr/>
          <w:p>
            <w:pPr>
              <w:pStyle w:val="Compact"/>
            </w:pPr>
            <w:r>
              <w:rPr>
                <w:lang w:val="es-ES"/>
              </w:rPr>
              <w:t xml:space="preserve">Supervisión y seguridad operativa</w:t>
            </w:r>
          </w:p>
        </w:tc>
        <w:tc>
          <w:tcPr/>
          <w:p>
            <w:pPr>
              <w:pStyle w:val="Compact"/>
            </w:pPr>
            <w:r>
              <w:rPr>
                <w:lang w:val="es-ES"/>
              </w:rPr>
              <w:t xml:space="preserve">OHADJA</w:t>
            </w:r>
          </w:p>
        </w:tc>
        <w:tc>
          <w:tcPr/>
          <w:p>
            <w:pPr>
              <w:pStyle w:val="Compact"/>
            </w:pPr>
            <w:r>
              <w:rPr>
                <w:lang w:val="es-ES"/>
              </w:rPr>
              <w:t xml:space="preserve">Cliente</w:t>
            </w:r>
          </w:p>
        </w:tc>
      </w:tr>
      <w:tr>
        <w:trPr>
          <w:cantSplit/>
        </w:trPr>
        <w:tc>
          <w:tcPr/>
          <w:p>
            <w:pPr>
              <w:pStyle w:val="Compact"/>
            </w:pPr>
            <w:r>
              <w:rPr>
                <w:lang w:val="es-ES"/>
              </w:rPr>
              <w:t xml:space="preserve">Procesamiento de IA</w:t>
            </w:r>
          </w:p>
        </w:tc>
        <w:tc>
          <w:tcPr/>
          <w:p>
            <w:pPr>
              <w:pStyle w:val="Compact"/>
            </w:pPr>
            <w:r>
              <w:rPr>
                <w:lang w:val="es-ES"/>
              </w:rPr>
              <w:t xml:space="preserve">Pesos abiertos de vLLM de ruta principal en GPU dominadas en Europa; reserva de OpenRouter desactivable</w:t>
            </w:r>
          </w:p>
        </w:tc>
        <w:tc>
          <w:tcPr/>
          <w:p>
            <w:pPr>
              <w:pStyle w:val="Compact"/>
            </w:pPr>
            <w:r>
              <w:rPr>
                <w:lang w:val="es-ES"/>
              </w:rPr>
              <w:t xml:space="preserve">Modelo local autohospedado, sin flujo saliente</w:t>
            </w:r>
          </w:p>
        </w:tc>
      </w:tr>
      <w:tr>
        <w:trPr>
          <w:cantSplit/>
        </w:trPr>
        <w:tc>
          <w:tcPr/>
          <w:p>
            <w:pPr>
              <w:pStyle w:val="Compact"/>
            </w:pPr>
            <w:r>
              <w:rPr>
                <w:lang w:val="es-ES"/>
              </w:rPr>
              <w:t xml:space="preserve">Subencargados del tratamiento</w:t>
            </w:r>
          </w:p>
        </w:tc>
        <w:tc>
          <w:tcPr/>
          <w:p>
            <w:pPr>
              <w:pStyle w:val="Compact"/>
            </w:pPr>
            <w:r>
              <w:rPr>
                <w:lang w:val="es-ES"/>
              </w:rPr>
              <w:t xml:space="preserve">Listado en el Anexo 2 de la DPA</w:t>
            </w:r>
          </w:p>
        </w:tc>
        <w:tc>
          <w:tcPr/>
          <w:p>
            <w:pPr>
              <w:pStyle w:val="Compact"/>
            </w:pPr>
            <w:r>
              <w:rPr>
                <w:lang w:val="es-ES"/>
              </w:rPr>
              <w:t xml:space="preserve">Ninguno en variante aislada</w:t>
            </w:r>
          </w:p>
        </w:tc>
      </w:tr>
      <w:tr>
        <w:trPr>
          <w:cantSplit/>
        </w:trPr>
        <w:tc>
          <w:tcPr/>
          <w:p>
            <w:pPr>
              <w:pStyle w:val="Compact"/>
            </w:pPr>
            <w:r>
              <w:rPr>
                <w:lang w:val="es-ES"/>
              </w:rPr>
              <w:t xml:space="preserve">Acceso a datos</w:t>
            </w:r>
          </w:p>
        </w:tc>
        <w:tc>
          <w:tcPr/>
          <w:p>
            <w:pPr>
              <w:pStyle w:val="Compact"/>
            </w:pPr>
            <w:r>
              <w:rPr>
                <w:lang w:val="es-ES"/>
              </w:rPr>
              <w:t xml:space="preserve">OHADJA bajo instrucción, para soporte/mantenimiento</w:t>
            </w:r>
          </w:p>
        </w:tc>
        <w:tc>
          <w:tcPr/>
          <w:p>
            <w:pPr>
              <w:pStyle w:val="Compact"/>
            </w:pPr>
            <w:r>
              <w:rPr>
                <w:lang w:val="es-ES"/>
              </w:rPr>
              <w:t xml:space="preserve">Cliente; OHADJA sólo bajo autorización expresa</w:t>
            </w:r>
          </w:p>
        </w:tc>
      </w:tr>
    </w:tbl>
    <w:bookmarkEnd w:id="33"/>
    <w:bookmarkStart w:id="34" w:name="Xf9631ba7f091331f4a2e78c4f3c94880a428999"/>
    <w:p>
      <w:pPr>
        <w:pStyle w:val="Heading2"/>
        <w:keepNext/>
        <w:keepLines/>
      </w:pPr>
      <w:r>
        <w:rPr>
          <w:color w:val="000000"/>
          <w:lang w:val="es-ES"/>
        </w:rPr>
        <w:t xml:space="preserve">7. Tratamientos excluidos</w:t>
      </w:r>
    </w:p>
    <w:p>
      <w:pPr>
        <w:pStyle w:val="FirstParagraph"/>
      </w:pPr>
      <w:r>
        <w:rPr>
          <w:lang w:val="es-ES"/>
        </w:rPr>
        <w:t xml:space="preserve">OHADJA no realiza, utilizando los datos de su organización:</w:t>
      </w:r>
    </w:p>
    <w:p>
      <w:pPr>
        <w:pStyle w:val="Compact"/>
        <w:numPr>
          <w:ilvl w:val="0"/>
          <w:numId w:val="1006"/>
        </w:numPr>
      </w:pPr>
      <w:r>
        <w:rPr>
          <w:lang w:val="es-ES"/>
        </w:rPr>
        <w:t xml:space="preserve">no reutilización para sus propios fines;</w:t>
      </w:r>
    </w:p>
    <w:p>
      <w:pPr>
        <w:pStyle w:val="Compact"/>
        <w:numPr>
          <w:ilvl w:val="0"/>
          <w:numId w:val="1006"/>
        </w:numPr>
      </w:pPr>
      <w:r>
        <w:rPr>
          <w:lang w:val="es-ES"/>
        </w:rPr>
        <w:t xml:space="preserve">sin formación de modelos propios;</w:t>
      </w:r>
    </w:p>
    <w:p>
      <w:pPr>
        <w:pStyle w:val="Compact"/>
        <w:numPr>
          <w:ilvl w:val="0"/>
          <w:numId w:val="1006"/>
        </w:numPr>
      </w:pPr>
      <w:r>
        <w:rPr>
          <w:lang w:val="es-ES"/>
        </w:rPr>
        <w:t xml:space="preserve">sin creación de una plantilla biométrica persistente;</w:t>
      </w:r>
    </w:p>
    <w:p>
      <w:pPr>
        <w:pStyle w:val="Compact"/>
        <w:numPr>
          <w:ilvl w:val="0"/>
          <w:numId w:val="1006"/>
        </w:numPr>
      </w:pPr>
      <w:r>
        <w:rPr>
          <w:lang w:val="es-ES"/>
        </w:rPr>
        <w:t xml:space="preserve">ninguna transferencia fuera del EEE excepto en los casos cubiertos por el Capítulo V de RGPD y descritos en el documento TRB-CONF-01.04;</w:t>
      </w:r>
    </w:p>
    <w:p>
      <w:pPr>
        <w:pStyle w:val="Compact"/>
        <w:numPr>
          <w:ilvl w:val="0"/>
          <w:numId w:val="1006"/>
        </w:numPr>
      </w:pPr>
      <w:r>
        <w:rPr>
          <w:lang w:val="es-ES"/>
        </w:rPr>
        <w:t xml:space="preserve">ningún acceso a los contenidos de las organizaciones por parte del distribuidor Televic.</w:t>
      </w:r>
    </w:p>
    <w:p>
      <w:r>
        <w:pict>
          <v:rect style="width:0;height:1.5pt" o:hralign="center" o:hrstd="t" o:hr="t"/>
        </w:pict>
      </w:r>
    </w:p>
    <w:p>
      <w:pPr>
        <w:pStyle w:val="FirstParagraph"/>
      </w:pPr>
      <w:r>
        <w:rPr>
          <w:i/>
          <w:iCs/>
          <w:lang w:val="es-ES"/>
        </w:rPr>
        <w:t xml:space="preserve">Documento de trabajo establecido por OHADJA — para ser validado por su asesor legal / DPO antes de la firma.</w:t>
      </w:r>
    </w:p>
    <w:p>
      <w:r>
        <w:br w:type="page"/>
      </w:r>
    </w:p>
    <w:bookmarkEnd w:id="34"/>
    <w:bookmarkEnd w:id="35"/>
    <w:bookmarkStart w:id="46" w:name="localisation-des-données--transcribia"/>
    <w:p>
      <w:pPr>
        <w:pStyle w:val="Heading1"/>
        <w:keepNext/>
        <w:keepLines/>
      </w:pPr>
      <w:r>
        <w:rPr>
          <w:color w:val="000000"/>
          <w:lang w:val="es-ES"/>
        </w:rPr>
        <w:t xml:space="preserve">Localización de datos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Referencia</w:t>
            </w:r>
          </w:p>
        </w:tc>
        <w:tc>
          <w:tcPr/>
          <w:p>
            <w:pPr>
              <w:pStyle w:val="Compact"/>
            </w:pPr>
            <w:r>
              <w:rPr>
                <w:lang w:val="es-ES"/>
              </w:rPr>
              <w:t xml:space="preserve">TRB-CONF-01.04</w:t>
            </w:r>
          </w:p>
        </w:tc>
      </w:tr>
      <w:tr>
        <w:trPr>
          <w:cantSplit/>
        </w:trPr>
        <w:tc>
          <w:tcPr/>
          <w:p>
            <w:pPr>
              <w:pStyle w:val="Compact"/>
            </w:pPr>
            <w:r>
              <w:rPr>
                <w:lang w:val="es-ES"/>
              </w:rPr>
              <w:t xml:space="preserve">Versión</w:t>
            </w:r>
          </w:p>
        </w:tc>
        <w:tc>
          <w:tcPr/>
          <w:p>
            <w:pPr>
              <w:pStyle w:val="Compact"/>
            </w:pPr>
            <w:r>
              <w:rPr>
                <w:lang w:val="es-ES"/>
              </w:rPr>
              <w:t xml:space="preserve">1.0</w:t>
            </w:r>
          </w:p>
        </w:tc>
      </w:tr>
      <w:tr>
        <w:trPr>
          <w:cantSplit/>
        </w:trPr>
        <w:tc>
          <w:tcPr/>
          <w:p>
            <w:pPr>
              <w:pStyle w:val="Compact"/>
            </w:pPr>
            <w:r>
              <w:rPr>
                <w:lang w:val="es-ES"/>
              </w:rPr>
              <w:t xml:space="preserve">Fecha</w:t>
            </w:r>
          </w:p>
        </w:tc>
        <w:tc>
          <w:tcPr/>
          <w:p>
            <w:pPr>
              <w:pStyle w:val="Compact"/>
            </w:pPr>
            <w:r>
              <w:rPr>
                <w:lang w:val="es-ES"/>
              </w:rPr>
              <w:t xml:space="preserve">2026-07-24</w:t>
            </w:r>
          </w:p>
        </w:tc>
      </w:tr>
      <w:tr>
        <w:trPr>
          <w:cantSplit/>
        </w:trPr>
        <w:tc>
          <w:tcPr/>
          <w:p>
            <w:pPr>
              <w:pStyle w:val="Compact"/>
            </w:pPr>
            <w:r>
              <w:rPr>
                <w:lang w:val="es-ES"/>
              </w:rPr>
              <w:t xml:space="preserve">Redactor</w:t>
            </w:r>
          </w:p>
        </w:tc>
        <w:tc>
          <w:tcPr/>
          <w:p>
            <w:pPr>
              <w:pStyle w:val="Compact"/>
            </w:pPr>
            <w:r>
              <w:rPr>
                <w:lang w:val="es-ES"/>
              </w:rPr>
              <w:t xml:space="preserve">OHADJA</w:t>
            </w:r>
          </w:p>
        </w:tc>
      </w:tr>
      <w:tr>
        <w:trPr>
          <w:cantSplit/>
        </w:trPr>
        <w:tc>
          <w:tcPr/>
          <w:p>
            <w:pPr>
              <w:pStyle w:val="Compact"/>
            </w:pPr>
            <w:r>
              <w:rPr>
                <w:lang w:val="es-ES"/>
              </w:rPr>
              <w:t xml:space="preserve">Clasificación</w:t>
            </w:r>
          </w:p>
        </w:tc>
        <w:tc>
          <w:tcPr/>
          <w:p>
            <w:pPr>
              <w:pStyle w:val="Compact"/>
            </w:pPr>
            <w:r>
              <w:rPr>
                <w:lang w:val="es-ES"/>
              </w:rPr>
              <w:t xml:space="preserve">Público: documento estándar, especificado durante cada contratación.</w:t>
            </w:r>
          </w:p>
        </w:tc>
      </w:tr>
    </w:tbl>
    <w:bookmarkStart w:id="36" w:name="X267f752e79acf07865cbc4b8687b0c9db2807c7"/>
    <w:p>
      <w:pPr>
        <w:pStyle w:val="Heading2"/>
        <w:keepNext/>
        <w:keepLines/>
      </w:pPr>
      <w:r>
        <w:rPr>
          <w:color w:val="000000"/>
          <w:lang w:val="es-ES"/>
        </w:rPr>
        <w:t xml:space="preserve">1. Objeto del documento</w:t>
      </w:r>
    </w:p>
    <w:p>
      <w:pPr>
        <w:pStyle w:val="FirstParagraph"/>
      </w:pPr>
      <w:r>
        <w:rPr>
          <w:lang w:val="es-ES"/>
        </w:rPr>
        <w:t xml:space="preserve">Este documento especifica, para uso de su persona de contacto para protección de datos, su departamento de TI y su CISO, la ubicación de procesamiento y almacenamiento de cada categoría de datos según el método de implementación elegido. Indica de forma transparente los casos en los que es posible un flujo o procesamiento fuera del Espacio Económico Europeo (EEE) en la Opción A, así como su exclusión en la Opción B aislada.</w:t>
      </w:r>
    </w:p>
    <w:p>
      <w:pPr>
        <w:pStyle w:val="BodyText"/>
      </w:pPr>
      <w:r>
        <w:rPr>
          <w:lang w:val="es-ES"/>
        </w:rPr>
        <w:t xml:space="preserve">También especifica el compromiso de administrar y apoyar la solución exclusivamente desde Francia o la Unión Europea.</w:t>
      </w:r>
    </w:p>
    <w:bookmarkEnd w:id="36"/>
    <w:bookmarkStart w:id="37" w:name="X4a758c95127776db351213ceac68c95b256677c"/>
    <w:p>
      <w:pPr>
        <w:pStyle w:val="Heading2"/>
        <w:keepNext/>
        <w:keepLines/>
      </w:pPr>
      <w:r>
        <w:rPr>
          <w:color w:val="000000"/>
          <w:lang w:val="es-ES"/>
        </w:rPr>
        <w:t xml:space="preserve">2. Principio general</w:t>
      </w:r>
    </w:p>
    <w:p>
      <w:pPr>
        <w:pStyle w:val="Compact"/>
        <w:numPr>
          <w:ilvl w:val="0"/>
          <w:numId w:val="1007"/>
        </w:numPr>
      </w:pPr>
      <w:r>
        <w:rPr>
          <w:b/>
          <w:bCs/>
          <w:lang w:val="es-ES"/>
        </w:rPr>
        <w:t xml:space="preserve">Opción A: SaaS: </w:t>
      </w:r>
      <w:r>
        <w:rPr>
          <w:lang w:val="es-ES"/>
        </w:rPr>
        <w:t xml:space="preserve"/>
      </w:r>
      <w:r>
        <w:rPr>
          <w:lang w:val="es-ES"/>
        </w:rPr>
        <w:t xml:space="preserve">los datos de producción se alojan en Francia (centro de datos de Estrasburgo) y las copias de seguridad cifradas se almacenan en la Unión Europea. Las funciones de inteligencia artificial se basan por defecto en servidores GPU controlados por OHADJA, alojados en Europa (principalmente Estrasburgo y París), de los que no salen datos del EEE. El procesamiento fuera del EEE solo es posible de forma residual, si se solicita el respaldo de OpenRouter y no está deshabilitado, o para ciertos recursos de transcripción de GPU; consulte las secciones 4 y 5.</w:t>
      </w:r>
    </w:p>
    <w:p>
      <w:pPr>
        <w:pStyle w:val="Compact"/>
        <w:numPr>
          <w:ilvl w:val="0"/>
          <w:numId w:val="1007"/>
        </w:numPr>
      </w:pPr>
      <w:r>
        <w:rPr>
          <w:b/>
          <w:bCs/>
          <w:lang w:val="es-ES"/>
        </w:rPr>
        <w:t xml:space="preserve">Opción B: aislado en las </w:t>
      </w:r>
      <w:r>
        <w:rPr>
          <w:lang w:val="es-ES"/>
        </w:rPr>
        <w:t xml:space="preserve"/>
      </w:r>
      <w:r>
        <w:rPr>
          <w:lang w:val="es-ES"/>
        </w:rPr>
        <w:t xml:space="preserve">instalaciones: todos los componentes (aplicación, base de datos, trabajador de transcripción de GPU, modelo de IA autohospedado) se ejecutan en la infraestructura del cliente. No se requiere flujo de salida para el funcionamiento nominal; no se realiza ninguna transferencia fuera del EEE.</w:t>
      </w:r>
    </w:p>
    <w:p>
      <w:pPr>
        <w:pStyle w:val="FirstParagraph"/>
      </w:pPr>
      <w:r>
        <w:rPr>
          <w:lang w:val="es-ES"/>
        </w:rPr>
        <w:t xml:space="preserve">Se </w:t>
      </w:r>
      <w:r>
        <w:rPr>
          <w:lang w:val="es-ES"/>
        </w:rPr>
        <w:t xml:space="preserve"/>
      </w:r>
      <w:r>
        <w:rPr>
          <w:b/>
          <w:bCs/>
          <w:lang w:val="es-ES"/>
        </w:rPr>
        <w:t xml:space="preserve">puede configurar un </w:t>
      </w:r>
      <w:r>
        <w:rPr>
          <w:lang w:val="es-ES"/>
        </w:rPr>
        <w:t xml:space="preserve"/>
      </w:r>
      <w:r>
        <w:rPr>
          <w:lang w:val="es-ES"/>
        </w:rPr>
        <w:t xml:space="preserve">perfil "estricto de la UE" por organización desde la versión 1.7.0: restringe el procesamiento de IA a modelos alojados en la UE o autohospedados y selecciona recursos de GPU en la UE. Este perfil permite, en la Opción A, excluir el procesamiento fuera del EEE.</w:t>
      </w:r>
    </w:p>
    <w:bookmarkEnd w:id="37"/>
    <w:bookmarkStart w:id="38" w:name="X96da756acd02bde6da646a8600b582f53862e83"/>
    <w:p>
      <w:pPr>
        <w:pStyle w:val="Heading2"/>
        <w:keepNext/>
        <w:keepLines/>
      </w:pPr>
      <w:r>
        <w:rPr>
          <w:color w:val="000000"/>
          <w:lang w:val="es-ES"/>
        </w:rPr>
        <w:t xml:space="preserve">3. Ubicación por categoría de datos y modo de implementación</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es-ES"/>
              </w:rPr>
              <w:t xml:space="preserve">Categoría de datos</w:t>
            </w:r>
          </w:p>
        </w:tc>
        <w:tc>
          <w:tcPr>
            <w:tcW w:type="dxa" w:w="2340"/>
            <w:tcMar>
              <w:left w:type="dxa" w:w="80"/>
              <w:right w:type="dxa" w:w="80"/>
            </w:tcMar>
          </w:tcPr>
          <w:p>
            <w:pPr>
              <w:pStyle w:val="Compact"/>
            </w:pPr>
            <w:r>
              <w:rPr>
                <w:sz w:val="19"/>
                <w:szCs w:val="19"/>
                <w:lang w:val="es-ES"/>
              </w:rPr>
              <w:t xml:space="preserve">Opción A: SaaS (predeterminado)</w:t>
            </w:r>
          </w:p>
        </w:tc>
        <w:tc>
          <w:tcPr>
            <w:tcW w:type="dxa" w:w="2340"/>
            <w:tcMar>
              <w:left w:type="dxa" w:w="80"/>
              <w:right w:type="dxa" w:w="80"/>
            </w:tcMar>
          </w:tcPr>
          <w:p>
            <w:pPr>
              <w:pStyle w:val="Compact"/>
            </w:pPr>
            <w:r>
              <w:rPr>
                <w:sz w:val="19"/>
                <w:szCs w:val="19"/>
                <w:lang w:val="es-ES"/>
              </w:rPr>
              <w:t xml:space="preserve">Opción A: perfil de “UE estricto”</w:t>
            </w:r>
          </w:p>
        </w:tc>
        <w:tc>
          <w:tcPr>
            <w:tcW w:type="dxa" w:w="2340"/>
            <w:tcMar>
              <w:left w:type="dxa" w:w="80"/>
              <w:right w:type="dxa" w:w="80"/>
            </w:tcMar>
          </w:tcPr>
          <w:p>
            <w:pPr>
              <w:pStyle w:val="Compact"/>
            </w:pPr>
            <w:r>
              <w:rPr>
                <w:sz w:val="19"/>
                <w:szCs w:val="19"/>
                <w:lang w:val="es-ES"/>
              </w:rPr>
              <w:t xml:space="preserve">Opción B: aislamiento local</w:t>
            </w:r>
          </w:p>
        </w:tc>
      </w:tr>
      <w:tr>
        <w:trPr>
          <w:cantSplit/>
        </w:trPr>
        <w:tc>
          <w:tcPr>
            <w:tcW w:type="dxa" w:w="2340"/>
            <w:tcMar>
              <w:left w:type="dxa" w:w="80"/>
              <w:right w:type="dxa" w:w="80"/>
            </w:tcMar>
          </w:tcPr>
          <w:p>
            <w:pPr>
              <w:pStyle w:val="Compact"/>
            </w:pPr>
            <w:r>
              <w:rPr>
                <w:sz w:val="19"/>
                <w:szCs w:val="19"/>
                <w:lang w:val="es-ES"/>
              </w:rPr>
              <w:t xml:space="preserve">Archivos de audio y vídeo</w:t>
            </w:r>
          </w:p>
        </w:tc>
        <w:tc>
          <w:tcPr>
            <w:tcW w:type="dxa" w:w="2340"/>
            <w:tcMar>
              <w:left w:type="dxa" w:w="80"/>
              <w:right w:type="dxa" w:w="80"/>
            </w:tcMar>
          </w:tcPr>
          <w:p>
            <w:pPr>
              <w:pStyle w:val="Compact"/>
            </w:pPr>
            <w:r>
              <w:rPr>
                <w:sz w:val="19"/>
                <w:szCs w:val="19"/>
                <w:lang w:val="es-ES"/>
              </w:rPr>
              <w:t xml:space="preserve">Francia (Estrasburgo)</w:t>
            </w:r>
          </w:p>
        </w:tc>
        <w:tc>
          <w:tcPr>
            <w:tcW w:type="dxa" w:w="2340"/>
            <w:tcMar>
              <w:left w:type="dxa" w:w="80"/>
              <w:right w:type="dxa" w:w="80"/>
            </w:tcMar>
          </w:tcPr>
          <w:p>
            <w:pPr>
              <w:pStyle w:val="Compact"/>
            </w:pPr>
            <w:r>
              <w:rPr>
                <w:sz w:val="19"/>
                <w:szCs w:val="19"/>
                <w:lang w:val="es-ES"/>
              </w:rPr>
              <w:t xml:space="preserve">Francia (Estrasburgo)</w:t>
            </w:r>
          </w:p>
        </w:tc>
        <w:tc>
          <w:tcPr>
            <w:tcW w:type="dxa" w:w="2340"/>
            <w:tcMar>
              <w:left w:type="dxa" w:w="80"/>
              <w:right w:type="dxa" w:w="80"/>
            </w:tcMar>
          </w:tcPr>
          <w:p>
            <w:pPr>
              <w:pStyle w:val="Compact"/>
            </w:pPr>
            <w:r>
              <w:rPr>
                <w:sz w:val="19"/>
                <w:szCs w:val="19"/>
                <w:lang w:val="es-ES"/>
              </w:rPr>
              <w:t xml:space="preserve">Infraestructura del cliente</w:t>
            </w:r>
          </w:p>
        </w:tc>
      </w:tr>
      <w:tr>
        <w:trPr>
          <w:cantSplit/>
        </w:trPr>
        <w:tc>
          <w:tcPr>
            <w:tcW w:type="dxa" w:w="2340"/>
            <w:tcMar>
              <w:left w:type="dxa" w:w="80"/>
              <w:right w:type="dxa" w:w="80"/>
            </w:tcMar>
          </w:tcPr>
          <w:p>
            <w:pPr>
              <w:pStyle w:val="Compact"/>
            </w:pPr>
            <w:r>
              <w:rPr>
                <w:sz w:val="19"/>
                <w:szCs w:val="19"/>
                <w:lang w:val="es-ES"/>
              </w:rPr>
              <w:t xml:space="preserve">Transcripciones y versiones</w:t>
            </w:r>
          </w:p>
        </w:tc>
        <w:tc>
          <w:tcPr>
            <w:tcW w:type="dxa" w:w="2340"/>
            <w:tcMar>
              <w:left w:type="dxa" w:w="80"/>
              <w:right w:type="dxa" w:w="80"/>
            </w:tcMar>
          </w:tcPr>
          <w:p>
            <w:pPr>
              <w:pStyle w:val="Compact"/>
            </w:pPr>
            <w:r>
              <w:rPr>
                <w:sz w:val="19"/>
                <w:szCs w:val="19"/>
                <w:lang w:val="es-ES"/>
              </w:rPr>
              <w:t xml:space="preserve">Francia (Estrasburgo)</w:t>
            </w:r>
          </w:p>
        </w:tc>
        <w:tc>
          <w:tcPr>
            <w:tcW w:type="dxa" w:w="2340"/>
            <w:tcMar>
              <w:left w:type="dxa" w:w="80"/>
              <w:right w:type="dxa" w:w="80"/>
            </w:tcMar>
          </w:tcPr>
          <w:p>
            <w:pPr>
              <w:pStyle w:val="Compact"/>
            </w:pPr>
            <w:r>
              <w:rPr>
                <w:sz w:val="19"/>
                <w:szCs w:val="19"/>
                <w:lang w:val="es-ES"/>
              </w:rPr>
              <w:t xml:space="preserve">Francia (Estrasburgo)</w:t>
            </w:r>
          </w:p>
        </w:tc>
        <w:tc>
          <w:tcPr>
            <w:tcW w:type="dxa" w:w="2340"/>
            <w:tcMar>
              <w:left w:type="dxa" w:w="80"/>
              <w:right w:type="dxa" w:w="80"/>
            </w:tcMar>
          </w:tcPr>
          <w:p>
            <w:pPr>
              <w:pStyle w:val="Compact"/>
            </w:pPr>
            <w:r>
              <w:rPr>
                <w:sz w:val="19"/>
                <w:szCs w:val="19"/>
                <w:lang w:val="es-ES"/>
              </w:rPr>
              <w:t xml:space="preserve">Infraestructura del cliente</w:t>
            </w:r>
          </w:p>
        </w:tc>
      </w:tr>
      <w:tr>
        <w:trPr>
          <w:cantSplit/>
        </w:trPr>
        <w:tc>
          <w:tcPr>
            <w:tcW w:type="dxa" w:w="2340"/>
            <w:tcMar>
              <w:left w:type="dxa" w:w="80"/>
              <w:right w:type="dxa" w:w="80"/>
            </w:tcMar>
          </w:tcPr>
          <w:p>
            <w:pPr>
              <w:pStyle w:val="Compact"/>
            </w:pPr>
            <w:r>
              <w:rPr>
                <w:sz w:val="19"/>
                <w:szCs w:val="19"/>
                <w:lang w:val="es-ES"/>
              </w:rPr>
              <w:t xml:space="preserve">Documentos preparatorios</w:t>
            </w:r>
          </w:p>
        </w:tc>
        <w:tc>
          <w:tcPr>
            <w:tcW w:type="dxa" w:w="2340"/>
            <w:tcMar>
              <w:left w:type="dxa" w:w="80"/>
              <w:right w:type="dxa" w:w="80"/>
            </w:tcMar>
          </w:tcPr>
          <w:p>
            <w:pPr>
              <w:pStyle w:val="Compact"/>
            </w:pPr>
            <w:r>
              <w:rPr>
                <w:sz w:val="19"/>
                <w:szCs w:val="19"/>
                <w:lang w:val="es-ES"/>
              </w:rPr>
              <w:t xml:space="preserve">Francia (Estrasburgo)</w:t>
            </w:r>
          </w:p>
        </w:tc>
        <w:tc>
          <w:tcPr>
            <w:tcW w:type="dxa" w:w="2340"/>
            <w:tcMar>
              <w:left w:type="dxa" w:w="80"/>
              <w:right w:type="dxa" w:w="80"/>
            </w:tcMar>
          </w:tcPr>
          <w:p>
            <w:pPr>
              <w:pStyle w:val="Compact"/>
            </w:pPr>
            <w:r>
              <w:rPr>
                <w:sz w:val="19"/>
                <w:szCs w:val="19"/>
                <w:lang w:val="es-ES"/>
              </w:rPr>
              <w:t xml:space="preserve">Francia (Estrasburgo)</w:t>
            </w:r>
          </w:p>
        </w:tc>
        <w:tc>
          <w:tcPr>
            <w:tcW w:type="dxa" w:w="2340"/>
            <w:tcMar>
              <w:left w:type="dxa" w:w="80"/>
              <w:right w:type="dxa" w:w="80"/>
            </w:tcMar>
          </w:tcPr>
          <w:p>
            <w:pPr>
              <w:pStyle w:val="Compact"/>
            </w:pPr>
            <w:r>
              <w:rPr>
                <w:sz w:val="19"/>
                <w:szCs w:val="19"/>
                <w:lang w:val="es-ES"/>
              </w:rPr>
              <w:t xml:space="preserve">Infraestructura del cliente</w:t>
            </w:r>
          </w:p>
        </w:tc>
      </w:tr>
      <w:tr>
        <w:trPr>
          <w:cantSplit/>
        </w:trPr>
        <w:tc>
          <w:tcPr>
            <w:tcW w:type="dxa" w:w="2340"/>
            <w:tcMar>
              <w:left w:type="dxa" w:w="80"/>
              <w:right w:type="dxa" w:w="80"/>
            </w:tcMar>
          </w:tcPr>
          <w:p>
            <w:pPr>
              <w:pStyle w:val="Compact"/>
            </w:pPr>
            <w:r>
              <w:rPr>
                <w:sz w:val="19"/>
                <w:szCs w:val="19"/>
                <w:lang w:val="es-ES"/>
              </w:rPr>
              <w:t xml:space="preserve">Metadatos de sesión</w:t>
            </w:r>
          </w:p>
        </w:tc>
        <w:tc>
          <w:tcPr>
            <w:tcW w:type="dxa" w:w="2340"/>
            <w:tcMar>
              <w:left w:type="dxa" w:w="80"/>
              <w:right w:type="dxa" w:w="80"/>
            </w:tcMar>
          </w:tcPr>
          <w:p>
            <w:pPr>
              <w:pStyle w:val="Compact"/>
            </w:pPr>
            <w:r>
              <w:rPr>
                <w:sz w:val="19"/>
                <w:szCs w:val="19"/>
                <w:lang w:val="es-ES"/>
              </w:rPr>
              <w:t xml:space="preserve">Francia (Estrasburgo)</w:t>
            </w:r>
          </w:p>
        </w:tc>
        <w:tc>
          <w:tcPr>
            <w:tcW w:type="dxa" w:w="2340"/>
            <w:tcMar>
              <w:left w:type="dxa" w:w="80"/>
              <w:right w:type="dxa" w:w="80"/>
            </w:tcMar>
          </w:tcPr>
          <w:p>
            <w:pPr>
              <w:pStyle w:val="Compact"/>
            </w:pPr>
            <w:r>
              <w:rPr>
                <w:sz w:val="19"/>
                <w:szCs w:val="19"/>
                <w:lang w:val="es-ES"/>
              </w:rPr>
              <w:t xml:space="preserve">Francia (Estrasburgo)</w:t>
            </w:r>
          </w:p>
        </w:tc>
        <w:tc>
          <w:tcPr>
            <w:tcW w:type="dxa" w:w="2340"/>
            <w:tcMar>
              <w:left w:type="dxa" w:w="80"/>
              <w:right w:type="dxa" w:w="80"/>
            </w:tcMar>
          </w:tcPr>
          <w:p>
            <w:pPr>
              <w:pStyle w:val="Compact"/>
            </w:pPr>
            <w:r>
              <w:rPr>
                <w:sz w:val="19"/>
                <w:szCs w:val="19"/>
                <w:lang w:val="es-ES"/>
              </w:rPr>
              <w:t xml:space="preserve">Infraestructura del cliente</w:t>
            </w:r>
          </w:p>
        </w:tc>
      </w:tr>
      <w:tr>
        <w:trPr>
          <w:cantSplit/>
        </w:trPr>
        <w:tc>
          <w:tcPr>
            <w:tcW w:type="dxa" w:w="2340"/>
            <w:tcMar>
              <w:left w:type="dxa" w:w="80"/>
              <w:right w:type="dxa" w:w="80"/>
            </w:tcMar>
          </w:tcPr>
          <w:p>
            <w:pPr>
              <w:pStyle w:val="Compact"/>
            </w:pPr>
            <w:r>
              <w:rPr>
                <w:sz w:val="19"/>
                <w:szCs w:val="19"/>
                <w:lang w:val="es-ES"/>
              </w:rPr>
              <w:t xml:space="preserve">Cuentas de usuario</w:t>
            </w:r>
          </w:p>
        </w:tc>
        <w:tc>
          <w:tcPr>
            <w:tcW w:type="dxa" w:w="2340"/>
            <w:tcMar>
              <w:left w:type="dxa" w:w="80"/>
              <w:right w:type="dxa" w:w="80"/>
            </w:tcMar>
          </w:tcPr>
          <w:p>
            <w:pPr>
              <w:pStyle w:val="Compact"/>
            </w:pPr>
            <w:r>
              <w:rPr>
                <w:sz w:val="19"/>
                <w:szCs w:val="19"/>
                <w:lang w:val="es-ES"/>
              </w:rPr>
              <w:t xml:space="preserve">Francia (Estrasburgo)</w:t>
            </w:r>
          </w:p>
        </w:tc>
        <w:tc>
          <w:tcPr>
            <w:tcW w:type="dxa" w:w="2340"/>
            <w:tcMar>
              <w:left w:type="dxa" w:w="80"/>
              <w:right w:type="dxa" w:w="80"/>
            </w:tcMar>
          </w:tcPr>
          <w:p>
            <w:pPr>
              <w:pStyle w:val="Compact"/>
            </w:pPr>
            <w:r>
              <w:rPr>
                <w:sz w:val="19"/>
                <w:szCs w:val="19"/>
                <w:lang w:val="es-ES"/>
              </w:rPr>
              <w:t xml:space="preserve">Francia (Estrasburgo)</w:t>
            </w:r>
          </w:p>
        </w:tc>
        <w:tc>
          <w:tcPr>
            <w:tcW w:type="dxa" w:w="2340"/>
            <w:tcMar>
              <w:left w:type="dxa" w:w="80"/>
              <w:right w:type="dxa" w:w="80"/>
            </w:tcMar>
          </w:tcPr>
          <w:p>
            <w:pPr>
              <w:pStyle w:val="Compact"/>
            </w:pPr>
            <w:r>
              <w:rPr>
                <w:sz w:val="19"/>
                <w:szCs w:val="19"/>
                <w:lang w:val="es-ES"/>
              </w:rPr>
              <w:t xml:space="preserve">Infraestructura del cliente</w:t>
            </w:r>
          </w:p>
        </w:tc>
      </w:tr>
      <w:tr>
        <w:trPr>
          <w:cantSplit/>
        </w:trPr>
        <w:tc>
          <w:tcPr>
            <w:tcW w:type="dxa" w:w="2340"/>
            <w:tcMar>
              <w:left w:type="dxa" w:w="80"/>
              <w:right w:type="dxa" w:w="80"/>
            </w:tcMar>
          </w:tcPr>
          <w:p>
            <w:pPr>
              <w:pStyle w:val="Compact"/>
            </w:pPr>
            <w:r>
              <w:rPr>
                <w:sz w:val="19"/>
                <w:szCs w:val="19"/>
                <w:lang w:val="es-ES"/>
              </w:rPr>
              <w:t xml:space="preserve">Registros de auditoría y seguimientos técnicos</w:t>
            </w:r>
          </w:p>
        </w:tc>
        <w:tc>
          <w:tcPr>
            <w:tcW w:type="dxa" w:w="2340"/>
            <w:tcMar>
              <w:left w:type="dxa" w:w="80"/>
              <w:right w:type="dxa" w:w="80"/>
            </w:tcMar>
          </w:tcPr>
          <w:p>
            <w:pPr>
              <w:pStyle w:val="Compact"/>
            </w:pPr>
            <w:r>
              <w:rPr>
                <w:sz w:val="19"/>
                <w:szCs w:val="19"/>
                <w:lang w:val="es-ES"/>
              </w:rPr>
              <w:t xml:space="preserve">Francia (Estrasburgo)</w:t>
            </w:r>
          </w:p>
        </w:tc>
        <w:tc>
          <w:tcPr>
            <w:tcW w:type="dxa" w:w="2340"/>
            <w:tcMar>
              <w:left w:type="dxa" w:w="80"/>
              <w:right w:type="dxa" w:w="80"/>
            </w:tcMar>
          </w:tcPr>
          <w:p>
            <w:pPr>
              <w:pStyle w:val="Compact"/>
            </w:pPr>
            <w:r>
              <w:rPr>
                <w:sz w:val="19"/>
                <w:szCs w:val="19"/>
                <w:lang w:val="es-ES"/>
              </w:rPr>
              <w:t xml:space="preserve">Francia (Estrasburgo)</w:t>
            </w:r>
          </w:p>
        </w:tc>
        <w:tc>
          <w:tcPr>
            <w:tcW w:type="dxa" w:w="2340"/>
            <w:tcMar>
              <w:left w:type="dxa" w:w="80"/>
              <w:right w:type="dxa" w:w="80"/>
            </w:tcMar>
          </w:tcPr>
          <w:p>
            <w:pPr>
              <w:pStyle w:val="Compact"/>
            </w:pPr>
            <w:r>
              <w:rPr>
                <w:sz w:val="19"/>
                <w:szCs w:val="19"/>
                <w:lang w:val="es-ES"/>
              </w:rPr>
              <w:t xml:space="preserve">Infraestructura del cliente</w:t>
            </w:r>
          </w:p>
        </w:tc>
      </w:tr>
      <w:tr>
        <w:trPr>
          <w:cantSplit/>
        </w:trPr>
        <w:tc>
          <w:tcPr>
            <w:tcW w:type="dxa" w:w="2340"/>
            <w:tcMar>
              <w:left w:type="dxa" w:w="80"/>
              <w:right w:type="dxa" w:w="80"/>
            </w:tcMar>
          </w:tcPr>
          <w:p>
            <w:pPr>
              <w:pStyle w:val="Compact"/>
            </w:pPr>
            <w:r>
              <w:rPr>
                <w:sz w:val="19"/>
                <w:szCs w:val="19"/>
                <w:lang w:val="es-ES"/>
              </w:rPr>
              <w:t xml:space="preserve">Copias de seguridad (cifradas antes de la subcontratación)</w:t>
            </w:r>
          </w:p>
        </w:tc>
        <w:tc>
          <w:tcPr>
            <w:tcW w:type="dxa" w:w="2340"/>
            <w:tcMar>
              <w:left w:type="dxa" w:w="80"/>
              <w:right w:type="dxa" w:w="80"/>
            </w:tcMar>
          </w:tcPr>
          <w:p>
            <w:pPr>
              <w:pStyle w:val="Compact"/>
            </w:pPr>
            <w:r>
              <w:rPr>
                <w:sz w:val="19"/>
                <w:szCs w:val="19"/>
                <w:lang w:val="es-ES"/>
              </w:rPr>
              <w:t xml:space="preserve">Francia (Scaleway)</w:t>
            </w:r>
          </w:p>
        </w:tc>
        <w:tc>
          <w:tcPr>
            <w:tcW w:type="dxa" w:w="2340"/>
            <w:tcMar>
              <w:left w:type="dxa" w:w="80"/>
              <w:right w:type="dxa" w:w="80"/>
            </w:tcMar>
          </w:tcPr>
          <w:p>
            <w:pPr>
              <w:pStyle w:val="Compact"/>
            </w:pPr>
            <w:r>
              <w:rPr>
                <w:sz w:val="19"/>
                <w:szCs w:val="19"/>
                <w:lang w:val="es-ES"/>
              </w:rPr>
              <w:t xml:space="preserve">Francia (Scaleway)</w:t>
            </w:r>
          </w:p>
        </w:tc>
        <w:tc>
          <w:tcPr>
            <w:tcW w:type="dxa" w:w="2340"/>
            <w:tcMar>
              <w:left w:type="dxa" w:w="80"/>
              <w:right w:type="dxa" w:w="80"/>
            </w:tcMar>
          </w:tcPr>
          <w:p>
            <w:pPr>
              <w:pStyle w:val="Compact"/>
            </w:pPr>
            <w:r>
              <w:rPr>
                <w:sz w:val="19"/>
                <w:szCs w:val="19"/>
                <w:lang w:val="es-ES"/>
              </w:rPr>
              <w:t xml:space="preserve">A cargo del cliente</w:t>
            </w:r>
          </w:p>
        </w:tc>
      </w:tr>
      <w:tr>
        <w:trPr>
          <w:cantSplit/>
        </w:trPr>
        <w:tc>
          <w:tcPr>
            <w:tcW w:type="dxa" w:w="2340"/>
            <w:tcMar>
              <w:left w:type="dxa" w:w="80"/>
              <w:right w:type="dxa" w:w="80"/>
            </w:tcMar>
          </w:tcPr>
          <w:p>
            <w:pPr>
              <w:pStyle w:val="Compact"/>
            </w:pPr>
            <w:r>
              <w:rPr>
                <w:sz w:val="19"/>
                <w:szCs w:val="19"/>
                <w:lang w:val="es-ES"/>
              </w:rPr>
              <w:t xml:space="preserve">Procesamiento de transcripción (GPU)</w:t>
            </w:r>
          </w:p>
        </w:tc>
        <w:tc>
          <w:tcPr>
            <w:tcW w:type="dxa" w:w="2340"/>
            <w:tcMar>
              <w:left w:type="dxa" w:w="80"/>
              <w:right w:type="dxa" w:w="80"/>
            </w:tcMar>
          </w:tcPr>
          <w:p>
            <w:pPr>
              <w:pStyle w:val="Compact"/>
            </w:pPr>
            <w:r>
              <w:rPr>
                <w:sz w:val="19"/>
                <w:szCs w:val="19"/>
                <w:lang w:val="es-ES"/>
              </w:rPr>
              <w:t xml:space="preserve">GPU dedicada; recurso de la UE cuando sea necesario; </w:t>
            </w:r>
            <w:r>
              <w:rPr>
                <w:sz w:val="19"/>
                <w:szCs w:val="19"/>
                <w:lang w:val="es-ES"/>
              </w:rPr>
              <w:t xml:space="preserve"/>
            </w:r>
            <w:r>
              <w:rPr>
                <w:b/>
                <w:bCs/>
                <w:sz w:val="19"/>
                <w:szCs w:val="19"/>
                <w:lang w:val="es-ES"/>
              </w:rPr>
              <w:t xml:space="preserve">fuera del EEE posible </w:t>
            </w:r>
            <w:r>
              <w:rPr>
                <w:sz w:val="19"/>
                <w:szCs w:val="19"/>
                <w:lang w:val="es-ES"/>
              </w:rPr>
              <w:t xml:space="preserve"/>
            </w:r>
            <w:r>
              <w:rPr>
                <w:sz w:val="19"/>
                <w:szCs w:val="19"/>
                <w:lang w:val="es-ES"/>
              </w:rPr>
              <w:t xml:space="preserve">a través del mercado si no está restringido</w:t>
            </w:r>
          </w:p>
        </w:tc>
        <w:tc>
          <w:tcPr>
            <w:tcW w:type="dxa" w:w="2340"/>
            <w:tcMar>
              <w:left w:type="dxa" w:w="80"/>
              <w:right w:type="dxa" w:w="80"/>
            </w:tcMar>
          </w:tcPr>
          <w:p>
            <w:pPr>
              <w:pStyle w:val="Compact"/>
            </w:pPr>
            <w:r>
              <w:rPr>
                <w:sz w:val="19"/>
                <w:szCs w:val="19"/>
                <w:lang w:val="es-ES"/>
              </w:rPr>
              <w:t xml:space="preserve">Sólo UE</w:t>
            </w:r>
          </w:p>
        </w:tc>
        <w:tc>
          <w:tcPr>
            <w:tcW w:type="dxa" w:w="2340"/>
            <w:tcMar>
              <w:left w:type="dxa" w:w="80"/>
              <w:right w:type="dxa" w:w="80"/>
            </w:tcMar>
          </w:tcPr>
          <w:p>
            <w:pPr>
              <w:pStyle w:val="Compact"/>
            </w:pPr>
            <w:r>
              <w:rPr>
                <w:sz w:val="19"/>
                <w:szCs w:val="19"/>
                <w:lang w:val="es-ES"/>
              </w:rPr>
              <w:t xml:space="preserve">Trabajador de GPU local del cliente</w:t>
            </w:r>
          </w:p>
        </w:tc>
      </w:tr>
      <w:tr>
        <w:trPr>
          <w:cantSplit/>
        </w:trPr>
        <w:tc>
          <w:tcPr>
            <w:tcW w:type="dxa" w:w="2340"/>
            <w:tcMar>
              <w:left w:type="dxa" w:w="80"/>
              <w:right w:type="dxa" w:w="80"/>
            </w:tcMar>
          </w:tcPr>
          <w:p>
            <w:pPr>
              <w:pStyle w:val="Compact"/>
            </w:pPr>
            <w:r>
              <w:rPr>
                <w:sz w:val="19"/>
                <w:szCs w:val="19"/>
                <w:lang w:val="es-ES"/>
              </w:rPr>
              <w:t xml:space="preserve">Tratamiento con IA (LLM): vía primaria</w:t>
            </w:r>
          </w:p>
        </w:tc>
        <w:tc>
          <w:tcPr>
            <w:tcW w:type="dxa" w:w="2340"/>
            <w:tcMar>
              <w:left w:type="dxa" w:w="80"/>
              <w:right w:type="dxa" w:w="80"/>
            </w:tcMar>
          </w:tcPr>
          <w:p>
            <w:pPr>
              <w:pStyle w:val="Compact"/>
            </w:pPr>
            <w:r>
              <w:rPr>
                <w:sz w:val="19"/>
                <w:szCs w:val="19"/>
                <w:lang w:val="es-ES"/>
              </w:rPr>
              <w:t xml:space="preserve">pesos abiertos vLLM en GPU masterizadas en Europa (Estrasburgo/París); no hay datos fuera del EEE</w:t>
            </w:r>
          </w:p>
        </w:tc>
        <w:tc>
          <w:tcPr>
            <w:tcW w:type="dxa" w:w="2340"/>
            <w:tcMar>
              <w:left w:type="dxa" w:w="80"/>
              <w:right w:type="dxa" w:w="80"/>
            </w:tcMar>
          </w:tcPr>
          <w:p>
            <w:pPr>
              <w:pStyle w:val="Compact"/>
            </w:pPr>
            <w:r>
              <w:rPr>
                <w:sz w:val="19"/>
                <w:szCs w:val="19"/>
                <w:lang w:val="es-ES"/>
              </w:rPr>
              <w:t xml:space="preserve">EU vLLM o modelo autohospedado; no hay datos fuera del EEE</w:t>
            </w:r>
          </w:p>
        </w:tc>
        <w:tc>
          <w:tcPr>
            <w:tcW w:type="dxa" w:w="2340"/>
            <w:tcMar>
              <w:left w:type="dxa" w:w="80"/>
              <w:right w:type="dxa" w:w="80"/>
            </w:tcMar>
          </w:tcPr>
          <w:p>
            <w:pPr>
              <w:pStyle w:val="Compact"/>
            </w:pPr>
            <w:r>
              <w:rPr>
                <w:sz w:val="19"/>
                <w:szCs w:val="19"/>
                <w:lang w:val="es-ES"/>
              </w:rPr>
              <w:t xml:space="preserve">Modelo local autohospedado; sin flujo saliente</w:t>
            </w:r>
          </w:p>
        </w:tc>
      </w:tr>
      <w:tr>
        <w:trPr>
          <w:cantSplit/>
        </w:trPr>
        <w:tc>
          <w:tcPr>
            <w:tcW w:type="dxa" w:w="2340"/>
            <w:tcMar>
              <w:left w:type="dxa" w:w="80"/>
              <w:right w:type="dxa" w:w="80"/>
            </w:tcMar>
          </w:tcPr>
          <w:p>
            <w:pPr>
              <w:pStyle w:val="Compact"/>
            </w:pPr>
            <w:r>
              <w:rPr>
                <w:sz w:val="19"/>
                <w:szCs w:val="19"/>
                <w:lang w:val="es-ES"/>
              </w:rPr>
              <w:t xml:space="preserve">Tratamiento con IA (LLM): alivio</w:t>
            </w:r>
          </w:p>
        </w:tc>
        <w:tc>
          <w:tcPr>
            <w:tcW w:type="dxa" w:w="2340"/>
            <w:tcMar>
              <w:left w:type="dxa" w:w="80"/>
              <w:right w:type="dxa" w:w="80"/>
            </w:tcMar>
          </w:tcPr>
          <w:p>
            <w:pPr>
              <w:pStyle w:val="Compact"/>
            </w:pPr>
            <w:r>
              <w:rPr>
                <w:sz w:val="19"/>
                <w:szCs w:val="19"/>
                <w:lang w:val="es-ES"/>
              </w:rPr>
              <w:t xml:space="preserve">OpenRouter (Claude, GPT, etc.), </w:t>
            </w:r>
            <w:r>
              <w:rPr>
                <w:sz w:val="19"/>
                <w:szCs w:val="19"/>
                <w:lang w:val="es-ES"/>
              </w:rPr>
              <w:t xml:space="preserve"/>
            </w:r>
            <w:r>
              <w:rPr>
                <w:b/>
                <w:bCs/>
                <w:sz w:val="19"/>
                <w:szCs w:val="19"/>
                <w:lang w:val="es-ES"/>
              </w:rPr>
              <w:t xml:space="preserve">posible fuera del </w:t>
            </w:r>
            <w:r>
              <w:rPr>
                <w:sz w:val="19"/>
                <w:szCs w:val="19"/>
                <w:lang w:val="es-ES"/>
              </w:rPr>
              <w:t xml:space="preserve">EEE, solo se solicita si la ruta principal no está disponible y no está desactivada</w:t>
            </w:r>
          </w:p>
        </w:tc>
        <w:tc>
          <w:tcPr>
            <w:tcW w:type="dxa" w:w="2340"/>
            <w:tcMar>
              <w:left w:type="dxa" w:w="80"/>
              <w:right w:type="dxa" w:w="80"/>
            </w:tcMar>
          </w:tcPr>
          <w:p>
            <w:pPr>
              <w:pStyle w:val="Compact"/>
            </w:pPr>
            <w:r>
              <w:rPr>
                <w:sz w:val="19"/>
                <w:szCs w:val="19"/>
                <w:lang w:val="es-ES"/>
              </w:rPr>
              <w:t xml:space="preserve">Emergencia discapacitada</w:t>
            </w:r>
          </w:p>
        </w:tc>
        <w:tc>
          <w:tcPr>
            <w:tcW w:type="dxa" w:w="2340"/>
            <w:tcMar>
              <w:left w:type="dxa" w:w="80"/>
              <w:right w:type="dxa" w:w="80"/>
            </w:tcMar>
          </w:tcPr>
          <w:p>
            <w:pPr>
              <w:pStyle w:val="Compact"/>
            </w:pPr>
            <w:r>
              <w:rPr>
                <w:sz w:val="19"/>
                <w:szCs w:val="19"/>
                <w:lang w:val="es-ES"/>
              </w:rPr>
              <w:t xml:space="preserve">No aplicable (sin ayuda externa)</w:t>
            </w:r>
          </w:p>
        </w:tc>
      </w:tr>
      <w:tr>
        <w:trPr>
          <w:cantSplit/>
        </w:trPr>
        <w:tc>
          <w:tcPr>
            <w:tcW w:type="dxa" w:w="2340"/>
            <w:tcMar>
              <w:left w:type="dxa" w:w="80"/>
              <w:right w:type="dxa" w:w="80"/>
            </w:tcMar>
          </w:tcPr>
          <w:p>
            <w:pPr>
              <w:pStyle w:val="Compact"/>
            </w:pPr>
            <w:r>
              <w:rPr>
                <w:sz w:val="19"/>
                <w:szCs w:val="19"/>
                <w:lang w:val="es-ES"/>
              </w:rPr>
              <w:t xml:space="preserve">Representaciones temporales del habla (correlación del habla)</w:t>
            </w:r>
          </w:p>
        </w:tc>
        <w:tc>
          <w:tcPr>
            <w:tcW w:type="dxa" w:w="2340"/>
            <w:tcMar>
              <w:left w:type="dxa" w:w="80"/>
              <w:right w:type="dxa" w:w="80"/>
            </w:tcMar>
          </w:tcPr>
          <w:p>
            <w:pPr>
              <w:pStyle w:val="Compact"/>
            </w:pPr>
            <w:r>
              <w:rPr>
                <w:sz w:val="19"/>
                <w:szCs w:val="19"/>
                <w:lang w:val="es-ES"/>
              </w:rPr>
              <w:t xml:space="preserve">Efímero, en RAM, destruido al final de la solicitud; Recurso de la UE cuando sea necesario</w:t>
            </w:r>
          </w:p>
        </w:tc>
        <w:tc>
          <w:tcPr>
            <w:tcW w:type="dxa" w:w="2340"/>
            <w:tcMar>
              <w:left w:type="dxa" w:w="80"/>
              <w:right w:type="dxa" w:w="80"/>
            </w:tcMar>
          </w:tcPr>
          <w:p>
            <w:pPr>
              <w:pStyle w:val="Compact"/>
            </w:pPr>
            <w:r>
              <w:rPr>
                <w:sz w:val="19"/>
                <w:szCs w:val="19"/>
                <w:lang w:val="es-ES"/>
              </w:rPr>
              <w:t xml:space="preserve">Efímero, RAM, UE</w:t>
            </w:r>
          </w:p>
        </w:tc>
        <w:tc>
          <w:tcPr>
            <w:tcW w:type="dxa" w:w="2340"/>
            <w:tcMar>
              <w:left w:type="dxa" w:w="80"/>
              <w:right w:type="dxa" w:w="80"/>
            </w:tcMar>
          </w:tcPr>
          <w:p>
            <w:pPr>
              <w:pStyle w:val="Compact"/>
            </w:pPr>
            <w:r>
              <w:rPr>
                <w:sz w:val="19"/>
                <w:szCs w:val="19"/>
                <w:lang w:val="es-ES"/>
              </w:rPr>
              <w:t xml:space="preserve">Infraestructura de cliente efímera, en memoria</w:t>
            </w:r>
          </w:p>
        </w:tc>
      </w:tr>
      <w:tr>
        <w:trPr>
          <w:cantSplit/>
        </w:trPr>
        <w:tc>
          <w:tcPr>
            <w:tcW w:type="dxa" w:w="2340"/>
            <w:tcMar>
              <w:left w:type="dxa" w:w="80"/>
              <w:right w:type="dxa" w:w="80"/>
            </w:tcMar>
          </w:tcPr>
          <w:p>
            <w:pPr>
              <w:pStyle w:val="Compact"/>
            </w:pPr>
            <w:r>
              <w:rPr>
                <w:sz w:val="19"/>
                <w:szCs w:val="19"/>
                <w:lang w:val="es-ES"/>
              </w:rPr>
              <w:t xml:space="preserve">Correos electrónicos transaccionales (si están habilitados)</w:t>
            </w:r>
          </w:p>
        </w:tc>
        <w:tc>
          <w:tcPr>
            <w:tcW w:type="dxa" w:w="2340"/>
            <w:tcMar>
              <w:left w:type="dxa" w:w="80"/>
              <w:right w:type="dxa" w:w="80"/>
            </w:tcMar>
          </w:tcPr>
          <w:p>
            <w:pPr>
              <w:pStyle w:val="Compact"/>
            </w:pPr>
            <w:r>
              <w:rPr>
                <w:sz w:val="19"/>
                <w:szCs w:val="19"/>
                <w:lang w:val="es-ES"/>
              </w:rPr>
              <w:t xml:space="preserve">UE cuando está configurado</w:t>
            </w:r>
          </w:p>
        </w:tc>
        <w:tc>
          <w:tcPr>
            <w:tcW w:type="dxa" w:w="2340"/>
            <w:tcMar>
              <w:left w:type="dxa" w:w="80"/>
              <w:right w:type="dxa" w:w="80"/>
            </w:tcMar>
          </w:tcPr>
          <w:p>
            <w:pPr>
              <w:pStyle w:val="Compact"/>
            </w:pPr>
            <w:r>
              <w:rPr>
                <w:sz w:val="19"/>
                <w:szCs w:val="19"/>
                <w:lang w:val="es-ES"/>
              </w:rPr>
              <w:t xml:space="preserve">UE</w:t>
            </w:r>
          </w:p>
        </w:tc>
        <w:tc>
          <w:tcPr>
            <w:tcW w:type="dxa" w:w="2340"/>
            <w:tcMar>
              <w:left w:type="dxa" w:w="80"/>
              <w:right w:type="dxa" w:w="80"/>
            </w:tcMar>
          </w:tcPr>
          <w:p>
            <w:pPr>
              <w:pStyle w:val="Compact"/>
            </w:pPr>
            <w:r>
              <w:rPr>
                <w:sz w:val="19"/>
                <w:szCs w:val="19"/>
                <w:lang w:val="es-ES"/>
              </w:rPr>
              <w:t xml:space="preserve">Según configuración del cliente</w:t>
            </w:r>
          </w:p>
        </w:tc>
      </w:tr>
    </w:tbl>
    <w:p>
      <w:pPr>
        <w:pStyle w:val="BodyText"/>
      </w:pPr>
      <w:r>
        <w:rPr>
          <w:lang w:val="es-ES"/>
        </w:rPr>
        <w:t xml:space="preserve">Nota: las copias de seguridad se cifran con age (X25519 + ChaCha20-Poly1305) </w:t>
      </w:r>
      <w:r>
        <w:rPr>
          <w:lang w:val="es-ES"/>
        </w:rPr>
        <w:t xml:space="preserve"/>
      </w:r>
      <w:r>
        <w:rPr>
          <w:b/>
          <w:bCs/>
          <w:lang w:val="es-ES"/>
        </w:rPr>
        <w:t xml:space="preserve">antes de </w:t>
      </w:r>
      <w:r>
        <w:rPr>
          <w:lang w:val="es-ES"/>
        </w:rPr>
        <w:t xml:space="preserve"/>
      </w:r>
      <w:r>
        <w:rPr>
          <w:lang w:val="es-ES"/>
        </w:rPr>
        <w:t xml:space="preserve">cualquier subcontratación; Las claves de descifrado están en manos de OHADJA. Por lo tanto, el host de almacenamiento de respaldo solo tiene acceso a datos cifrados.</w:t>
      </w:r>
    </w:p>
    <w:bookmarkEnd w:id="38"/>
    <w:bookmarkStart w:id="39" w:name="Xf11282247053c32d741cabaa3f1d559af0fa28a"/>
    <w:p>
      <w:pPr>
        <w:pStyle w:val="Heading2"/>
        <w:keepNext/>
        <w:keepLines/>
      </w:pPr>
      <w:r>
        <w:rPr>
          <w:color w:val="000000"/>
          <w:lang w:val="es-ES"/>
        </w:rPr>
        <w:t xml:space="preserve">4. Infraestructura de producción (Opción 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Anfitrión</w:t>
            </w:r>
          </w:p>
        </w:tc>
        <w:tc>
          <w:tcPr/>
          <w:p>
            <w:pPr>
              <w:pStyle w:val="Compact"/>
            </w:pPr>
            <w:r>
              <w:rPr>
                <w:lang w:val="es-ES"/>
              </w:rPr>
              <w:t xml:space="preserve">Hostinger (operaciones en la UE)</w:t>
            </w:r>
          </w:p>
        </w:tc>
      </w:tr>
      <w:tr>
        <w:trPr>
          <w:cantSplit/>
        </w:trPr>
        <w:tc>
          <w:tcPr/>
          <w:p>
            <w:pPr>
              <w:pStyle w:val="Compact"/>
            </w:pPr>
            <w:r>
              <w:rPr>
                <w:lang w:val="es-ES"/>
              </w:rPr>
              <w:t xml:space="preserve">Ubicación del servidor de producción.</w:t>
            </w:r>
          </w:p>
        </w:tc>
        <w:tc>
          <w:tcPr/>
          <w:p>
            <w:pPr>
              <w:pStyle w:val="Compact"/>
            </w:pPr>
            <w:r>
              <w:rPr>
                <w:lang w:val="es-ES"/>
              </w:rPr>
              <w:t xml:space="preserve">Centro de datos en Estrasburgo, Francia</w:t>
            </w:r>
          </w:p>
        </w:tc>
      </w:tr>
      <w:tr>
        <w:trPr>
          <w:cantSplit/>
        </w:trPr>
        <w:tc>
          <w:tcPr/>
          <w:p>
            <w:pPr>
              <w:pStyle w:val="Compact"/>
            </w:pPr>
            <w:r>
              <w:rPr>
                <w:lang w:val="es-ES"/>
              </w:rPr>
              <w:t xml:space="preserve">Almacenamiento primario</w:t>
            </w:r>
          </w:p>
        </w:tc>
        <w:tc>
          <w:tcPr/>
          <w:p>
            <w:pPr>
              <w:pStyle w:val="Compact"/>
            </w:pPr>
            <w:r>
              <w:rPr>
                <w:lang w:val="es-ES"/>
              </w:rPr>
              <w:t xml:space="preserve">Disco NVMe local, servidor de Francia</w:t>
            </w:r>
          </w:p>
        </w:tc>
      </w:tr>
      <w:tr>
        <w:trPr>
          <w:cantSplit/>
        </w:trPr>
        <w:tc>
          <w:tcPr/>
          <w:p>
            <w:pPr>
              <w:pStyle w:val="Compact"/>
            </w:pPr>
            <w:r>
              <w:rPr>
                <w:lang w:val="es-ES"/>
              </w:rPr>
              <w:t xml:space="preserve">Almacenamiento de copias de seguridad</w:t>
            </w:r>
          </w:p>
        </w:tc>
        <w:tc>
          <w:tcPr/>
          <w:p>
            <w:pPr>
              <w:pStyle w:val="Compact"/>
            </w:pPr>
            <w:r>
              <w:rPr>
                <w:lang w:val="es-ES"/>
              </w:rPr>
              <w:t xml:space="preserve">Francia (Scaleway)</w:t>
            </w:r>
          </w:p>
        </w:tc>
      </w:tr>
      <w:tr>
        <w:trPr>
          <w:cantSplit/>
        </w:trPr>
        <w:tc>
          <w:tcPr/>
          <w:p>
            <w:pPr>
              <w:pStyle w:val="Compact"/>
            </w:pPr>
            <w:r>
              <w:rPr>
                <w:lang w:val="es-ES"/>
              </w:rPr>
              <w:t xml:space="preserve">Cifrado de respaldo</w:t>
            </w:r>
          </w:p>
        </w:tc>
        <w:tc>
          <w:tcPr/>
          <w:p>
            <w:pPr>
              <w:pStyle w:val="Compact"/>
            </w:pPr>
            <w:r>
              <w:rPr>
                <w:lang w:val="es-ES"/>
              </w:rPr>
              <w:t xml:space="preserve">age (X25519 + ChaCha20-Poly1305), antes de la subcontratación</w:t>
            </w:r>
          </w:p>
        </w:tc>
      </w:tr>
      <w:tr>
        <w:trPr>
          <w:cantSplit/>
        </w:trPr>
        <w:tc>
          <w:tcPr/>
          <w:p>
            <w:pPr>
              <w:pStyle w:val="Compact"/>
            </w:pPr>
            <w:r>
              <w:rPr>
                <w:lang w:val="es-ES"/>
              </w:rPr>
              <w:t xml:space="preserve">Cifrado del disco del sistema</w:t>
            </w:r>
          </w:p>
        </w:tc>
        <w:tc>
          <w:tcPr/>
          <w:p>
            <w:pPr>
              <w:pStyle w:val="Compact"/>
            </w:pPr>
            <w:r>
              <w:rPr>
                <w:lang w:val="es-ES"/>
              </w:rPr>
              <w:t xml:space="preserve">Dependiendo de la oferta del centro de datos; actualización planificada (LUKS/gocryptfs)</w:t>
            </w:r>
          </w:p>
        </w:tc>
      </w:tr>
      <w:tr>
        <w:trPr>
          <w:cantSplit/>
        </w:trPr>
        <w:tc>
          <w:tcPr/>
          <w:p>
            <w:pPr>
              <w:pStyle w:val="Compact"/>
            </w:pPr>
            <w:r>
              <w:rPr>
                <w:lang w:val="es-ES"/>
              </w:rPr>
              <w:t xml:space="preserve">Servidores de inferencia de IA (ruta principal)</w:t>
            </w:r>
          </w:p>
        </w:tc>
        <w:tc>
          <w:tcPr/>
          <w:p>
            <w:pPr>
              <w:pStyle w:val="Compact"/>
            </w:pPr>
            <w:r>
              <w:rPr>
                <w:lang w:val="es-ES"/>
              </w:rPr>
              <w:t xml:space="preserve">GPU dominadas por OHADJA, alojadas en Europa (principalmente Estrasburgo y París), ejecutando vLLM con modelos de peso abierto.</w:t>
            </w:r>
          </w:p>
        </w:tc>
      </w:tr>
      <w:tr>
        <w:trPr>
          <w:cantSplit/>
        </w:trPr>
        <w:tc>
          <w:tcPr/>
          <w:p>
            <w:pPr>
              <w:pStyle w:val="Compact"/>
            </w:pPr>
            <w:r>
              <w:rPr>
                <w:lang w:val="es-ES"/>
              </w:rPr>
              <w:t xml:space="preserve">Acceso físico al centro de datos.</w:t>
            </w:r>
          </w:p>
        </w:tc>
        <w:tc>
          <w:tcPr/>
          <w:p>
            <w:pPr>
              <w:pStyle w:val="Compact"/>
            </w:pPr>
            <w:r>
              <w:rPr>
                <w:lang w:val="es-ES"/>
              </w:rPr>
              <w:t xml:space="preserve">Hostinger; sin acceso humano a los datos de la aplicación</w:t>
            </w:r>
          </w:p>
        </w:tc>
      </w:tr>
    </w:tbl>
    <w:bookmarkEnd w:id="39"/>
    <w:bookmarkStart w:id="43" w:name="X700250886d055f58feeb2a5500db370e2d232dd"/>
    <w:p>
      <w:pPr>
        <w:pStyle w:val="Heading2"/>
        <w:keepNext/>
        <w:keepLines/>
      </w:pPr>
      <w:r>
        <w:rPr>
          <w:color w:val="000000"/>
          <w:lang w:val="es-ES"/>
        </w:rPr>
        <w:t xml:space="preserve">5. Los flujos y el procesamiento fuera del EEE son posibles en la opción A: mención honesta</w:t>
      </w:r>
    </w:p>
    <w:p>
      <w:pPr>
        <w:pStyle w:val="FirstParagraph"/>
      </w:pPr>
      <w:r>
        <w:rPr>
          <w:lang w:val="es-ES"/>
        </w:rPr>
        <w:t xml:space="preserve">En aras de la transparencia con respecto a sus análisis de cumplimiento, los siguientes casos están marcados explícitamente.</w:t>
      </w:r>
    </w:p>
    <w:bookmarkStart w:id="40" w:name="X5b78bac1412b7cfd1ffb7b51c9d8c6cc21919c5"/>
    <w:p>
      <w:pPr>
        <w:pStyle w:val="Heading3"/>
        <w:keepNext/>
        <w:keepLines/>
      </w:pPr>
      <w:r>
        <w:rPr>
          <w:color w:val="000000"/>
          <w:lang w:val="es-ES"/>
        </w:rPr>
        <w:t xml:space="preserve">5.1 Funciones de inteligencia artificial</w:t>
      </w:r>
    </w:p>
    <w:p>
      <w:pPr>
        <w:pStyle w:val="FirstParagraph"/>
      </w:pPr>
      <w:r>
        <w:rPr>
          <w:b/>
          <w:bCs/>
          <w:lang w:val="es-ES"/>
        </w:rPr>
        <w:t xml:space="preserve">Ruta principal: sin transferencia fuera </w:t>
      </w:r>
      <w:r>
        <w:rPr>
          <w:lang w:val="es-ES"/>
        </w:rPr>
        <w:t xml:space="preserve">del </w:t>
      </w:r>
      <w:r>
        <w:rPr>
          <w:lang w:val="es-ES"/>
        </w:rPr>
        <w:t xml:space="preserve">EEE. Por defecto, las funciones de IA (corrección, resumen, actas, capítulos, sugerencia de identificación) se ejecutan en servidores GPU controlados por OHADJA que ejecutan vLLM con modelos de peso abierto ([PARA COMPLETAR: versiones exactas — Qwen 3.6 o Mistral]), alojados en Europa (principalmente Estrasburgo y París) — o, en la Opción B, en la infraestructura del cliente. En esta ruta, no se transmiten datos a un proveedor de modelos externo y no se realiza ningún procesamiento fuera del EEE.</w:t>
      </w:r>
    </w:p>
    <w:p>
      <w:pPr>
        <w:pStyle w:val="BodyText"/>
      </w:pPr>
      <w:r>
        <w:rPr>
          <w:b/>
          <w:bCs/>
          <w:lang w:val="es-ES"/>
        </w:rPr>
        <w:t xml:space="preserve">Ruta de emergencia: posible traslado fuera del EEE. </w:t>
      </w:r>
      <w:r>
        <w:rPr>
          <w:lang w:val="es-ES"/>
        </w:rPr>
        <w:t xml:space="preserve"/>
      </w:r>
      <w:r>
        <w:rPr>
          <w:lang w:val="es-ES"/>
        </w:rPr>
        <w:t xml:space="preserve">En caso de que el canal principal no esté disponible, y a menos que su organización lo desactive, una conmutación por error a la puerta de enlace OpenRouter </w:t>
      </w:r>
      <w:r>
        <w:rPr>
          <w:lang w:val="es-ES"/>
        </w:rPr>
        <w:t xml:space="preserve"/>
      </w:r>
      <w:r>
        <w:rPr>
          <w:b/>
          <w:bCs/>
          <w:lang w:val="es-ES"/>
        </w:rPr>
        <w:t xml:space="preserve">puede requerir </w:t>
      </w:r>
      <w:r>
        <w:rPr>
          <w:lang w:val="es-ES"/>
        </w:rPr>
        <w:t xml:space="preserve"/>
      </w:r>
      <w:r>
        <w:rPr>
          <w:lang w:val="es-ES"/>
        </w:rPr>
        <w:t xml:space="preserve">proveedores de modelo </w:t>
      </w:r>
      <w:r>
        <w:rPr>
          <w:lang w:val="es-ES"/>
        </w:rPr>
        <w:t xml:space="preserve"/>
      </w:r>
      <w:r>
        <w:rPr>
          <w:b/>
          <w:bCs/>
          <w:lang w:val="es-ES"/>
        </w:rPr>
        <w:t xml:space="preserve">establecidos en los Estados Unidos (por ejemplo, </w:t>
      </w:r>
      <w:r>
        <w:rPr>
          <w:lang w:val="es-ES"/>
        </w:rPr>
        <w:t xml:space="preserve"/>
      </w:r>
      <w:r>
        <w:rPr>
          <w:lang w:val="es-ES"/>
        </w:rPr>
        <w:t xml:space="preserve">Anthropic u OpenAI). Esta exención constituye entonces una transferencia fuera del EEE, formulada de la siguiente manera: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Detalle</w:t>
            </w:r>
          </w:p>
        </w:tc>
      </w:tr>
      <w:tr>
        <w:trPr>
          <w:cantSplit/>
        </w:trPr>
        <w:tc>
          <w:tcPr/>
          <w:p>
            <w:pPr>
              <w:pStyle w:val="Compact"/>
            </w:pPr>
            <w:r>
              <w:rPr>
                <w:lang w:val="es-ES"/>
              </w:rPr>
              <w:t xml:space="preserve">Encargados del tratamiento afectado</w:t>
            </w:r>
          </w:p>
        </w:tc>
        <w:tc>
          <w:tcPr/>
          <w:p>
            <w:pPr>
              <w:pStyle w:val="Compact"/>
            </w:pPr>
            <w:r>
              <w:rPr>
                <w:lang w:val="es-ES"/>
              </w:rPr>
              <w:t xml:space="preserve">OpenRouter Inc. (EE.UU.); proveedores de modelos a través de OpenRouter (Anthropic, OpenAI…)</w:t>
            </w:r>
          </w:p>
        </w:tc>
      </w:tr>
      <w:tr>
        <w:trPr>
          <w:cantSplit/>
        </w:trPr>
        <w:tc>
          <w:tcPr/>
          <w:p>
            <w:pPr>
              <w:pStyle w:val="Compact"/>
            </w:pPr>
            <w:r>
              <w:rPr>
                <w:lang w:val="es-ES"/>
              </w:rPr>
              <w:t xml:space="preserve">Activación</w:t>
            </w:r>
          </w:p>
        </w:tc>
        <w:tc>
          <w:tcPr/>
          <w:p>
            <w:pPr>
              <w:pStyle w:val="Compact"/>
            </w:pPr>
            <w:r>
              <w:rPr>
                <w:lang w:val="es-ES"/>
              </w:rPr>
              <w:t xml:space="preserve">Solo como respaldo, si el canal principal de vLLM UE no está disponible; Puede ser desactivado por organización.</w:t>
            </w:r>
          </w:p>
        </w:tc>
      </w:tr>
      <w:tr>
        <w:trPr>
          <w:cantSplit/>
        </w:trPr>
        <w:tc>
          <w:tcPr/>
          <w:p>
            <w:pPr>
              <w:pStyle w:val="Compact"/>
            </w:pPr>
            <w:r>
              <w:rPr>
                <w:lang w:val="es-ES"/>
              </w:rPr>
              <w:t xml:space="preserve">País de procesamiento</w:t>
            </w:r>
          </w:p>
        </w:tc>
        <w:tc>
          <w:tcPr/>
          <w:p>
            <w:pPr>
              <w:pStyle w:val="Compact"/>
            </w:pPr>
            <w:r>
              <w:rPr>
                <w:lang w:val="es-ES"/>
              </w:rPr>
              <w:t xml:space="preserve">Estados Unidos posible dependiendo del modelo</w:t>
            </w:r>
          </w:p>
        </w:tc>
      </w:tr>
      <w:tr>
        <w:trPr>
          <w:cantSplit/>
        </w:trPr>
        <w:tc>
          <w:tcPr/>
          <w:p>
            <w:pPr>
              <w:pStyle w:val="Compact"/>
            </w:pPr>
            <w:r>
              <w:rPr>
                <w:lang w:val="es-ES"/>
              </w:rPr>
              <w:t xml:space="preserve">Mecanismo de transferencia (Capítulo V RGPD)</w:t>
            </w:r>
          </w:p>
        </w:tc>
        <w:tc>
          <w:tcPr/>
          <w:p>
            <w:pPr>
              <w:pStyle w:val="Compact"/>
            </w:pPr>
            <w:r>
              <w:rPr>
                <w:lang w:val="es-ES"/>
              </w:rPr>
              <w:t xml:space="preserve">Cláusulas contractuales estándar de proveedores; cuando corresponda Marco de privacidad de datos</w:t>
            </w:r>
          </w:p>
        </w:tc>
      </w:tr>
      <w:tr>
        <w:trPr>
          <w:cantSplit/>
        </w:trPr>
        <w:tc>
          <w:tcPr/>
          <w:p>
            <w:pPr>
              <w:pStyle w:val="Compact"/>
            </w:pPr>
            <w:r>
              <w:rPr>
                <w:lang w:val="es-ES"/>
              </w:rPr>
              <w:t xml:space="preserve">Medidas adicionales</w:t>
            </w:r>
          </w:p>
        </w:tc>
        <w:tc>
          <w:tcPr/>
          <w:p>
            <w:pPr>
              <w:pStyle w:val="Compact"/>
            </w:pPr>
            <w:r>
              <w:rPr>
                <w:lang w:val="es-ES"/>
              </w:rPr>
              <w:t xml:space="preserve">TLS en tránsito, minimización de los datos transmitidos, ausencia de capacitación sobre sus datos (“no-train”), ausencia de almacenamiento duradero</w:t>
            </w:r>
          </w:p>
        </w:tc>
      </w:tr>
      <w:tr>
        <w:trPr>
          <w:cantSplit/>
        </w:trPr>
        <w:tc>
          <w:tcPr/>
          <w:p>
            <w:pPr>
              <w:pStyle w:val="Compact"/>
            </w:pPr>
            <w:r>
              <w:rPr>
                <w:lang w:val="es-ES"/>
              </w:rPr>
              <w:t xml:space="preserve">Eliminación de alivio</w:t>
            </w:r>
          </w:p>
        </w:tc>
        <w:tc>
          <w:tcPr/>
          <w:p>
            <w:pPr>
              <w:pStyle w:val="Compact"/>
            </w:pPr>
            <w:r>
              <w:rPr>
                <w:lang w:val="es-ES"/>
              </w:rPr>
              <w:t xml:space="preserve">Perfil “UE estricto” (copia de seguridad deshabilitada) u opción B aislada</w:t>
            </w:r>
          </w:p>
        </w:tc>
      </w:tr>
    </w:tbl>
    <w:p>
      <w:pPr>
        <w:pStyle w:val="BodyText"/>
      </w:pPr>
      <w:r>
        <w:rPr>
          <w:b/>
          <w:bCs/>
          <w:lang w:val="es-ES"/>
        </w:rPr>
        <w:t xml:space="preserve">Rutas LLM por organización. </w:t>
      </w:r>
      <w:r>
        <w:rPr>
          <w:lang w:val="es-ES"/>
        </w:rPr>
        <w:t xml:space="preserve"/>
      </w:r>
      <w:r>
        <w:rPr>
          <w:lang w:val="es-ES"/>
        </w:rPr>
        <w:t xml:space="preserve">Desde la versión 1.7.0, cada organización puede definir sus propias rutas LLM (proveedor, modelo, endpoint autoalojado), en modo fail-closed y con protección contra SSRF, lo que le permite controlar plenamente el lugar de tratamiento de la IA.</w:t>
      </w:r>
    </w:p>
    <w:bookmarkEnd w:id="40"/>
    <w:bookmarkStart w:id="41" w:name="X2285286b7bc0b60388fb6c9db2644919089fce5"/>
    <w:p>
      <w:pPr>
        <w:pStyle w:val="Heading3"/>
        <w:keepNext/>
        <w:keepLines/>
      </w:pPr>
      <w:r>
        <w:rPr>
          <w:color w:val="000000"/>
          <w:lang w:val="es-ES"/>
        </w:rPr>
        <w:t xml:space="preserve">5.2 Recursos de GPU de transcripción</w:t>
      </w:r>
    </w:p>
    <w:p>
      <w:pPr>
        <w:pStyle w:val="FirstParagraph"/>
      </w:pPr>
      <w:r>
        <w:rPr>
          <w:lang w:val="es-ES"/>
        </w:rPr>
        <w:t xml:space="preserve">El procesamiento de transcripción puede utilizar recursos de GPU de un mercado (Vast.ai) cuando esta opción está habilitada. OHADJA selecciona máquinas ubicadas en la UE cuando esta ubicación es requerida; de lo contrario, es posible el procesamiento fuera del EEE.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Detalle</w:t>
            </w:r>
          </w:p>
        </w:tc>
      </w:tr>
      <w:tr>
        <w:trPr>
          <w:cantSplit/>
        </w:trPr>
        <w:tc>
          <w:tcPr/>
          <w:p>
            <w:pPr>
              <w:pStyle w:val="Compact"/>
            </w:pPr>
            <w:r>
              <w:rPr>
                <w:lang w:val="es-ES"/>
              </w:rPr>
              <w:t xml:space="preserve">Proveedor</w:t>
            </w:r>
          </w:p>
        </w:tc>
        <w:tc>
          <w:tcPr/>
          <w:p>
            <w:pPr>
              <w:pStyle w:val="Compact"/>
            </w:pPr>
            <w:r>
              <w:rPr>
                <w:lang w:val="es-ES"/>
              </w:rPr>
              <w:t xml:space="preserve">Vast.ai (mercado, EE. UU.) o GPU dedicada</w:t>
            </w:r>
          </w:p>
        </w:tc>
      </w:tr>
      <w:tr>
        <w:trPr>
          <w:cantSplit/>
        </w:trPr>
        <w:tc>
          <w:tcPr/>
          <w:p>
            <w:pPr>
              <w:pStyle w:val="Compact"/>
            </w:pPr>
            <w:r>
              <w:rPr>
                <w:lang w:val="es-ES"/>
              </w:rPr>
              <w:t xml:space="preserve">País de procesamiento</w:t>
            </w:r>
          </w:p>
        </w:tc>
        <w:tc>
          <w:tcPr/>
          <w:p>
            <w:pPr>
              <w:pStyle w:val="Compact"/>
            </w:pPr>
            <w:r>
              <w:rPr>
                <w:lang w:val="es-ES"/>
              </w:rPr>
              <w:t xml:space="preserve">UE cuando sea necesario; fuera del EEE posible de lo contrario</w:t>
            </w:r>
          </w:p>
        </w:tc>
      </w:tr>
      <w:tr>
        <w:trPr>
          <w:cantSplit/>
        </w:trPr>
        <w:tc>
          <w:tcPr/>
          <w:p>
            <w:pPr>
              <w:pStyle w:val="Compact"/>
            </w:pPr>
            <w:r>
              <w:rPr>
                <w:lang w:val="es-ES"/>
              </w:rPr>
              <w:t xml:space="preserve">Medidas</w:t>
            </w:r>
          </w:p>
        </w:tc>
        <w:tc>
          <w:tcPr/>
          <w:p>
            <w:pPr>
              <w:pStyle w:val="Compact"/>
            </w:pPr>
            <w:r>
              <w:rPr>
                <w:lang w:val="es-ES"/>
              </w:rPr>
              <w:t xml:space="preserve">Procesamiento automatizado, eliminación de datos después del trabajo.</w:t>
            </w:r>
          </w:p>
        </w:tc>
      </w:tr>
      <w:tr>
        <w:trPr>
          <w:cantSplit/>
        </w:trPr>
        <w:tc>
          <w:tcPr/>
          <w:p>
            <w:pPr>
              <w:pStyle w:val="Compact"/>
            </w:pPr>
            <w:r>
              <w:rPr>
                <w:lang w:val="es-ES"/>
              </w:rPr>
              <w:t xml:space="preserve">Alternativa sin fuera del EEE</w:t>
            </w:r>
          </w:p>
        </w:tc>
        <w:tc>
          <w:tcPr/>
          <w:p>
            <w:pPr>
              <w:pStyle w:val="Compact"/>
            </w:pPr>
            <w:r>
              <w:rPr>
                <w:lang w:val="es-ES"/>
              </w:rPr>
              <w:t xml:space="preserve">GPU UE dedicada, perfil “UE estricto” u opción B aislada</w:t>
            </w:r>
          </w:p>
        </w:tc>
      </w:tr>
    </w:tbl>
    <w:bookmarkEnd w:id="41"/>
    <w:bookmarkStart w:id="42" w:name="Xa78361d18e82bf892f473781e2b3906efd4da02"/>
    <w:p>
      <w:pPr>
        <w:pStyle w:val="Heading3"/>
        <w:keepNext/>
        <w:keepLines/>
      </w:pPr>
      <w:r>
        <w:rPr>
          <w:color w:val="000000"/>
          <w:lang w:val="es-ES"/>
        </w:rPr>
        <w:t xml:space="preserve">5.3 Resumen</w:t>
      </w:r>
    </w:p>
    <w:p>
      <w:pPr>
        <w:pStyle w:val="FirstParagraph"/>
      </w:pPr>
      <w:r>
        <w:rPr>
          <w:lang w:val="es-ES"/>
        </w:rPr>
        <w:t xml:space="preserve">En la configuración predeterminada, la ruta principal de IA (vLLM en GPU dominadas en Europa) no implica ninguna transferencia fuera del EEE. Los únicos casos residuales de procesamiento fuera del EEE en la Opción A son el respaldo de OpenRouter (si se solicita y no está deshabilitado) y ciertos recursos de transcripción de GPU. Para excluir completamente estos casos residuales, dos vías garantizan la ausencia de cualquier tratamiento fuera del EEE:</w:t>
      </w:r>
    </w:p>
    <w:p>
      <w:pPr>
        <w:pStyle w:val="Compact"/>
        <w:numPr>
          <w:ilvl w:val="0"/>
          <w:numId w:val="1008"/>
        </w:numPr>
      </w:pPr>
      <w:r>
        <w:rPr>
          <w:b/>
          <w:bCs/>
          <w:lang w:val="es-ES"/>
        </w:rPr>
        <w:t xml:space="preserve">Opción A con perfil “UE estricto”: </w:t>
      </w:r>
      <w:r>
        <w:rPr>
          <w:lang w:val="es-ES"/>
        </w:rPr>
        <w:t xml:space="preserve"/>
      </w:r>
      <w:r>
        <w:rPr>
          <w:lang w:val="es-ES"/>
        </w:rPr>
        <w:t xml:space="preserve">vía primaria UE vLLM o modelo autohospedado, respaldo de OpenRouter deshabilitado, recursos de GPU de transcripción UE;</w:t>
      </w:r>
    </w:p>
    <w:p>
      <w:pPr>
        <w:pStyle w:val="Compact"/>
        <w:numPr>
          <w:ilvl w:val="0"/>
          <w:numId w:val="1008"/>
        </w:numPr>
      </w:pPr>
      <w:r>
        <w:rPr>
          <w:b/>
          <w:bCs/>
          <w:lang w:val="es-ES"/>
        </w:rPr>
        <w:t xml:space="preserve">Opción B aislada en las </w:t>
      </w:r>
      <w:r>
        <w:rPr>
          <w:lang w:val="es-ES"/>
        </w:rPr>
        <w:t xml:space="preserve"/>
      </w:r>
      <w:r>
        <w:rPr>
          <w:lang w:val="es-ES"/>
        </w:rPr>
        <w:t xml:space="preserve">instalaciones: sin flujo saliente, todo el procesamiento en la infraestructura del cliente.</w:t>
      </w:r>
    </w:p>
    <w:bookmarkEnd w:id="42"/>
    <w:bookmarkEnd w:id="43"/>
    <w:bookmarkStart w:id="44" w:name="Xf27fc752bd766297e25b0fbec12501eb2c919fc"/>
    <w:p>
      <w:pPr>
        <w:pStyle w:val="Heading2"/>
        <w:keepNext/>
        <w:keepLines/>
      </w:pPr>
      <w:r>
        <w:rPr>
          <w:color w:val="000000"/>
          <w:lang w:val="es-ES"/>
        </w:rPr>
        <w:t xml:space="preserve">6. Administración y apoyo de Francia/UE</w:t>
      </w:r>
    </w:p>
    <w:p>
      <w:pPr>
        <w:pStyle w:val="FirstParagraph"/>
      </w:pPr>
      <w:r>
        <w:rPr>
          <w:lang w:val="es-ES"/>
        </w:rPr>
        <w:t xml:space="preserve">OHADJA se compromete contractualmente a realizar la administración y el soporte de la </w:t>
      </w:r>
      <w:r>
        <w:rPr>
          <w:lang w:val="es-ES"/>
        </w:rPr>
        <w:t xml:space="preserve"/>
      </w:r>
      <w:r>
        <w:rPr>
          <w:b/>
          <w:bCs/>
          <w:lang w:val="es-ES"/>
        </w:rPr>
        <w:t xml:space="preserve">solución exclusivamente desde Francia o la Unión </w:t>
      </w:r>
      <w:r>
        <w:rPr>
          <w:lang w:val="es-ES"/>
        </w:rPr>
        <w:t xml:space="preserve">Europea. No se realiza ningún acceso administrativo a los datos de producción desde un tercer país, y ninguna transferencia de datos a un tercer país resulta de operaciones de administración o apoyo.</w:t>
      </w:r>
    </w:p>
    <w:p>
      <w:pPr>
        <w:pStyle w:val="BodyText"/>
      </w:pPr>
      <w:r>
        <w:rPr>
          <w:b/>
          <w:bCs/>
          <w:lang w:val="es-ES"/>
        </w:rPr>
        <w:t xml:space="preserve">Marco implementado:</w:t>
      </w:r>
    </w:p>
    <w:p>
      <w:pPr>
        <w:pStyle w:val="Compact"/>
        <w:numPr>
          <w:ilvl w:val="0"/>
          <w:numId w:val="1009"/>
        </w:numPr>
      </w:pPr>
      <w:r>
        <w:rPr>
          <w:lang w:val="es-ES"/>
        </w:rPr>
        <w:t xml:space="preserve">administración y soporte exclusivamente de Francia o la Unión Europea;</w:t>
      </w:r>
    </w:p>
    <w:p>
      <w:pPr>
        <w:pStyle w:val="Compact"/>
        <w:numPr>
          <w:ilvl w:val="0"/>
          <w:numId w:val="1009"/>
        </w:numPr>
      </w:pPr>
      <w:r>
        <w:rPr>
          <w:lang w:val="es-ES"/>
        </w:rPr>
        <w:t xml:space="preserve">acceso nominativo, reservado a personas autorizadas;</w:t>
      </w:r>
    </w:p>
    <w:p>
      <w:pPr>
        <w:pStyle w:val="Compact"/>
        <w:numPr>
          <w:ilvl w:val="0"/>
          <w:numId w:val="1009"/>
        </w:numPr>
      </w:pPr>
      <w:r>
        <w:rPr>
          <w:lang w:val="es-ES"/>
        </w:rPr>
        <w:t xml:space="preserve">Inicio de sesión SSH solo con clave, autenticación de dos factores, TLS;</w:t>
      </w:r>
    </w:p>
    <w:p>
      <w:pPr>
        <w:pStyle w:val="Compact"/>
        <w:numPr>
          <w:ilvl w:val="0"/>
          <w:numId w:val="1009"/>
        </w:numPr>
      </w:pPr>
      <w:r>
        <w:rPr>
          <w:lang w:val="es-ES"/>
        </w:rPr>
        <w:t xml:space="preserve">registro de acceso administrativo;</w:t>
      </w:r>
    </w:p>
    <w:p>
      <w:pPr>
        <w:pStyle w:val="Compact"/>
        <w:numPr>
          <w:ilvl w:val="0"/>
          <w:numId w:val="1009"/>
        </w:numPr>
      </w:pPr>
      <w:r>
        <w:rPr>
          <w:lang w:val="es-ES"/>
        </w:rPr>
        <w:t xml:space="preserve">ninguna copia local de los datos de producción en la estación de trabajo del administrador;</w:t>
      </w:r>
    </w:p>
    <w:p>
      <w:pPr>
        <w:pStyle w:val="Compact"/>
        <w:numPr>
          <w:ilvl w:val="0"/>
          <w:numId w:val="1009"/>
        </w:numPr>
      </w:pPr>
      <w:r>
        <w:rPr>
          <w:lang w:val="es-ES"/>
        </w:rPr>
        <w:t xml:space="preserve">estación de trabajo cifrada.</w:t>
      </w:r>
    </w:p>
    <w:p>
      <w:pPr>
        <w:pStyle w:val="FirstParagraph"/>
      </w:pPr>
      <w:r>
        <w:rPr>
          <w:lang w:val="es-ES"/>
        </w:rPr>
        <w:t xml:space="preserve">Este compromiso es coherente con la calidad de OHADJA, una editorial establecida en Francia (sede central en París).</w:t>
      </w:r>
    </w:p>
    <w:bookmarkEnd w:id="44"/>
    <w:bookmarkStart w:id="45" w:name="X8b67c202385f36df7b88c0ca51f80bcd914f097"/>
    <w:p>
      <w:pPr>
        <w:pStyle w:val="Heading2"/>
        <w:keepNext/>
        <w:keepLines/>
      </w:pPr>
      <w:r>
        <w:rPr>
          <w:color w:val="000000"/>
          <w:lang w:val="es-ES"/>
        </w:rPr>
        <w:t xml:space="preserve">7. Descripción general del flujo</w:t>
      </w:r>
    </w:p>
    <w:p>
      <w:pPr>
        <w:pStyle w:val="FirstParagraph"/>
      </w:pPr>
      <w:r>
        <w:rPr>
          <w:lang w:val="es-ES"/>
        </w:rPr>
        <w:t xml:space="preserve">El diagrama de flujo de datos (carga, transcripción, IA, respaldo) se devuelve al formato Visio (.vsdx) durante la fase de implementación, según la descripción del documento TRB-CONF-01.03.</w:t>
      </w:r>
    </w:p>
    <w:p>
      <w:r>
        <w:pict>
          <v:rect style="width:0;height:1.5pt" o:hralign="center" o:hrstd="t" o:hr="t"/>
        </w:pict>
      </w:r>
    </w:p>
    <w:p>
      <w:pPr>
        <w:pStyle w:val="FirstParagraph"/>
      </w:pPr>
      <w:r>
        <w:rPr>
          <w:i/>
          <w:iCs/>
          <w:lang w:val="es-ES"/>
        </w:rPr>
        <w:t xml:space="preserve">Documento de trabajo establecido por OHADJA — para ser validado por su asesor legal / DPO antes de la firma.</w:t>
      </w:r>
    </w:p>
    <w:p>
      <w:r>
        <w:br w:type="page"/>
      </w:r>
    </w:p>
    <w:bookmarkEnd w:id="45"/>
    <w:bookmarkEnd w:id="46"/>
    <w:bookmarkStart w:id="60" w:name="X086e6a2779536af984993aabbd9c9a847a687e2"/>
    <w:p>
      <w:pPr>
        <w:pStyle w:val="Heading1"/>
        <w:keepNext/>
        <w:keepLines/>
      </w:pPr>
      <w:r>
        <w:rPr>
          <w:color w:val="000000"/>
          <w:lang w:val="es-ES"/>
        </w:rPr>
        <w:t xml:space="preserve">Identificación de actores y roles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Referencia</w:t>
            </w:r>
          </w:p>
        </w:tc>
        <w:tc>
          <w:tcPr/>
          <w:p>
            <w:pPr>
              <w:pStyle w:val="Compact"/>
            </w:pPr>
            <w:r>
              <w:rPr>
                <w:lang w:val="es-ES"/>
              </w:rPr>
              <w:t xml:space="preserve">OHA-RGPD-01</w:t>
            </w:r>
          </w:p>
        </w:tc>
      </w:tr>
      <w:tr>
        <w:trPr>
          <w:cantSplit/>
        </w:trPr>
        <w:tc>
          <w:tcPr/>
          <w:p>
            <w:pPr>
              <w:pStyle w:val="Compact"/>
            </w:pPr>
            <w:r>
              <w:rPr>
                <w:lang w:val="es-ES"/>
              </w:rPr>
              <w:t xml:space="preserve">Propósito</w:t>
            </w:r>
          </w:p>
        </w:tc>
        <w:tc>
          <w:tcPr/>
          <w:p>
            <w:pPr>
              <w:pStyle w:val="Compact"/>
            </w:pPr>
            <w:r>
              <w:rPr>
                <w:lang w:val="es-ES"/>
              </w:rPr>
              <w:t xml:space="preserve">Identificación de actores y sus roles en el sentido de RGPD</w:t>
            </w:r>
          </w:p>
        </w:tc>
      </w:tr>
      <w:tr>
        <w:trPr>
          <w:cantSplit/>
        </w:trPr>
        <w:tc>
          <w:tcPr/>
          <w:p>
            <w:pPr>
              <w:pStyle w:val="Compact"/>
            </w:pPr>
            <w:r>
              <w:rPr>
                <w:lang w:val="es-ES"/>
              </w:rPr>
              <w:t xml:space="preserve">Versión</w:t>
            </w:r>
          </w:p>
        </w:tc>
        <w:tc>
          <w:tcPr/>
          <w:p>
            <w:pPr>
              <w:pStyle w:val="Compact"/>
            </w:pPr>
            <w:r>
              <w:rPr>
                <w:lang w:val="es-ES"/>
              </w:rPr>
              <w:t xml:space="preserve">1.0</w:t>
            </w:r>
          </w:p>
        </w:tc>
      </w:tr>
      <w:tr>
        <w:trPr>
          <w:cantSplit/>
        </w:trPr>
        <w:tc>
          <w:tcPr/>
          <w:p>
            <w:pPr>
              <w:pStyle w:val="Compact"/>
            </w:pPr>
            <w:r>
              <w:rPr>
                <w:lang w:val="es-ES"/>
              </w:rPr>
              <w:t xml:space="preserve">Fecha</w:t>
            </w:r>
          </w:p>
        </w:tc>
        <w:tc>
          <w:tcPr/>
          <w:p>
            <w:pPr>
              <w:pStyle w:val="Compact"/>
            </w:pPr>
            <w:r>
              <w:rPr>
                <w:lang w:val="es-ES"/>
              </w:rPr>
              <w:t xml:space="preserve">2026-07-24</w:t>
            </w:r>
          </w:p>
        </w:tc>
      </w:tr>
      <w:tr>
        <w:trPr>
          <w:cantSplit/>
        </w:trPr>
        <w:tc>
          <w:tcPr/>
          <w:p>
            <w:pPr>
              <w:pStyle w:val="Compact"/>
            </w:pPr>
            <w:r>
              <w:rPr>
                <w:lang w:val="es-ES"/>
              </w:rPr>
              <w:t xml:space="preserve">Redactor</w:t>
            </w:r>
          </w:p>
        </w:tc>
        <w:tc>
          <w:tcPr/>
          <w:p>
            <w:pPr>
              <w:pStyle w:val="Compact"/>
            </w:pPr>
            <w:r>
              <w:rPr>
                <w:lang w:val="es-ES"/>
              </w:rPr>
              <w:t xml:space="preserve">OHADJA</w:t>
            </w:r>
          </w:p>
        </w:tc>
      </w:tr>
      <w:tr>
        <w:trPr>
          <w:cantSplit/>
        </w:trPr>
        <w:tc>
          <w:tcPr/>
          <w:p>
            <w:pPr>
              <w:pStyle w:val="Compact"/>
            </w:pPr>
            <w:r>
              <w:rPr>
                <w:lang w:val="es-ES"/>
              </w:rPr>
              <w:t xml:space="preserve">Destinatario</w:t>
            </w:r>
          </w:p>
        </w:tc>
        <w:tc>
          <w:tcPr/>
          <w:p>
            <w:pPr>
              <w:pStyle w:val="Compact"/>
            </w:pPr>
            <w:r>
              <w:rPr>
                <w:lang w:val="es-ES"/>
              </w:rPr>
              <w:t xml:space="preserve">Organización del cliente (documento estándar)</w:t>
            </w:r>
          </w:p>
        </w:tc>
      </w:tr>
      <w:tr>
        <w:trPr>
          <w:cantSplit/>
        </w:trPr>
        <w:tc>
          <w:tcPr/>
          <w:p>
            <w:pPr>
              <w:pStyle w:val="Compact"/>
            </w:pPr>
            <w:r>
              <w:rPr>
                <w:lang w:val="es-ES"/>
              </w:rPr>
              <w:t xml:space="preserve">Clasificación</w:t>
            </w:r>
          </w:p>
        </w:tc>
        <w:tc>
          <w:tcPr/>
          <w:p>
            <w:pPr>
              <w:pStyle w:val="Compact"/>
            </w:pPr>
            <w:r>
              <w:rPr>
                <w:lang w:val="es-ES"/>
              </w:rPr>
              <w:t xml:space="preserve">Público: documento estándar, especificado durante cada contratación.</w:t>
            </w:r>
          </w:p>
        </w:tc>
      </w:tr>
    </w:tbl>
    <w:bookmarkStart w:id="47" w:name="X4c77b53808a8ef02d48fd63b082b5729319d6d1"/>
    <w:p>
      <w:pPr>
        <w:pStyle w:val="Heading2"/>
        <w:keepNext/>
        <w:keepLines/>
      </w:pPr>
      <w:r>
        <w:rPr>
          <w:color w:val="000000"/>
          <w:lang w:val="es-ES"/>
        </w:rPr>
        <w:t xml:space="preserve">1. Objeto del documento</w:t>
      </w:r>
    </w:p>
    <w:p>
      <w:pPr>
        <w:pStyle w:val="FirstParagraph"/>
      </w:pPr>
      <w:r>
        <w:rPr>
          <w:lang w:val="es-ES"/>
        </w:rPr>
        <w:t xml:space="preserve">Este documento identifica con precisión a todos los actores involucrados en el suministro y funcionamiento de la solución TranscribIA, y califica el papel de cada uno en el sentido del Reglamento (UE) 2016/679 (en adelante, “RGPD”). Especifica, para cada actor, las operaciones efectivamente realizadas y las condiciones de acceso a datos personales.</w:t>
      </w:r>
    </w:p>
    <w:p>
      <w:pPr>
        <w:pStyle w:val="BodyText"/>
      </w:pPr>
      <w:r>
        <w:rPr>
          <w:lang w:val="es-ES"/>
        </w:rPr>
        <w:t xml:space="preserve">Constituye la primera parte del expediente detallado RGPD proporcionado al Cliente. Los datos técnicos subencargados del tratamiento solo se citan aquí; se detallan en el documento OHA-RGPD-03 (“Lista de subencargados del tratamiento”). Los flujos de datos y el acceso humano se detallan en el documento OHA-RGPD-02 (“Matriz de flujo de datos”).</w:t>
      </w:r>
    </w:p>
    <w:p>
      <w:pPr>
        <w:pStyle w:val="BodyText"/>
      </w:pPr>
      <w:r>
        <w:rPr>
          <w:lang w:val="es-ES"/>
        </w:rPr>
        <w:t xml:space="preserve">Punto de atención terminológico: la solicitud del Cliente cita específicamente </w:t>
      </w:r>
      <w:r>
        <w:rPr>
          <w:lang w:val="es-ES"/>
        </w:rPr>
        <w:t xml:space="preserve"/>
      </w:r>
      <w:r>
        <w:rPr>
          <w:b/>
          <w:bCs/>
          <w:lang w:val="es-ES"/>
        </w:rPr>
        <w:t xml:space="preserve"/>
      </w:r>
      <w:r>
        <w:rPr>
          <w:lang w:val="es-ES"/>
        </w:rPr>
        <w:t xml:space="preserve">AMBASSADIA. Conviene distinguir dos entidades del mismo grupo fundador: </w:t>
      </w:r>
      <w:r>
        <w:rPr>
          <w:lang w:val="es-ES"/>
        </w:rPr>
        <w:t xml:space="preserve"/>
      </w:r>
      <w:r>
        <w:rPr>
          <w:b/>
          <w:bCs/>
          <w:lang w:val="es-ES"/>
        </w:rPr>
        <w:t xml:space="preserve">OHADJA, </w:t>
      </w:r>
      <w:r>
        <w:rPr>
          <w:lang w:val="es-ES"/>
        </w:rPr>
        <w:t xml:space="preserve">editor del software y encargado del tratamiento en el sentido del </w:t>
      </w:r>
      <w:r>
        <w:rPr>
          <w:lang w:val="es-ES"/>
        </w:rPr>
        <w:t xml:space="preserve"/>
      </w:r>
      <w:r>
        <w:rPr>
          <w:b/>
          <w:bCs/>
          <w:lang w:val="es-ES"/>
        </w:rPr>
        <w:t xml:space="preserve">artículo 28, y </w:t>
      </w:r>
      <w:r>
        <w:rPr>
          <w:lang w:val="es-ES"/>
        </w:rPr>
        <w:t xml:space="preserve">AMBASSADIA SARL, revendedor/distribuidor </w:t>
      </w:r>
      <w:r>
        <w:rPr>
          <w:lang w:val="es-ES"/>
        </w:rPr>
        <w:t xml:space="preserve"/>
      </w:r>
      <w:r>
        <w:rPr>
          <w:b/>
          <w:bCs/>
          <w:lang w:val="es-ES"/>
        </w:rPr>
        <w:t xml:space="preserve">comercial que no accede a los datos de </w:t>
      </w:r>
      <w:r>
        <w:rPr>
          <w:lang w:val="es-ES"/>
        </w:rPr>
        <w:t xml:space="preserve">producción. Este documento explica este reparto de roles.</w:t>
      </w:r>
    </w:p>
    <w:p>
      <w:pPr>
        <w:pStyle w:val="BodyText"/>
      </w:pPr>
      <w:r>
        <w:rPr>
          <w:lang w:val="es-ES"/>
        </w:rPr>
        <w:t xml:space="preserve">Son posibles dos modos de suministro que determinan el alcance de las funciones:</w:t>
      </w:r>
    </w:p>
    <w:p>
      <w:pPr>
        <w:pStyle w:val="Compact"/>
        <w:numPr>
          <w:ilvl w:val="0"/>
          <w:numId w:val="1010"/>
        </w:numPr>
      </w:pPr>
      <w:r>
        <w:rPr>
          <w:b/>
          <w:bCs/>
          <w:lang w:val="es-ES"/>
        </w:rPr>
        <w:t xml:space="preserve">Opción A: SaaS soberano: </w:t>
      </w:r>
      <w:r>
        <w:rPr>
          <w:lang w:val="es-ES"/>
        </w:rPr>
        <w:t xml:space="preserve"/>
      </w:r>
      <w:r>
        <w:rPr>
          <w:lang w:val="es-ES"/>
        </w:rPr>
        <w:t xml:space="preserve">la solución está alojada y operada por OHADJA (producción: </w:t>
      </w:r>
      <w:r>
        <w:rPr>
          <w:lang w:val="es-ES"/>
        </w:rPr>
        <w:t xml:space="preserve"/>
      </w:r>
      <w:r>
        <w:rPr>
          <w:rStyle w:val="VerbatimChar"/>
          <w:lang w:val="es-ES"/>
        </w:rPr>
        <w:t xml:space="preserve">client.transcribia.eu</w:t>
      </w:r>
      <w:r>
        <w:rPr>
          <w:lang w:val="es-ES"/>
        </w:rPr>
        <w:t xml:space="preserve">, dominio operativo, servidor ubicado en Francia).</w:t>
      </w:r>
    </w:p>
    <w:p>
      <w:pPr>
        <w:pStyle w:val="Compact"/>
        <w:numPr>
          <w:ilvl w:val="0"/>
          <w:numId w:val="1010"/>
        </w:numPr>
      </w:pPr>
      <w:r>
        <w:rPr>
          <w:b/>
          <w:bCs/>
          <w:lang w:val="es-ES"/>
        </w:rPr>
        <w:t xml:space="preserve">Opción B: On-premise: </w:t>
      </w:r>
      <w:r>
        <w:rPr>
          <w:lang w:val="es-ES"/>
        </w:rPr>
        <w:t xml:space="preserve"/>
      </w:r>
      <w:r>
        <w:rPr>
          <w:lang w:val="es-ES"/>
        </w:rPr>
        <w:t xml:space="preserve">la solución se implementa en la infraestructura del Cliente. En la variante "aislada" (sin flujo saliente), todos los componentes se ejecutan en el cliente, incluido el motor de transcripción y un modelo de lenguaje autohospedado.</w:t>
      </w:r>
    </w:p>
    <w:bookmarkEnd w:id="47"/>
    <w:bookmarkStart w:id="54" w:name="X3505121eb9afb15f1ae15e1ef82d98b9e19d5cc"/>
    <w:p>
      <w:pPr>
        <w:pStyle w:val="Heading2"/>
        <w:keepNext/>
        <w:keepLines/>
      </w:pPr>
      <w:r>
        <w:rPr>
          <w:color w:val="000000"/>
          <w:lang w:val="es-ES"/>
        </w:rPr>
        <w:t xml:space="preserve">2. Fichas de actores</w:t>
      </w:r>
    </w:p>
    <w:bookmarkStart w:id="48" w:name="X817a89d71e32c8dcf2c17305e31426acdb39f22"/>
    <w:p>
      <w:pPr>
        <w:pStyle w:val="Heading3"/>
        <w:keepNext/>
        <w:keepLines/>
      </w:pPr>
      <w:r>
        <w:rPr>
          <w:color w:val="000000"/>
          <w:lang w:val="es-ES"/>
        </w:rPr>
        <w:t xml:space="preserve">2.1 OHADJA — editor y encargado del tratamiento (artículo 28 RGPD)</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Denominación</w:t>
            </w:r>
          </w:p>
        </w:tc>
        <w:tc>
          <w:tcPr/>
          <w:p>
            <w:pPr>
              <w:pStyle w:val="Compact"/>
            </w:pPr>
            <w:r>
              <w:rPr>
                <w:lang w:val="es-ES"/>
              </w:rPr>
              <w:t xml:space="preserve">OHADJA</w:t>
            </w:r>
          </w:p>
        </w:tc>
      </w:tr>
      <w:tr>
        <w:trPr>
          <w:cantSplit/>
        </w:trPr>
        <w:tc>
          <w:tcPr/>
          <w:p>
            <w:pPr>
              <w:pStyle w:val="Compact"/>
            </w:pPr>
            <w:r>
              <w:rPr>
                <w:lang w:val="es-ES"/>
              </w:rPr>
              <w:t xml:space="preserve">forma jurídica</w:t>
            </w:r>
          </w:p>
        </w:tc>
        <w:tc>
          <w:tcPr/>
          <w:p>
            <w:pPr>
              <w:pStyle w:val="Compact"/>
            </w:pPr>
            <w:r>
              <w:rPr>
                <w:lang w:val="es-ES"/>
              </w:rPr>
              <w:t xml:space="preserve">Société par actions simplifiée (SAS), forma jurídica francesa</w:t>
            </w:r>
          </w:p>
        </w:tc>
      </w:tr>
      <w:tr>
        <w:trPr>
          <w:cantSplit/>
        </w:trPr>
        <w:tc>
          <w:tcPr/>
          <w:p>
            <w:pPr>
              <w:pStyle w:val="Compact"/>
            </w:pPr>
            <w:r>
              <w:rPr>
                <w:lang w:val="es-ES"/>
              </w:rPr>
              <w:t xml:space="preserve">Número de IVA intracomunitario</w:t>
            </w:r>
          </w:p>
        </w:tc>
        <w:tc>
          <w:tcPr/>
          <w:p>
            <w:pPr>
              <w:pStyle w:val="Compact"/>
            </w:pPr>
            <w:r>
              <w:rPr>
                <w:lang w:val="es-ES"/>
              </w:rPr>
              <w:t xml:space="preserve">FR78992146480</w:t>
            </w:r>
          </w:p>
        </w:tc>
      </w:tr>
      <w:tr>
        <w:trPr>
          <w:cantSplit/>
        </w:trPr>
        <w:tc>
          <w:tcPr/>
          <w:p>
            <w:pPr>
              <w:pStyle w:val="Compact"/>
            </w:pPr>
            <w:r>
              <w:rPr>
                <w:lang w:val="es-ES"/>
              </w:rPr>
              <w:t xml:space="preserve">Registro</w:t>
            </w:r>
          </w:p>
        </w:tc>
        <w:tc>
          <w:tcPr/>
          <w:p>
            <w:pPr>
              <w:pStyle w:val="Compact"/>
            </w:pPr>
            <w:r>
              <w:rPr>
                <w:lang w:val="es-ES"/>
              </w:rPr>
              <w:t xml:space="preserve">992 146 480 R.C.S. París — SIRET de la sede: 992 146 480 00015</w:t>
            </w:r>
          </w:p>
        </w:tc>
      </w:tr>
      <w:tr>
        <w:trPr>
          <w:cantSplit/>
        </w:trPr>
        <w:tc>
          <w:tcPr/>
          <w:p>
            <w:pPr>
              <w:pStyle w:val="Compact"/>
            </w:pPr>
            <w:r>
              <w:rPr>
                <w:lang w:val="es-ES"/>
              </w:rPr>
              <w:t xml:space="preserve">Oficina central</w:t>
            </w:r>
          </w:p>
        </w:tc>
        <w:tc>
          <w:tcPr/>
          <w:p>
            <w:pPr>
              <w:pStyle w:val="Compact"/>
            </w:pPr>
            <w:r>
              <w:rPr>
                <w:lang w:val="es-ES"/>
              </w:rPr>
              <w:t xml:space="preserve">60 rue François 1er, 75008 París, Francia</w:t>
            </w:r>
          </w:p>
        </w:tc>
      </w:tr>
      <w:tr>
        <w:trPr>
          <w:cantSplit/>
        </w:trPr>
        <w:tc>
          <w:tcPr/>
          <w:p>
            <w:pPr>
              <w:pStyle w:val="Compact"/>
            </w:pPr>
            <w:r>
              <w:rPr>
                <w:lang w:val="es-ES"/>
              </w:rPr>
              <w:t xml:space="preserve">País de establecimiento</w:t>
            </w:r>
          </w:p>
        </w:tc>
        <w:tc>
          <w:tcPr/>
          <w:p>
            <w:pPr>
              <w:pStyle w:val="Compact"/>
            </w:pPr>
            <w:r>
              <w:rPr>
                <w:lang w:val="es-ES"/>
              </w:rPr>
              <w:t xml:space="preserve">Francia</w:t>
            </w:r>
          </w:p>
        </w:tc>
      </w:tr>
      <w:tr>
        <w:trPr>
          <w:cantSplit/>
        </w:trPr>
        <w:tc>
          <w:tcPr/>
          <w:p>
            <w:pPr>
              <w:pStyle w:val="Compact"/>
            </w:pPr>
            <w:r>
              <w:rPr>
                <w:lang w:val="es-ES"/>
              </w:rPr>
              <w:t xml:space="preserve">Cofundadores</w:t>
            </w:r>
          </w:p>
        </w:tc>
        <w:tc>
          <w:tcPr/>
          <w:p>
            <w:pPr>
              <w:pStyle w:val="Compact"/>
            </w:pPr>
            <w:r>
              <w:rPr>
                <w:lang w:val="es-ES"/>
              </w:rPr>
              <w:t xml:space="preserve">Olivier Dupont (CTO) y Philippe Heyraud</w:t>
            </w:r>
          </w:p>
        </w:tc>
      </w:tr>
      <w:tr>
        <w:trPr>
          <w:cantSplit/>
        </w:trPr>
        <w:tc>
          <w:tcPr/>
          <w:p>
            <w:pPr>
              <w:pStyle w:val="Compact"/>
            </w:pPr>
            <w:r>
              <w:rPr>
                <w:lang w:val="es-ES"/>
              </w:rPr>
              <w:t xml:space="preserve">Representante legal firmante</w:t>
            </w:r>
          </w:p>
        </w:tc>
        <w:tc>
          <w:tcPr/>
          <w:p>
            <w:pPr>
              <w:pStyle w:val="Compact"/>
            </w:pPr>
            <w:r>
              <w:rPr>
                <w:lang w:val="es-ES"/>
              </w:rPr>
              <w:t xml:space="preserve">Olivier Dupont, presidente</w:t>
            </w:r>
          </w:p>
        </w:tc>
      </w:tr>
      <w:tr>
        <w:trPr>
          <w:cantSplit/>
        </w:trPr>
        <w:tc>
          <w:tcPr/>
          <w:p>
            <w:pPr>
              <w:pStyle w:val="Compact"/>
            </w:pPr>
            <w:r>
              <w:rPr>
                <w:lang w:val="es-ES"/>
              </w:rPr>
              <w:t xml:space="preserve">Contacto de protección de datos</w:t>
            </w:r>
          </w:p>
        </w:tc>
        <w:tc>
          <w:tcPr/>
          <w:p>
            <w:pPr>
              <w:pStyle w:val="Compact"/>
            </w:pPr>
            <w:hyperlink r:id="rId9">
              <w:r>
                <w:rPr>
                  <w:rStyle w:val="Hyperlink"/>
                  <w:lang w:val="es-ES"/>
                </w:rPr>
                <w:t xml:space="preserve">privacy@transcribia.eu</w:t>
              </w:r>
            </w:hyperlink>
          </w:p>
        </w:tc>
      </w:tr>
    </w:tbl>
    <w:p>
      <w:pPr>
        <w:pStyle w:val="BodyText"/>
      </w:pPr>
      <w:r>
        <w:rPr>
          <w:b/>
          <w:bCs/>
          <w:lang w:val="es-ES"/>
        </w:rPr>
        <w:t xml:space="preserve">Rol RGPD. </w:t>
      </w:r>
      <w:r>
        <w:rPr>
          <w:lang w:val="es-ES"/>
        </w:rPr>
        <w:t xml:space="preserve"/>
      </w:r>
      <w:r>
        <w:rPr>
          <w:lang w:val="es-ES"/>
        </w:rPr>
        <w:t xml:space="preserve">OHADJA es el editor y desarrollador del software TranscribIA. Dado que procesa datos personales en nombre del Cliente, actúa como encargado del tratamiento en el </w:t>
      </w:r>
      <w:r>
        <w:rPr>
          <w:lang w:val="es-ES"/>
        </w:rPr>
        <w:t xml:space="preserve"/>
      </w:r>
      <w:r>
        <w:rPr>
          <w:b/>
          <w:bCs/>
          <w:lang w:val="es-ES"/>
        </w:rPr>
        <w:t xml:space="preserve">sentido del </w:t>
      </w:r>
      <w:r>
        <w:rPr>
          <w:lang w:val="es-ES"/>
        </w:rPr>
        <w:t xml:space="preserve"/>
      </w:r>
      <w:r>
        <w:rPr>
          <w:lang w:val="es-ES"/>
        </w:rPr>
        <w:t xml:space="preserve">artículo 4.8 de RGPD, en el marco del artículo 28 de Acuerdo de encargo del tratamiento (“DPA”).</w:t>
      </w:r>
    </w:p>
    <w:p>
      <w:pPr>
        <w:pStyle w:val="BodyText"/>
      </w:pPr>
      <w:r>
        <w:rPr>
          <w:b/>
          <w:bCs/>
          <w:lang w:val="es-ES"/>
        </w:rPr>
        <w:t xml:space="preserve">Operaciones realizadas.</w:t>
      </w:r>
    </w:p>
    <w:p>
      <w:pPr>
        <w:pStyle w:val="Compact"/>
        <w:numPr>
          <w:ilvl w:val="0"/>
          <w:numId w:val="1011"/>
        </w:numPr>
      </w:pPr>
      <w:r>
        <w:rPr>
          <w:lang w:val="es-ES"/>
        </w:rPr>
        <w:t xml:space="preserve">Desarrollo y mantenimiento correctivo y evolutivo del software.</w:t>
      </w:r>
    </w:p>
    <w:p>
      <w:pPr>
        <w:pStyle w:val="Compact"/>
        <w:numPr>
          <w:ilvl w:val="0"/>
          <w:numId w:val="1011"/>
        </w:numPr>
      </w:pPr>
      <w:r>
        <w:rPr>
          <w:lang w:val="es-ES"/>
        </w:rPr>
        <w:t xml:space="preserve">Opción </w:t>
      </w:r>
      <w:r>
        <w:rPr>
          <w:lang w:val="es-ES"/>
        </w:rPr>
        <w:t xml:space="preserve"/>
      </w:r>
      <w:r>
        <w:rPr>
          <w:b/>
          <w:bCs/>
          <w:lang w:val="es-ES"/>
        </w:rPr>
        <w:t xml:space="preserve">A: </w:t>
      </w:r>
      <w:r>
        <w:rPr>
          <w:lang w:val="es-ES"/>
        </w:rPr>
        <w:t xml:space="preserve"/>
      </w:r>
      <w:r>
        <w:rPr>
          <w:lang w:val="es-ES"/>
        </w:rPr>
        <w:t xml:space="preserve">hosting, operación de aplicaciones, supervisión, respaldos técnicos, actualizaciones y seguridad operativa del servicio.</w:t>
      </w:r>
    </w:p>
    <w:p>
      <w:pPr>
        <w:pStyle w:val="Compact"/>
        <w:numPr>
          <w:ilvl w:val="0"/>
          <w:numId w:val="1011"/>
        </w:numPr>
      </w:pPr>
      <w:r>
        <w:rPr>
          <w:lang w:val="es-ES"/>
        </w:rPr>
        <w:t xml:space="preserve">En </w:t>
      </w:r>
      <w:r>
        <w:rPr>
          <w:lang w:val="es-ES"/>
        </w:rPr>
        <w:t xml:space="preserve"/>
      </w:r>
      <w:r>
        <w:rPr>
          <w:b/>
          <w:bCs/>
          <w:lang w:val="es-ES"/>
        </w:rPr>
        <w:t xml:space="preserve">Opción </w:t>
      </w:r>
      <w:r>
        <w:rPr>
          <w:lang w:val="es-ES"/>
        </w:rPr>
        <w:t xml:space="preserve">B: </w:t>
      </w:r>
      <w:r>
        <w:rPr>
          <w:lang w:val="es-ES"/>
        </w:rPr>
        <w:t xml:space="preserve">sólo operaciones efectivamente encomendadas por el Cliente (soporte, mantenimiento, actualizaciones de aplicaciones, acceso remoto autorizado, asistencia técnica).</w:t>
      </w:r>
    </w:p>
    <w:p>
      <w:pPr>
        <w:pStyle w:val="Compact"/>
        <w:numPr>
          <w:ilvl w:val="0"/>
          <w:numId w:val="1011"/>
        </w:numPr>
      </w:pPr>
      <w:r>
        <w:rPr>
          <w:lang w:val="es-ES"/>
        </w:rPr>
        <w:t xml:space="preserve">Soporte de primer y segundo nivel, previa solicitud del Cliente.</w:t>
      </w:r>
    </w:p>
    <w:p>
      <w:pPr>
        <w:pStyle w:val="FirstParagraph"/>
      </w:pPr>
      <w:r>
        <w:rPr>
          <w:b/>
          <w:bCs/>
          <w:lang w:val="es-ES"/>
        </w:rPr>
        <w:t xml:space="preserve">Acceso a datos personales: SI, en caja. El personal </w:t>
      </w:r>
      <w:r>
        <w:rPr>
          <w:lang w:val="es-ES"/>
        </w:rPr>
        <w:t xml:space="preserve"/>
      </w:r>
      <w:r>
        <w:rPr>
          <w:lang w:val="es-ES"/>
        </w:rPr>
        <w:t xml:space="preserve">autorizado OHADJA puede acceder a los datos de producción estrictamente según sea necesario (operaciones, soporte, seguridad). Este acceso es personal, realizado mediante clave SSH, protegido por autenticación de dos factores (2FA TOTP), cifrado en tránsito (TLS), registrado y sin copia local de los datos de producción. De acuerdo con el compromiso contractual descrito en el documento </w:t>
      </w:r>
      <w:r>
        <w:rPr>
          <w:lang w:val="es-ES"/>
        </w:rPr>
        <w:t xml:space="preserve">OHA-RGPD-04, </w:t>
      </w:r>
      <w:r>
        <w:rPr>
          <w:b/>
          <w:bCs/>
          <w:lang w:val="es-ES"/>
        </w:rPr>
        <w:t xml:space="preserve">la administración y el soporte se realizan exclusivamente desde Francia/Unión </w:t>
      </w:r>
      <w:r>
        <w:rPr>
          <w:lang w:val="es-ES"/>
        </w:rPr>
        <w:t xml:space="preserve">Europea.</w:t>
      </w:r>
    </w:p>
    <w:bookmarkEnd w:id="48"/>
    <w:bookmarkStart w:id="50" w:name="Xea56b233c56268ea1ab7c4ed5a13c76141f74a6"/>
    <w:p>
      <w:pPr>
        <w:pStyle w:val="Heading3"/>
        <w:keepNext/>
        <w:keepLines/>
      </w:pPr>
      <w:r>
        <w:rPr>
          <w:color w:val="000000"/>
          <w:lang w:val="es-ES"/>
        </w:rPr>
        <w:t xml:space="preserve">2.2 AMBASSADIA SARL — revendedor/distribuidor comercial</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Denominación</w:t>
            </w:r>
          </w:p>
        </w:tc>
        <w:tc>
          <w:tcPr/>
          <w:p>
            <w:pPr>
              <w:pStyle w:val="Compact"/>
            </w:pPr>
            <w:r>
              <w:rPr>
                <w:lang w:val="es-ES"/>
              </w:rPr>
              <w:t xml:space="preserve">AMBASSADIA SARL</w:t>
            </w:r>
          </w:p>
        </w:tc>
      </w:tr>
      <w:tr>
        <w:trPr>
          <w:cantSplit/>
        </w:trPr>
        <w:tc>
          <w:tcPr/>
          <w:p>
            <w:pPr>
              <w:pStyle w:val="Compact"/>
            </w:pPr>
            <w:r>
              <w:rPr>
                <w:lang w:val="es-ES"/>
              </w:rPr>
              <w:t xml:space="preserve">forma jurídica</w:t>
            </w:r>
          </w:p>
        </w:tc>
        <w:tc>
          <w:tcPr/>
          <w:p>
            <w:pPr>
              <w:pStyle w:val="Compact"/>
            </w:pPr>
            <w:r>
              <w:rPr>
                <w:lang w:val="es-ES"/>
              </w:rPr>
              <w:t xml:space="preserve">Sociedad de responsabilidad limitada con un capital de 50 000 €</w:t>
            </w:r>
          </w:p>
        </w:tc>
      </w:tr>
      <w:tr>
        <w:trPr>
          <w:cantSplit/>
        </w:trPr>
        <w:tc>
          <w:tcPr/>
          <w:p>
            <w:pPr>
              <w:pStyle w:val="Compact"/>
            </w:pPr>
            <w:r>
              <w:rPr>
                <w:lang w:val="es-ES"/>
              </w:rPr>
              <w:t xml:space="preserve">Gerente</w:t>
            </w:r>
          </w:p>
        </w:tc>
        <w:tc>
          <w:tcPr/>
          <w:p>
            <w:pPr>
              <w:pStyle w:val="Compact"/>
            </w:pPr>
            <w:r>
              <w:rPr>
                <w:lang w:val="es-ES"/>
              </w:rPr>
              <w:t xml:space="preserve">Olivier Dupont</w:t>
            </w:r>
          </w:p>
        </w:tc>
      </w:tr>
      <w:tr>
        <w:trPr>
          <w:cantSplit/>
        </w:trPr>
        <w:tc>
          <w:tcPr/>
          <w:p>
            <w:pPr>
              <w:pStyle w:val="Compact"/>
            </w:pPr>
            <w:r>
              <w:rPr>
                <w:lang w:val="es-ES"/>
              </w:rPr>
              <w:t xml:space="preserve">Rol</w:t>
            </w:r>
          </w:p>
        </w:tc>
        <w:tc>
          <w:tcPr/>
          <w:p>
            <w:pPr>
              <w:pStyle w:val="Compact"/>
            </w:pPr>
            <w:r>
              <w:rPr>
                <w:lang w:val="es-ES"/>
              </w:rPr>
              <w:t xml:space="preserve">Revendedor / distribuidor comercial (Mónaco y Francia)</w:t>
            </w:r>
          </w:p>
        </w:tc>
      </w:tr>
      <w:tr>
        <w:trPr>
          <w:cantSplit/>
        </w:trPr>
        <w:tc>
          <w:tcPr/>
          <w:p>
            <w:pPr>
              <w:pStyle w:val="Compact"/>
            </w:pPr>
            <w:r>
              <w:rPr>
                <w:lang w:val="es-ES"/>
              </w:rPr>
              <w:t xml:space="preserve">contacto de ventas</w:t>
            </w:r>
          </w:p>
        </w:tc>
        <w:tc>
          <w:tcPr/>
          <w:p>
            <w:pPr>
              <w:pStyle w:val="Compact"/>
            </w:pPr>
            <w:hyperlink r:id="rId49">
              <w:r>
                <w:rPr>
                  <w:rStyle w:val="Hyperlink"/>
                  <w:lang w:val="es-ES"/>
                </w:rPr>
                <w:t xml:space="preserve">olivier@ambassadia.com</w:t>
              </w:r>
            </w:hyperlink>
          </w:p>
        </w:tc>
      </w:tr>
    </w:tbl>
    <w:p>
      <w:pPr>
        <w:pStyle w:val="BodyText"/>
      </w:pPr>
      <w:r>
        <w:rPr>
          <w:b/>
          <w:bCs/>
          <w:lang w:val="es-ES"/>
        </w:rPr>
        <w:t xml:space="preserve">Papel según </w:t>
      </w:r>
      <w:r>
        <w:rPr>
          <w:lang w:val="es-ES"/>
        </w:rPr>
        <w:t xml:space="preserve"/>
      </w:r>
      <w:r>
        <w:rPr>
          <w:lang w:val="es-ES"/>
        </w:rPr>
        <w:t xml:space="preserve">el RGPD. AMBASSADIA SARL </w:t>
      </w:r>
      <w:r>
        <w:rPr>
          <w:lang w:val="es-ES"/>
        </w:rPr>
        <w:t xml:space="preserve"/>
      </w:r>
      <w:r>
        <w:rPr>
          <w:b/>
          <w:bCs/>
          <w:lang w:val="es-ES"/>
        </w:rPr>
        <w:t xml:space="preserve">desempeña un papel </w:t>
      </w:r>
      <w:r>
        <w:rPr>
          <w:lang w:val="es-ES"/>
        </w:rPr>
        <w:t xml:space="preserve"/>
      </w:r>
      <w:r>
        <w:rPr>
          <w:lang w:val="es-ES"/>
        </w:rPr>
        <w:t xml:space="preserve">comercial de revendedor/distribuidor de la solución (Mónaco y Francia). </w:t>
      </w:r>
      <w:r>
        <w:rPr>
          <w:lang w:val="es-ES"/>
        </w:rPr>
        <w:t xml:space="preserve"/>
      </w:r>
      <w:r>
        <w:rPr>
          <w:b/>
          <w:bCs/>
          <w:lang w:val="es-ES"/>
        </w:rPr>
        <w:t xml:space="preserve">No trata datos de producción por cuenta de los clientes y, por </w:t>
      </w:r>
      <w:r>
        <w:rPr>
          <w:lang w:val="es-ES"/>
        </w:rPr>
        <w:t xml:space="preserve"/>
      </w:r>
      <w:r>
        <w:rPr>
          <w:lang w:val="es-ES"/>
        </w:rPr>
        <w:t xml:space="preserve">tanto, en el funcionamiento normal no actúa </w:t>
      </w:r>
      <w:r>
        <w:rPr>
          <w:lang w:val="es-ES"/>
        </w:rPr>
        <w:t xml:space="preserve"/>
      </w:r>
      <w:r>
        <w:rPr>
          <w:b/>
          <w:bCs/>
          <w:lang w:val="es-ES"/>
        </w:rPr>
        <w:t xml:space="preserve">como encargado ni como subencargado del tratamiento respecto </w:t>
      </w:r>
      <w:r>
        <w:rPr>
          <w:lang w:val="es-ES"/>
        </w:rPr>
        <w:t xml:space="preserve"/>
      </w:r>
      <w:r>
        <w:rPr>
          <w:lang w:val="es-ES"/>
        </w:rPr>
        <w:t xml:space="preserve">a los datos del Cliente [ámbito exacto PENDIENTE DE CONFIRMAR]. El dominio de producción </w:t>
      </w:r>
      <w:r>
        <w:rPr>
          <w:lang w:val="es-ES"/>
        </w:rPr>
        <w:t xml:space="preserve"/>
      </w:r>
      <w:r>
        <w:rPr>
          <w:rStyle w:val="VerbatimChar"/>
          <w:lang w:val="es-ES"/>
        </w:rPr>
        <w:t xml:space="preserve">client.transcribia.eu</w:t>
      </w:r>
      <w:r>
        <w:rPr>
          <w:lang w:val="es-ES"/>
        </w:rPr>
        <w:t xml:space="preserve"> </w:t>
      </w:r>
      <w:r>
        <w:rPr>
          <w:lang w:val="es-ES"/>
        </w:rPr>
        <w:t xml:space="preserve">y la dirección </w:t>
      </w:r>
      <w:r>
        <w:rPr>
          <w:lang w:val="es-ES"/>
        </w:rPr>
        <w:t xml:space="preserve"/>
      </w:r>
      <w:r>
        <w:rPr>
          <w:rStyle w:val="VerbatimChar"/>
          <w:lang w:val="es-ES"/>
        </w:rPr>
        <w:t xml:space="preserve">olivier@ambassadia.com</w:t>
      </w:r>
      <w:r>
        <w:rPr>
          <w:lang w:val="es-ES"/>
        </w:rPr>
        <w:t xml:space="preserve"> </w:t>
      </w:r>
      <w:r>
        <w:rPr>
          <w:lang w:val="es-ES"/>
        </w:rPr>
        <w:t xml:space="preserve">siguen siendo elementos operativos válidos.</w:t>
      </w:r>
    </w:p>
    <w:p>
      <w:pPr>
        <w:pStyle w:val="BodyText"/>
      </w:pPr>
      <w:r>
        <w:rPr>
          <w:b/>
          <w:bCs/>
          <w:lang w:val="es-ES"/>
        </w:rPr>
        <w:t xml:space="preserve">Operaciones realizadas.</w:t>
      </w:r>
    </w:p>
    <w:p>
      <w:pPr>
        <w:pStyle w:val="Compact"/>
        <w:numPr>
          <w:ilvl w:val="0"/>
          <w:numId w:val="1012"/>
        </w:numPr>
      </w:pPr>
      <w:r>
        <w:rPr>
          <w:lang w:val="es-ES"/>
        </w:rPr>
        <w:t xml:space="preserve">Marketing y relaciones comerciales (Mónaco y Francia).</w:t>
      </w:r>
    </w:p>
    <w:p>
      <w:pPr>
        <w:pStyle w:val="Compact"/>
        <w:numPr>
          <w:ilvl w:val="0"/>
          <w:numId w:val="1012"/>
        </w:numPr>
      </w:pPr>
      <w:r>
        <w:rPr>
          <w:lang w:val="es-ES"/>
        </w:rPr>
        <w:t xml:space="preserve">Orientación a OHADJA para la edición, operación y soporte técnico de la plataforma.</w:t>
      </w:r>
    </w:p>
    <w:p>
      <w:pPr>
        <w:pStyle w:val="FirstParagraph"/>
      </w:pPr>
      <w:r>
        <w:rPr>
          <w:b/>
          <w:bCs/>
          <w:lang w:val="es-ES"/>
        </w:rPr>
        <w:t xml:space="preserve">Acceso a datos personales: NO. AMBASSADIA SARL </w:t>
      </w:r>
      <w:r>
        <w:rPr>
          <w:lang w:val="es-ES"/>
        </w:rPr>
        <w:t xml:space="preserve"/>
      </w:r>
      <w:r>
        <w:rPr>
          <w:lang w:val="es-ES"/>
        </w:rPr>
        <w:t xml:space="preserve">no accede a los datos de producción del Cliente (audio, transcripciones, generaciones de IA, cuentas). El vínculo del grupo con Mónaco se produce a través de esta actividad de revendedor comercial, pero </w:t>
      </w:r>
      <w:r>
        <w:rPr>
          <w:lang w:val="es-ES"/>
        </w:rPr>
        <w:t xml:space="preserve">esto </w:t>
      </w:r>
      <w:r>
        <w:rPr>
          <w:b/>
          <w:bCs/>
          <w:lang w:val="es-ES"/>
        </w:rPr>
        <w:t xml:space="preserve">no implica ningún acceso a los </w:t>
      </w:r>
      <w:r>
        <w:rPr>
          <w:lang w:val="es-ES"/>
        </w:rPr>
        <w:t xml:space="preserve"/>
      </w:r>
      <w:r>
        <w:rPr>
          <w:lang w:val="es-ES"/>
        </w:rPr>
        <w:t xml:space="preserve">datos: la administración técnica y el soporte están bajo OHADJA y se llevan a cabo exclusivamente desde Francia/UE (ver OHA-RGPD-04).</w:t>
      </w:r>
    </w:p>
    <w:bookmarkEnd w:id="50"/>
    <w:bookmarkStart w:id="51" w:name="Xbc0907ca7f8d8ad2f042b1a5e018f1b60c3ac13"/>
    <w:p>
      <w:pPr>
        <w:pStyle w:val="Heading3"/>
        <w:keepNext/>
        <w:keepLines/>
      </w:pPr>
      <w:r>
        <w:rPr>
          <w:color w:val="000000"/>
          <w:lang w:val="es-ES"/>
        </w:rPr>
        <w:t xml:space="preserve">2.3 su integrador/revendedor — distribuidor e integrador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Denominación</w:t>
            </w:r>
          </w:p>
        </w:tc>
        <w:tc>
          <w:tcPr/>
          <w:p>
            <w:pPr>
              <w:pStyle w:val="Compact"/>
            </w:pPr>
            <w:r>
              <w:rPr>
                <w:lang w:val="es-ES"/>
              </w:rPr>
              <w:t xml:space="preserve">su integrador/revendedor</w:t>
            </w:r>
          </w:p>
        </w:tc>
      </w:tr>
      <w:tr>
        <w:trPr>
          <w:cantSplit/>
        </w:trPr>
        <w:tc>
          <w:tcPr/>
          <w:p>
            <w:pPr>
              <w:pStyle w:val="Compact"/>
            </w:pPr>
            <w:r>
              <w:rPr>
                <w:lang w:val="es-ES"/>
              </w:rPr>
              <w:t xml:space="preserve">Rol empresarial</w:t>
            </w:r>
          </w:p>
        </w:tc>
        <w:tc>
          <w:tcPr/>
          <w:p>
            <w:pPr>
              <w:pStyle w:val="Compact"/>
            </w:pPr>
            <w:r>
              <w:rPr>
                <w:lang w:val="es-ES"/>
              </w:rPr>
              <w:t xml:space="preserve">Distribuidor e integrador de la solución TranscribIA</w:t>
            </w:r>
          </w:p>
        </w:tc>
      </w:tr>
      <w:tr>
        <w:trPr>
          <w:cantSplit/>
        </w:trPr>
        <w:tc>
          <w:tcPr/>
          <w:p>
            <w:pPr>
              <w:pStyle w:val="Compact"/>
            </w:pPr>
            <w:r>
              <w:rPr>
                <w:lang w:val="es-ES"/>
              </w:rPr>
              <w:t xml:space="preserve">País de establecimiento</w:t>
            </w:r>
          </w:p>
        </w:tc>
        <w:tc>
          <w:tcPr/>
          <w:p>
            <w:pPr>
              <w:pStyle w:val="Compact"/>
            </w:pPr>
            <w:r>
              <w:rPr>
                <w:lang w:val="es-ES"/>
              </w:rPr>
              <w:t xml:space="preserve">Francia</w:t>
            </w:r>
          </w:p>
        </w:tc>
      </w:tr>
    </w:tbl>
    <w:p>
      <w:pPr>
        <w:pStyle w:val="BodyText"/>
      </w:pPr>
      <w:r>
        <w:rPr>
          <w:b/>
          <w:bCs/>
          <w:lang w:val="es-ES"/>
        </w:rPr>
        <w:t xml:space="preserve">Rol RGPD. </w:t>
      </w:r>
      <w:r>
        <w:rPr>
          <w:lang w:val="es-ES"/>
        </w:rPr>
        <w:t xml:space="preserve">su </w:t>
      </w:r>
      <w:r>
        <w:rPr>
          <w:lang w:val="es-ES"/>
        </w:rPr>
        <w:t xml:space="preserve">integrador/revendedor garantiza la comercialización de la solución, su integración en los sistemas de conferencias (hardware) y las relaciones con el cliente de primer nivel. En el contexto nominal, el integrador/revendedor no actúa ni </w:t>
      </w:r>
      <w:r>
        <w:rPr>
          <w:lang w:val="es-ES"/>
        </w:rPr>
        <w:t xml:space="preserve"/>
      </w:r>
      <w:r>
        <w:rPr>
          <w:b/>
          <w:bCs/>
          <w:lang w:val="es-ES"/>
        </w:rPr>
        <w:t xml:space="preserve">como encargado del tratamiento ni como subencargado del tratamiento con respecto a los datos de producción </w:t>
      </w:r>
      <w:r>
        <w:rPr>
          <w:lang w:val="es-ES"/>
        </w:rPr>
        <w:t xml:space="preserve"/>
      </w:r>
      <w:r>
        <w:rPr>
          <w:lang w:val="es-ES"/>
        </w:rPr>
        <w:t xml:space="preserve">del Cliente.</w:t>
      </w:r>
    </w:p>
    <w:p>
      <w:pPr>
        <w:pStyle w:val="BodyText"/>
      </w:pPr>
      <w:r>
        <w:rPr>
          <w:b/>
          <w:bCs/>
          <w:lang w:val="es-ES"/>
        </w:rPr>
        <w:t xml:space="preserve">Operaciones realizadas.</w:t>
      </w:r>
    </w:p>
    <w:p>
      <w:pPr>
        <w:pStyle w:val="Compact"/>
        <w:numPr>
          <w:ilvl w:val="0"/>
          <w:numId w:val="1013"/>
        </w:numPr>
      </w:pPr>
      <w:r>
        <w:rPr>
          <w:lang w:val="es-ES"/>
        </w:rPr>
        <w:t xml:space="preserve">Marketing y relaciones comerciales.</w:t>
      </w:r>
    </w:p>
    <w:p>
      <w:pPr>
        <w:pStyle w:val="Compact"/>
        <w:numPr>
          <w:ilvl w:val="0"/>
          <w:numId w:val="1013"/>
        </w:numPr>
      </w:pPr>
      <w:r>
        <w:rPr>
          <w:lang w:val="es-ES"/>
        </w:rPr>
        <w:t xml:space="preserve">Integración de hardware con sistemas de conferencias.</w:t>
      </w:r>
    </w:p>
    <w:p>
      <w:pPr>
        <w:pStyle w:val="Compact"/>
        <w:numPr>
          <w:ilvl w:val="0"/>
          <w:numId w:val="1013"/>
        </w:numPr>
      </w:pPr>
      <w:r>
        <w:rPr>
          <w:lang w:val="es-ES"/>
        </w:rPr>
        <w:t xml:space="preserve">Soporte de primer nivel, orientación a OHADJA para soporte técnico de la plataforma.</w:t>
      </w:r>
    </w:p>
    <w:p>
      <w:pPr>
        <w:pStyle w:val="FirstParagraph"/>
      </w:pPr>
      <w:r>
        <w:rPr>
          <w:b/>
          <w:bCs/>
          <w:lang w:val="es-ES"/>
        </w:rPr>
        <w:t xml:space="preserve">Acceso a datos personales: NO (en principio).</w:t>
      </w:r>
    </w:p>
    <w:p>
      <w:pPr>
        <w:pStyle w:val="Compact"/>
        <w:numPr>
          <w:ilvl w:val="0"/>
          <w:numId w:val="1014"/>
        </w:numPr>
      </w:pPr>
      <w:r>
        <w:rPr>
          <w:lang w:val="es-ES"/>
        </w:rPr>
        <w:t xml:space="preserve">el integrador/revendedor </w:t>
      </w:r>
      <w:r>
        <w:rPr>
          <w:lang w:val="es-ES"/>
        </w:rPr>
        <w:t xml:space="preserve">no </w:t>
      </w:r>
      <w:r>
        <w:rPr>
          <w:b/>
          <w:bCs/>
          <w:lang w:val="es-ES"/>
        </w:rPr>
        <w:t xml:space="preserve">accede a </w:t>
      </w:r>
      <w:r>
        <w:rPr>
          <w:lang w:val="es-ES"/>
        </w:rPr>
        <w:t xml:space="preserve">los </w:t>
      </w:r>
      <w:r>
        <w:rPr>
          <w:lang w:val="es-ES"/>
        </w:rPr>
        <w:t xml:space="preserve">datos de producción del Cliente (audio, transcripciones, generaciones de IA, cuentas).</w:t>
      </w:r>
    </w:p>
    <w:p>
      <w:pPr>
        <w:pStyle w:val="Compact"/>
        <w:numPr>
          <w:ilvl w:val="0"/>
          <w:numId w:val="1014"/>
        </w:numPr>
      </w:pPr>
      <w:r>
        <w:rPr>
          <w:lang w:val="es-ES"/>
        </w:rPr>
        <w:t xml:space="preserve">Excepción controlada por el Cliente: si el Cliente crea </w:t>
      </w:r>
      <w:r>
        <w:rPr>
          <w:lang w:val="es-ES"/>
        </w:rPr>
        <w:t xml:space="preserve"/>
      </w:r>
      <w:r>
        <w:rPr>
          <w:b/>
          <w:bCs/>
          <w:lang w:val="es-ES"/>
        </w:rPr>
        <w:t xml:space="preserve">explícitamente </w:t>
      </w:r>
      <w:r>
        <w:rPr>
          <w:lang w:val="es-ES"/>
        </w:rPr>
        <w:t xml:space="preserve"/>
      </w:r>
      <w:r>
        <w:rPr>
          <w:lang w:val="es-ES"/>
        </w:rPr>
        <w:t xml:space="preserve">una cuenta de servicio en beneficio del integrador/revendedor de su organización, el acceso correspondiente estará sujeto a las autorizaciones decididas y rastreadas por el propio Cliente.</w:t>
      </w:r>
    </w:p>
    <w:p>
      <w:pPr>
        <w:pStyle w:val="Compact"/>
        <w:numPr>
          <w:ilvl w:val="0"/>
          <w:numId w:val="1014"/>
        </w:numPr>
      </w:pPr>
      <w:r>
        <w:rPr>
          <w:b/>
          <w:bCs/>
          <w:lang w:val="es-ES"/>
        </w:rPr>
        <w:t xml:space="preserve">Caso de la cuenta demo: un </w:t>
      </w:r>
      <w:r>
        <w:rPr>
          <w:lang w:val="es-ES"/>
        </w:rPr>
        <w:t xml:space="preserve"/>
      </w:r>
      <w:r>
        <w:rPr>
          <w:lang w:val="es-ES"/>
        </w:rPr>
        <w:t xml:space="preserve">rol de administración de integrador/revendedor (</w:t>
      </w:r>
      <w:r>
        <w:rPr>
          <w:rStyle w:val="VerbatimChar"/>
          <w:lang w:val="es-ES"/>
        </w:rPr>
        <w:t xml:space="preserve">super_agent</w:t>
      </w:r>
      <w:r>
        <w:rPr>
          <w:lang w:val="es-ES"/>
        </w:rPr>
        <w:t xml:space="preserve">) solo existe en el entorno de demostración, </w:t>
      </w:r>
      <w:r>
        <w:rPr>
          <w:lang w:val="es-ES"/>
        </w:rPr>
        <w:t xml:space="preserve"/>
      </w:r>
      <w:r>
        <w:rPr>
          <w:b/>
          <w:bCs/>
          <w:lang w:val="es-ES"/>
        </w:rPr>
        <w:t xml:space="preserve">nunca </w:t>
      </w:r>
      <w:r>
        <w:rPr>
          <w:lang w:val="es-ES"/>
        </w:rPr>
        <w:t xml:space="preserve">en producción. Este rol le permite crear estructuras y cuentas con fines de demostración comercial; no proporciona ningún </w:t>
      </w:r>
      <w:r>
        <w:rPr>
          <w:lang w:val="es-ES"/>
        </w:rPr>
        <w:t xml:space="preserve"/>
      </w:r>
      <w:r>
        <w:rPr>
          <w:b/>
          <w:bCs/>
          <w:lang w:val="es-ES"/>
        </w:rPr>
        <w:t xml:space="preserve">acceso al contenido de las </w:t>
      </w:r>
      <w:r>
        <w:rPr>
          <w:lang w:val="es-ES"/>
        </w:rPr>
        <w:t xml:space="preserve"/>
      </w:r>
      <w:r>
        <w:rPr>
          <w:lang w:val="es-ES"/>
        </w:rPr>
        <w:t xml:space="preserve">organizaciones (ni audio ni transcripciones).</w:t>
      </w:r>
    </w:p>
    <w:bookmarkEnd w:id="51"/>
    <w:bookmarkStart w:id="52" w:name="Xa91448aaf16ce566fab1d93587d96bb314a63a9"/>
    <w:p>
      <w:pPr>
        <w:pStyle w:val="Heading3"/>
        <w:keepNext/>
        <w:keepLines/>
      </w:pPr>
      <w:r>
        <w:rPr>
          <w:color w:val="000000"/>
          <w:lang w:val="es-ES"/>
        </w:rPr>
        <w:t xml:space="preserve">2.4 El Cliente (organización cliente) — responsable del tratamiento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Denominación</w:t>
            </w:r>
          </w:p>
        </w:tc>
        <w:tc>
          <w:tcPr/>
          <w:p>
            <w:pPr>
              <w:pStyle w:val="Compact"/>
            </w:pPr>
            <w:r>
              <w:rPr>
                <w:lang w:val="es-ES"/>
              </w:rPr>
              <w:t xml:space="preserve">Organización cliente</w:t>
            </w:r>
          </w:p>
        </w:tc>
      </w:tr>
      <w:tr>
        <w:trPr>
          <w:cantSplit/>
        </w:trPr>
        <w:tc>
          <w:tcPr/>
          <w:p>
            <w:pPr>
              <w:pStyle w:val="Compact"/>
            </w:pPr>
            <w:r>
              <w:rPr>
                <w:lang w:val="es-ES"/>
              </w:rPr>
              <w:t xml:space="preserve">Rol RGPD</w:t>
            </w:r>
          </w:p>
        </w:tc>
        <w:tc>
          <w:tcPr/>
          <w:p>
            <w:pPr>
              <w:pStyle w:val="Compact"/>
            </w:pPr>
            <w:r>
              <w:rPr>
                <w:lang w:val="es-ES"/>
              </w:rPr>
              <w:t xml:space="preserve">Responsable del tratamiento (elemento 4.7 RGPD)</w:t>
            </w:r>
          </w:p>
        </w:tc>
      </w:tr>
      <w:tr>
        <w:trPr>
          <w:cantSplit/>
        </w:trPr>
        <w:tc>
          <w:tcPr/>
          <w:p>
            <w:pPr>
              <w:pStyle w:val="Compact"/>
            </w:pPr>
            <w:r>
              <w:rPr>
                <w:lang w:val="es-ES"/>
              </w:rPr>
              <w:t xml:space="preserve">Datos de contacto</w:t>
            </w:r>
          </w:p>
        </w:tc>
        <w:tc>
          <w:tcPr/>
          <w:p>
            <w:pPr>
              <w:pStyle w:val="Compact"/>
            </w:pPr>
            <w:r>
              <w:rPr>
                <w:lang w:val="es-ES"/>
              </w:rPr>
              <w:t xml:space="preserve">[A SER COMPLETADO por el cliente: representante legal, contacto DPO]</w:t>
            </w:r>
          </w:p>
        </w:tc>
      </w:tr>
    </w:tbl>
    <w:p>
      <w:pPr>
        <w:pStyle w:val="BodyText"/>
      </w:pPr>
      <w:r>
        <w:rPr>
          <w:b/>
          <w:bCs/>
          <w:lang w:val="es-ES"/>
        </w:rPr>
        <w:t xml:space="preserve">Rol RGPD. </w:t>
      </w:r>
      <w:r>
        <w:rPr>
          <w:lang w:val="es-ES"/>
        </w:rPr>
        <w:t xml:space="preserve"/>
      </w:r>
      <w:r>
        <w:rPr>
          <w:lang w:val="es-ES"/>
        </w:rPr>
        <w:t xml:space="preserve">El Cliente determina los fines y medios esenciales del tratamiento realizado mediante TranscribIA. Como tal, es su responsabilidad:</w:t>
      </w:r>
    </w:p>
    <w:p>
      <w:pPr>
        <w:pStyle w:val="Compact"/>
        <w:numPr>
          <w:ilvl w:val="0"/>
          <w:numId w:val="1015"/>
        </w:numPr>
      </w:pPr>
      <w:r>
        <w:rPr>
          <w:lang w:val="es-ES"/>
        </w:rPr>
        <w:t xml:space="preserve">definir la base jurídica de cada tratamiento (artículo 6 y, en su caso, artículo 9);</w:t>
      </w:r>
    </w:p>
    <w:p>
      <w:pPr>
        <w:pStyle w:val="Compact"/>
        <w:numPr>
          <w:ilvl w:val="0"/>
          <w:numId w:val="1015"/>
        </w:numPr>
      </w:pPr>
      <w:r>
        <w:rPr>
          <w:lang w:val="es-ES"/>
        </w:rPr>
        <w:t xml:space="preserve">informar a los interesados (artículos 12 a 14);</w:t>
      </w:r>
    </w:p>
    <w:p>
      <w:pPr>
        <w:pStyle w:val="Compact"/>
        <w:numPr>
          <w:ilvl w:val="0"/>
          <w:numId w:val="1015"/>
        </w:numPr>
      </w:pPr>
      <w:r>
        <w:rPr>
          <w:lang w:val="es-ES"/>
        </w:rPr>
        <w:t xml:space="preserve">establecer los períodos de retención aplicables a su contenido (configurables por organización);</w:t>
      </w:r>
    </w:p>
    <w:p>
      <w:pPr>
        <w:pStyle w:val="Compact"/>
        <w:numPr>
          <w:ilvl w:val="0"/>
          <w:numId w:val="1015"/>
        </w:numPr>
      </w:pPr>
      <w:r>
        <w:rPr>
          <w:lang w:val="es-ES"/>
        </w:rPr>
        <w:t xml:space="preserve">gestionar solicitudes para el ejercicio de derechos de las personas;</w:t>
      </w:r>
    </w:p>
    <w:p>
      <w:pPr>
        <w:pStyle w:val="Compact"/>
        <w:numPr>
          <w:ilvl w:val="0"/>
          <w:numId w:val="1015"/>
        </w:numPr>
      </w:pPr>
      <w:r>
        <w:rPr>
          <w:lang w:val="es-ES"/>
        </w:rPr>
        <w:t xml:space="preserve">llevar el registro de actividades de tratamiento (artículo 30.1);</w:t>
      </w:r>
    </w:p>
    <w:p>
      <w:pPr>
        <w:pStyle w:val="Compact"/>
        <w:numPr>
          <w:ilvl w:val="0"/>
          <w:numId w:val="1015"/>
        </w:numPr>
      </w:pPr>
      <w:r>
        <w:rPr>
          <w:lang w:val="es-ES"/>
        </w:rPr>
        <w:t xml:space="preserve">realizar, cuando sea necesario, el análisis de impacto en materia de protección de datos (artículo 35).</w:t>
      </w:r>
    </w:p>
    <w:p>
      <w:pPr>
        <w:pStyle w:val="FirstParagraph"/>
      </w:pPr>
      <w:r>
        <w:rPr>
          <w:b/>
          <w:bCs/>
          <w:lang w:val="es-ES"/>
        </w:rPr>
        <w:t xml:space="preserve">Acceso a datos: SI, </w:t>
      </w:r>
      <w:r>
        <w:rPr>
          <w:lang w:val="es-ES"/>
        </w:rPr>
        <w:t xml:space="preserve">como responsable del tratamiento, a través de las cuentas y roles que crea y administra dentro de su organización.</w:t>
      </w:r>
    </w:p>
    <w:bookmarkEnd w:id="52"/>
    <w:bookmarkStart w:id="53" w:name="X013e398b6217181d0b11a7c01590f89a86b1984"/>
    <w:p>
      <w:pPr>
        <w:pStyle w:val="Heading3"/>
        <w:keepNext/>
        <w:keepLines/>
      </w:pPr>
      <w:r>
        <w:rPr>
          <w:color w:val="000000"/>
          <w:lang w:val="es-ES"/>
        </w:rPr>
        <w:t xml:space="preserve">2.5 Subencargados del tratamiento técnico (referencia)</w:t>
      </w:r>
    </w:p>
    <w:p>
      <w:pPr>
        <w:pStyle w:val="FirstParagraph"/>
      </w:pPr>
      <w:r>
        <w:rPr>
          <w:lang w:val="es-ES"/>
        </w:rPr>
        <w:t xml:space="preserve">En </w:t>
      </w:r>
      <w:r>
        <w:rPr>
          <w:lang w:val="es-ES"/>
        </w:rPr>
        <w:t xml:space="preserve"/>
      </w:r>
      <w:r>
        <w:rPr>
          <w:b/>
          <w:bCs/>
          <w:lang w:val="es-ES"/>
        </w:rPr>
        <w:t xml:space="preserve">la Opción A </w:t>
      </w:r>
      <w:r>
        <w:rPr>
          <w:lang w:val="es-ES"/>
        </w:rPr>
        <w:t xml:space="preserve">(SaaS), OHADJA utiliza subencargados del tratamiento para funciones de alojamiento, copia de seguridad, transcripción de GPU y inteligencia artificial. Cada uno está identificado (país de establecimiento, función, lugares de procesamiento y almacenamiento, acceso humano, garantías) en el documento </w:t>
      </w:r>
      <w:r>
        <w:rPr>
          <w:lang w:val="es-ES"/>
        </w:rPr>
        <w:t xml:space="preserve"/>
      </w:r>
      <w:r>
        <w:rPr>
          <w:b/>
          <w:bCs/>
          <w:lang w:val="es-ES"/>
        </w:rPr>
        <w:t xml:space="preserve">OHA-RGPD-03. </w:t>
      </w:r>
      <w:r>
        <w:rPr>
          <w:lang w:val="es-ES"/>
        </w:rPr>
        <w:t xml:space="preserve">Las posibles transferencias y accesos fuera del EEE se tratan en el documento </w:t>
      </w:r>
      <w:r>
        <w:rPr>
          <w:lang w:val="es-ES"/>
        </w:rPr>
        <w:t xml:space="preserve"/>
      </w:r>
      <w:r>
        <w:rPr>
          <w:b/>
          <w:bCs/>
          <w:lang w:val="es-ES"/>
        </w:rPr>
        <w:t xml:space="preserve"/>
      </w:r>
      <w:r>
        <w:rPr>
          <w:lang w:val="es-ES"/>
        </w:rPr>
        <w:t xml:space="preserve">OHA-RGPD-04.</w:t>
      </w:r>
    </w:p>
    <w:p>
      <w:pPr>
        <w:pStyle w:val="BodyText"/>
      </w:pPr>
      <w:r>
        <w:rPr>
          <w:lang w:val="es-ES"/>
        </w:rPr>
        <w:t xml:space="preserve">En </w:t>
      </w:r>
      <w:r>
        <w:rPr>
          <w:lang w:val="es-ES"/>
        </w:rPr>
        <w:t xml:space="preserve"/>
      </w:r>
      <w:r>
        <w:rPr>
          <w:b/>
          <w:bCs/>
          <w:lang w:val="es-ES"/>
        </w:rPr>
        <w:t xml:space="preserve">la Opción B </w:t>
      </w:r>
      <w:r>
        <w:rPr>
          <w:lang w:val="es-ES"/>
        </w:rPr>
        <w:t xml:space="preserve">aislada, no existe </w:t>
      </w:r>
      <w:r>
        <w:rPr>
          <w:lang w:val="es-ES"/>
        </w:rPr>
        <w:t xml:space="preserve"/>
      </w:r>
      <w:r>
        <w:rPr>
          <w:b/>
          <w:bCs/>
          <w:lang w:val="es-ES"/>
        </w:rPr>
        <w:t xml:space="preserve"/>
      </w:r>
      <w:r>
        <w:rPr>
          <w:lang w:val="es-ES"/>
        </w:rPr>
        <w:t xml:space="preserve"/>
      </w:r>
      <w:r>
        <w:rPr>
          <w:lang w:val="es-ES"/>
        </w:rPr>
        <w:t xml:space="preserve">subencargado del tratamiento: todo el procesamiento se ejecuta en la infraestructura del Cliente.</w:t>
      </w:r>
    </w:p>
    <w:bookmarkEnd w:id="53"/>
    <w:bookmarkEnd w:id="54"/>
    <w:bookmarkStart w:id="55" w:name="Xa3b753c59da78167f5a5b09b154b0079cdc206c"/>
    <w:p>
      <w:pPr>
        <w:pStyle w:val="Heading2"/>
        <w:keepNext/>
        <w:keepLines/>
      </w:pPr>
      <w:r>
        <w:rPr>
          <w:color w:val="000000"/>
          <w:lang w:val="es-ES"/>
        </w:rPr>
        <w:t xml:space="preserve">3. Cuadro resumen de roles</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es-ES"/>
              </w:rPr>
              <w:t xml:space="preserve">Actor</w:t>
            </w:r>
          </w:p>
        </w:tc>
        <w:tc>
          <w:tcPr>
            <w:tcW w:type="dxa" w:w="2340"/>
            <w:tcMar>
              <w:left w:type="dxa" w:w="80"/>
              <w:right w:type="dxa" w:w="80"/>
            </w:tcMar>
          </w:tcPr>
          <w:p>
            <w:pPr>
              <w:pStyle w:val="Compact"/>
            </w:pPr>
            <w:r>
              <w:rPr>
                <w:sz w:val="19"/>
                <w:szCs w:val="19"/>
                <w:lang w:val="es-ES"/>
              </w:rPr>
              <w:t xml:space="preserve">Rol RGPD</w:t>
            </w:r>
          </w:p>
        </w:tc>
        <w:tc>
          <w:tcPr>
            <w:tcW w:type="dxa" w:w="2340"/>
            <w:tcMar>
              <w:left w:type="dxa" w:w="80"/>
              <w:right w:type="dxa" w:w="80"/>
            </w:tcMar>
          </w:tcPr>
          <w:p>
            <w:pPr>
              <w:pStyle w:val="Compact"/>
            </w:pPr>
            <w:r>
              <w:rPr>
                <w:sz w:val="19"/>
                <w:szCs w:val="19"/>
                <w:lang w:val="es-ES"/>
              </w:rPr>
              <w:t xml:space="preserve">Operaciones realizadas</w:t>
            </w:r>
          </w:p>
        </w:tc>
        <w:tc>
          <w:tcPr>
            <w:tcW w:type="dxa" w:w="2340"/>
            <w:tcMar>
              <w:left w:type="dxa" w:w="80"/>
              <w:right w:type="dxa" w:w="80"/>
            </w:tcMar>
          </w:tcPr>
          <w:p>
            <w:pPr>
              <w:pStyle w:val="Compact"/>
            </w:pPr>
            <w:r>
              <w:rPr>
                <w:sz w:val="19"/>
                <w:szCs w:val="19"/>
                <w:lang w:val="es-ES"/>
              </w:rPr>
              <w:t xml:space="preserve">Acceso a los datos de producción.</w:t>
            </w:r>
          </w:p>
        </w:tc>
      </w:tr>
      <w:tr>
        <w:trPr>
          <w:cantSplit/>
        </w:trPr>
        <w:tc>
          <w:tcPr>
            <w:tcW w:type="dxa" w:w="2340"/>
            <w:tcMar>
              <w:left w:type="dxa" w:w="80"/>
              <w:right w:type="dxa" w:w="80"/>
            </w:tcMar>
          </w:tcPr>
          <w:p>
            <w:pPr>
              <w:pStyle w:val="Compact"/>
            </w:pPr>
            <w:r>
              <w:rPr>
                <w:b/>
                <w:bCs/>
                <w:sz w:val="19"/>
                <w:szCs w:val="19"/>
                <w:lang w:val="es-ES"/>
              </w:rPr>
              <w:t xml:space="preserve">el cliente</w:t>
            </w:r>
          </w:p>
        </w:tc>
        <w:tc>
          <w:tcPr>
            <w:tcW w:type="dxa" w:w="2340"/>
            <w:tcMar>
              <w:left w:type="dxa" w:w="80"/>
              <w:right w:type="dxa" w:w="80"/>
            </w:tcMar>
          </w:tcPr>
          <w:p>
            <w:pPr>
              <w:pStyle w:val="Compact"/>
            </w:pPr>
            <w:r>
              <w:rPr>
                <w:sz w:val="19"/>
                <w:szCs w:val="19"/>
                <w:lang w:val="es-ES"/>
              </w:rPr>
              <w:t xml:space="preserve">Responsable del tratamiento (artículo 4.7)</w:t>
            </w:r>
          </w:p>
        </w:tc>
        <w:tc>
          <w:tcPr>
            <w:tcW w:type="dxa" w:w="2340"/>
            <w:tcMar>
              <w:left w:type="dxa" w:w="80"/>
              <w:right w:type="dxa" w:w="80"/>
            </w:tcMar>
          </w:tcPr>
          <w:p>
            <w:pPr>
              <w:pStyle w:val="Compact"/>
            </w:pPr>
            <w:r>
              <w:rPr>
                <w:sz w:val="19"/>
                <w:szCs w:val="19"/>
                <w:lang w:val="es-ES"/>
              </w:rPr>
              <w:t xml:space="preserve">Determina finalidades, bases jurídicas, duraciones; informa a la gente; gestiona los derechos</w:t>
            </w:r>
          </w:p>
        </w:tc>
        <w:tc>
          <w:tcPr>
            <w:tcW w:type="dxa" w:w="2340"/>
            <w:tcMar>
              <w:left w:type="dxa" w:w="80"/>
              <w:right w:type="dxa" w:w="80"/>
            </w:tcMar>
          </w:tcPr>
          <w:p>
            <w:pPr>
              <w:pStyle w:val="Compact"/>
            </w:pPr>
            <w:r>
              <w:rPr>
                <w:sz w:val="19"/>
                <w:szCs w:val="19"/>
                <w:lang w:val="es-ES"/>
              </w:rPr>
              <w:t xml:space="preserve">Sí (a través de sus cuentas y roles)</w:t>
            </w:r>
          </w:p>
        </w:tc>
      </w:tr>
      <w:tr>
        <w:trPr>
          <w:cantSplit/>
        </w:trPr>
        <w:tc>
          <w:tcPr>
            <w:tcW w:type="dxa" w:w="2340"/>
            <w:tcMar>
              <w:left w:type="dxa" w:w="80"/>
              <w:right w:type="dxa" w:w="80"/>
            </w:tcMar>
          </w:tcPr>
          <w:p>
            <w:pPr>
              <w:pStyle w:val="Compact"/>
            </w:pPr>
            <w:r>
              <w:rPr>
                <w:b/>
                <w:bCs/>
                <w:sz w:val="19"/>
                <w:szCs w:val="19"/>
                <w:lang w:val="es-ES"/>
              </w:rPr>
              <w:t xml:space="preserve">OHADJA</w:t>
            </w:r>
          </w:p>
        </w:tc>
        <w:tc>
          <w:tcPr>
            <w:tcW w:type="dxa" w:w="2340"/>
            <w:tcMar>
              <w:left w:type="dxa" w:w="80"/>
              <w:right w:type="dxa" w:w="80"/>
            </w:tcMar>
          </w:tcPr>
          <w:p>
            <w:pPr>
              <w:pStyle w:val="Compact"/>
            </w:pPr>
            <w:r>
              <w:rPr>
                <w:sz w:val="19"/>
                <w:szCs w:val="19"/>
                <w:lang w:val="es-ES"/>
              </w:rPr>
              <w:t xml:space="preserve">Encargado del tratamiento (art. 4.8 / art. 28) — editor</w:t>
            </w:r>
          </w:p>
        </w:tc>
        <w:tc>
          <w:tcPr>
            <w:tcW w:type="dxa" w:w="2340"/>
            <w:tcMar>
              <w:left w:type="dxa" w:w="80"/>
              <w:right w:type="dxa" w:w="80"/>
            </w:tcMar>
          </w:tcPr>
          <w:p>
            <w:pPr>
              <w:pStyle w:val="Compact"/>
            </w:pPr>
            <w:r>
              <w:rPr>
                <w:sz w:val="19"/>
                <w:szCs w:val="19"/>
                <w:lang w:val="es-ES"/>
              </w:rPr>
              <w:t xml:space="preserve">Edición, funcionamiento SaaS (Opción A), soporte, mantenimiento</w:t>
            </w:r>
          </w:p>
        </w:tc>
        <w:tc>
          <w:tcPr>
            <w:tcW w:type="dxa" w:w="2340"/>
            <w:tcMar>
              <w:left w:type="dxa" w:w="80"/>
              <w:right w:type="dxa" w:w="80"/>
            </w:tcMar>
          </w:tcPr>
          <w:p>
            <w:pPr>
              <w:pStyle w:val="Compact"/>
            </w:pPr>
            <w:r>
              <w:rPr>
                <w:sz w:val="19"/>
                <w:szCs w:val="19"/>
                <w:lang w:val="es-ES"/>
              </w:rPr>
              <w:t xml:space="preserve">Sí, enmarcado (nominativo, SSH, 2FA, TLS, registrado, sin copia local, de Francia/UE)</w:t>
            </w:r>
          </w:p>
        </w:tc>
      </w:tr>
      <w:tr>
        <w:trPr>
          <w:cantSplit/>
        </w:trPr>
        <w:tc>
          <w:tcPr>
            <w:tcW w:type="dxa" w:w="2340"/>
            <w:tcMar>
              <w:left w:type="dxa" w:w="80"/>
              <w:right w:type="dxa" w:w="80"/>
            </w:tcMar>
          </w:tcPr>
          <w:p>
            <w:pPr>
              <w:pStyle w:val="Compact"/>
            </w:pPr>
            <w:r>
              <w:rPr>
                <w:b/>
                <w:bCs/>
                <w:sz w:val="19"/>
                <w:szCs w:val="19"/>
                <w:lang w:val="es-ES"/>
              </w:rPr>
              <w:t xml:space="preserve">AMBASSADIA SARL</w:t>
            </w:r>
          </w:p>
        </w:tc>
        <w:tc>
          <w:tcPr>
            <w:tcW w:type="dxa" w:w="2340"/>
            <w:tcMar>
              <w:left w:type="dxa" w:w="80"/>
              <w:right w:type="dxa" w:w="80"/>
            </w:tcMar>
          </w:tcPr>
          <w:p>
            <w:pPr>
              <w:pStyle w:val="Compact"/>
            </w:pPr>
            <w:r>
              <w:rPr>
                <w:sz w:val="19"/>
                <w:szCs w:val="19"/>
                <w:lang w:val="es-ES"/>
              </w:rPr>
              <w:t xml:space="preserve">Revendedor/distribuidor comercial (Mónaco y Francia) — sin procesamiento de datos</w:t>
            </w:r>
          </w:p>
        </w:tc>
        <w:tc>
          <w:tcPr>
            <w:tcW w:type="dxa" w:w="2340"/>
            <w:tcMar>
              <w:left w:type="dxa" w:w="80"/>
              <w:right w:type="dxa" w:w="80"/>
            </w:tcMar>
          </w:tcPr>
          <w:p>
            <w:pPr>
              <w:pStyle w:val="Compact"/>
            </w:pPr>
            <w:r>
              <w:rPr>
                <w:sz w:val="19"/>
                <w:szCs w:val="19"/>
                <w:lang w:val="es-ES"/>
              </w:rPr>
              <w:t xml:space="preserve">Marketing, relaciones comerciales.</w:t>
            </w:r>
          </w:p>
        </w:tc>
        <w:tc>
          <w:tcPr>
            <w:tcW w:type="dxa" w:w="2340"/>
            <w:tcMar>
              <w:left w:type="dxa" w:w="80"/>
              <w:right w:type="dxa" w:w="80"/>
            </w:tcMar>
          </w:tcPr>
          <w:p>
            <w:pPr>
              <w:pStyle w:val="Compact"/>
            </w:pPr>
            <w:r>
              <w:rPr>
                <w:sz w:val="19"/>
                <w:szCs w:val="19"/>
                <w:lang w:val="es-ES"/>
              </w:rPr>
              <w:t xml:space="preserve">No</w:t>
            </w:r>
          </w:p>
        </w:tc>
      </w:tr>
      <w:tr>
        <w:trPr>
          <w:cantSplit/>
        </w:trPr>
        <w:tc>
          <w:tcPr>
            <w:tcW w:type="dxa" w:w="2340"/>
            <w:tcMar>
              <w:left w:type="dxa" w:w="80"/>
              <w:right w:type="dxa" w:w="80"/>
            </w:tcMar>
          </w:tcPr>
          <w:p>
            <w:pPr>
              <w:pStyle w:val="Compact"/>
            </w:pPr>
            <w:r>
              <w:rPr>
                <w:b/>
                <w:bCs/>
                <w:sz w:val="19"/>
                <w:szCs w:val="19"/>
                <w:lang w:val="es-ES"/>
              </w:rPr>
              <w:t xml:space="preserve">su integrador/revendedor</w:t>
            </w:r>
          </w:p>
        </w:tc>
        <w:tc>
          <w:tcPr>
            <w:tcW w:type="dxa" w:w="2340"/>
            <w:tcMar>
              <w:left w:type="dxa" w:w="80"/>
              <w:right w:type="dxa" w:w="80"/>
            </w:tcMar>
          </w:tcPr>
          <w:p>
            <w:pPr>
              <w:pStyle w:val="Compact"/>
            </w:pPr>
            <w:r>
              <w:rPr>
                <w:sz w:val="19"/>
                <w:szCs w:val="19"/>
                <w:lang w:val="es-ES"/>
              </w:rPr>
              <w:t xml:space="preserve">Distribuidor/integrador: no se procesan datos de producción</w:t>
            </w:r>
          </w:p>
        </w:tc>
        <w:tc>
          <w:tcPr>
            <w:tcW w:type="dxa" w:w="2340"/>
            <w:tcMar>
              <w:left w:type="dxa" w:w="80"/>
              <w:right w:type="dxa" w:w="80"/>
            </w:tcMar>
          </w:tcPr>
          <w:p>
            <w:pPr>
              <w:pStyle w:val="Compact"/>
            </w:pPr>
            <w:r>
              <w:rPr>
                <w:sz w:val="19"/>
                <w:szCs w:val="19"/>
                <w:lang w:val="es-ES"/>
              </w:rPr>
              <w:t xml:space="preserve">Marketing, integración de hardware, relación de 1er nivel.</w:t>
            </w:r>
          </w:p>
        </w:tc>
        <w:tc>
          <w:tcPr>
            <w:tcW w:type="dxa" w:w="2340"/>
            <w:tcMar>
              <w:left w:type="dxa" w:w="80"/>
              <w:right w:type="dxa" w:w="80"/>
            </w:tcMar>
          </w:tcPr>
          <w:p>
            <w:pPr>
              <w:pStyle w:val="Compact"/>
            </w:pPr>
            <w:r>
              <w:rPr>
                <w:sz w:val="19"/>
                <w:szCs w:val="19"/>
                <w:lang w:val="es-ES"/>
              </w:rPr>
              <w:t xml:space="preserve">No, excepto la cuenta de servicio creada por el cliente; rol de administrador solo en demostración, sin acceso al contenido</w:t>
            </w:r>
          </w:p>
        </w:tc>
      </w:tr>
      <w:tr>
        <w:trPr>
          <w:cantSplit/>
        </w:trPr>
        <w:tc>
          <w:tcPr>
            <w:tcW w:type="dxa" w:w="2340"/>
            <w:tcMar>
              <w:left w:type="dxa" w:w="80"/>
              <w:right w:type="dxa" w:w="80"/>
            </w:tcMar>
          </w:tcPr>
          <w:p>
            <w:pPr>
              <w:pStyle w:val="Compact"/>
            </w:pPr>
            <w:r>
              <w:rPr>
                <w:b/>
                <w:bCs/>
                <w:sz w:val="19"/>
                <w:szCs w:val="19"/>
                <w:lang w:val="es-ES"/>
              </w:rPr>
              <w:t xml:space="preserve">Subencargados del tratamiento técnico</w:t>
            </w:r>
          </w:p>
        </w:tc>
        <w:tc>
          <w:tcPr>
            <w:tcW w:type="dxa" w:w="2340"/>
            <w:tcMar>
              <w:left w:type="dxa" w:w="80"/>
              <w:right w:type="dxa" w:w="80"/>
            </w:tcMar>
          </w:tcPr>
          <w:p>
            <w:pPr>
              <w:pStyle w:val="Compact"/>
            </w:pPr>
            <w:r>
              <w:rPr>
                <w:sz w:val="19"/>
                <w:szCs w:val="19"/>
                <w:lang w:val="es-ES"/>
              </w:rPr>
              <w:t xml:space="preserve">Subencargados del tratamiento (art. 28.2/28.4) — Sólo opción A</w:t>
            </w:r>
          </w:p>
        </w:tc>
        <w:tc>
          <w:tcPr>
            <w:tcW w:type="dxa" w:w="2340"/>
            <w:tcMar>
              <w:left w:type="dxa" w:w="80"/>
              <w:right w:type="dxa" w:w="80"/>
            </w:tcMar>
          </w:tcPr>
          <w:p>
            <w:pPr>
              <w:pStyle w:val="Compact"/>
            </w:pPr>
            <w:r>
              <w:rPr>
                <w:sz w:val="19"/>
                <w:szCs w:val="19"/>
                <w:lang w:val="es-ES"/>
              </w:rPr>
              <w:t xml:space="preserve">Alojamiento, copia de seguridad, transcripción GPU, IA (consulte OHA-RGPD-03)</w:t>
            </w:r>
          </w:p>
        </w:tc>
        <w:tc>
          <w:tcPr>
            <w:tcW w:type="dxa" w:w="2340"/>
            <w:tcMar>
              <w:left w:type="dxa" w:w="80"/>
              <w:right w:type="dxa" w:w="80"/>
            </w:tcMar>
          </w:tcPr>
          <w:p>
            <w:pPr>
              <w:pStyle w:val="Compact"/>
            </w:pPr>
            <w:r>
              <w:rPr>
                <w:sz w:val="19"/>
                <w:szCs w:val="19"/>
                <w:lang w:val="es-ES"/>
              </w:rPr>
              <w:t xml:space="preserve">Consulte OHA-RGPD-03 (procesamiento principalmente automatizado, sin acceso humano al contenido)</w:t>
            </w:r>
          </w:p>
        </w:tc>
      </w:tr>
    </w:tbl>
    <w:bookmarkEnd w:id="55"/>
    <w:bookmarkStart w:id="59" w:name="Xaef194183ecdfd08edae724911271a5bfba8a85"/>
    <w:p>
      <w:pPr>
        <w:pStyle w:val="Heading2"/>
        <w:keepNext/>
        <w:keepLines/>
      </w:pPr>
      <w:r>
        <w:rPr>
          <w:color w:val="000000"/>
          <w:lang w:val="es-ES"/>
        </w:rPr>
        <w:t xml:space="preserve">4. Diagrama de cadena de actores (Opción A - SaaS)</w:t>
      </w:r>
    </w:p>
    <w:p>
      <w:pPr>
        <w:pStyle w:val="FirstParagraph"/>
        <w:keepNext/>
      </w:pPr>
      <w:r>
        <w:drawing>
          <wp:inline>
            <wp:extent cx="5334000" cy="4960620"/>
            <wp:effectExtent b="0" l="0" r="0" t="0"/>
            <wp:docPr descr="Chaîne d'acteurs" title="" id="57" name="Picture"/>
            <a:graphic>
              <a:graphicData uri="http://schemas.openxmlformats.org/drawingml/2006/picture">
                <pic:pic>
                  <pic:nvPicPr>
                    <pic:cNvPr descr="img/acteurs.png" id="58" name="Picture"/>
                    <pic:cNvPicPr>
                      <a:picLocks noChangeArrowheads="1" noChangeAspect="1"/>
                    </pic:cNvPicPr>
                  </pic:nvPicPr>
                  <pic:blipFill>
                    <a:blip r:embed="rId56"/>
                    <a:stretch>
                      <a:fillRect/>
                    </a:stretch>
                  </pic:blipFill>
                  <pic:spPr bwMode="auto">
                    <a:xfrm>
                      <a:off x="0" y="0"/>
                      <a:ext cx="5334000" cy="4960620"/>
                    </a:xfrm>
                    <a:prstGeom prst="rect">
                      <a:avLst/>
                    </a:prstGeom>
                    <a:noFill/>
                    <a:ln w="9525">
                      <a:noFill/>
                      <a:headEnd/>
                      <a:tailEnd/>
                    </a:ln>
                  </pic:spPr>
                </pic:pic>
              </a:graphicData>
            </a:graphic>
          </wp:inline>
        </w:drawing>
      </w:r>
    </w:p>
    <w:p>
      <w:pPr>
        <w:pStyle w:val="BodyText"/>
        <w:keepLines/>
      </w:pPr>
      <w:r>
        <w:rPr>
          <w:i/>
          <w:iCs/>
          <w:lang w:val="es-ES"/>
        </w:rPr>
        <w:t xml:space="preserve">Figura 1 — Cadena de actores RGPD de TranscribIA: revendedores/distribuidores, cliente responsable del tratamiento, OHADJA (editor y encargado del tratamiento art. 28) y subencargados del tratamiento (versión Visio .vsdx) restablecido en la fase de implementación).</w:t>
      </w:r>
    </w:p>
    <w:p>
      <w:pPr>
        <w:pStyle w:val="BodyText"/>
      </w:pPr>
      <w:r>
        <w:rPr>
          <w:b/>
          <w:bCs/>
          <w:lang w:val="es-ES"/>
        </w:rPr>
        <w:t xml:space="preserve">Versión de texto:</w:t>
      </w:r>
    </w:p>
    <w:p>
      <w:pPr>
        <w:pStyle w:val="SourceCode"/>
      </w:pPr>
      <w:r>
        <w:rPr>
          <w:rStyle w:val="VerbatimChar"/>
          <w:rFonts w:ascii="Courier New" w:hAnsi="Courier New" w:eastAsia="Courier New" w:cs="Courier New"/>
          <w:sz w:val="17"/>
          <w:szCs w:val="17"/>
        </w:rPr>
        <w:t xml:space="preserve">ORGANIZACIÓN CLIENTE — Responsable del tratamiento</w:t>
        <w:br/>
        <w:t xml:space="preserve">  Fines, bases jurídicas, plazos, información y derechos de las personas</w:t>
        <w:br/>
        <w:t xml:space="preserve">  | utiliza el servicio                  ^ asistencia / soporte (2.º nivel)</w:t>
        <w:br/>
        <w:t xml:space="preserve">  v                                      |</w:t>
        <w:br/>
        <w:t xml:space="preserve">OHADJA — Editor + Encargado del tratamiento (art. 28)</w:t>
        <w:br/>
        <w:t xml:space="preserve">  Operación SaaS, soporte, mantenimiento</w:t>
        <w:br/>
        <w:t xml:space="preserve">  Acceso a datos: solo Francia / UE</w:t>
        <w:br/>
        <w:t xml:space="preserve">  ^ relación comercial a través de REVENDEDORES / DISTRIBUIDORES:</w:t>
        <w:br/>
        <w:t xml:space="preserve">    - AMBASSADIA SARL (Mónaco y Francia)</w:t>
        <w:br/>
        <w:t xml:space="preserve">    - integrador / revendedor</w:t>
        <w:br/>
        <w:t xml:space="preserve">    - función comercial, SIN acceso a datos</w:t>
        <w:br/>
        <w:t xml:space="preserve">  | recurre a subencargados del tratamiento (Opción A)</w:t>
        <w:br/>
        <w:t xml:space="preserve">  v</w:t>
        <w:br/>
        <w:t xml:space="preserve">Alojamiento (Francia) · Copias de seguridad (UE)</w:t>
        <w:br/>
        <w:t xml:space="preserve">Transcripción GPU · Funciones de IA (LLM)</w:t>
        <w:br/>
        <w:t xml:space="preserve">  -&gt; detalles: documentos OHA-RGPD-03/04</w:t>
      </w:r>
    </w:p>
    <w:p>
      <w:pPr>
        <w:pStyle w:val="FirstParagraph"/>
      </w:pPr>
      <w:r>
        <w:rPr>
          <w:lang w:val="es-ES"/>
        </w:rPr>
        <w:t xml:space="preserve">En </w:t>
      </w:r>
      <w:r>
        <w:rPr>
          <w:lang w:val="es-ES"/>
        </w:rPr>
        <w:t xml:space="preserve"/>
      </w:r>
      <w:r>
        <w:rPr>
          <w:b/>
          <w:bCs/>
          <w:lang w:val="es-ES"/>
        </w:rPr>
        <w:t xml:space="preserve">la Opción B </w:t>
      </w:r>
      <w:r>
        <w:rPr>
          <w:lang w:val="es-ES"/>
        </w:rPr>
        <w:t xml:space="preserve">aislada, el diagrama se reduce únicamente al Cliente: todos los componentes (aplicación, base de datos, transcripción de GPU, modelo de lenguaje) se ejecutan en su infraestructura; OHADJA sólo interviene para las operaciones de mantenimiento/soporte que le son encomendadas, no existiendo subencargado del tratamiento.</w:t>
      </w:r>
    </w:p>
    <w:p>
      <w:pPr>
        <w:pStyle w:val="BlockText"/>
      </w:pPr>
      <w:r>
        <w:rPr>
          <w:lang w:val="es-ES"/>
        </w:rPr>
        <w:t xml:space="preserve">El sinóptico final se presentará en formato Visio (.vsdx) durante la fase de implementación, con base en este diagrama.</w:t>
      </w:r>
    </w:p>
    <w:p>
      <w:r>
        <w:pict>
          <v:rect style="width:0;height:1.5pt" o:hralign="center" o:hrstd="t" o:hr="t"/>
        </w:pict>
      </w:r>
    </w:p>
    <w:p>
      <w:pPr>
        <w:pStyle w:val="FirstParagraph"/>
      </w:pPr>
      <w:r>
        <w:rPr>
          <w:i/>
          <w:iCs/>
          <w:lang w:val="es-ES"/>
        </w:rPr>
        <w:t xml:space="preserve">Documento de trabajo establecido por OHADJA — para ser validado por su asesor legal / DPO antes de la firma.</w:t>
      </w:r>
    </w:p>
    <w:p>
      <w:r>
        <w:br w:type="page"/>
      </w:r>
    </w:p>
    <w:bookmarkEnd w:id="59"/>
    <w:bookmarkEnd w:id="60"/>
    <w:bookmarkStart w:id="77" w:name="X001a6d632cb4d7312fb50fba4a39a5158970664"/>
    <w:p>
      <w:pPr>
        <w:pStyle w:val="Heading1"/>
        <w:keepNext/>
        <w:keepLines/>
      </w:pPr>
      <w:r>
        <w:rPr>
          <w:color w:val="000000"/>
          <w:lang w:val="es-ES"/>
        </w:rPr>
        <w:t xml:space="preserve">Matriz de flujo de datos detallada: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Referencia</w:t>
            </w:r>
          </w:p>
        </w:tc>
        <w:tc>
          <w:tcPr/>
          <w:p>
            <w:pPr>
              <w:pStyle w:val="Compact"/>
            </w:pPr>
            <w:r>
              <w:rPr>
                <w:lang w:val="es-ES"/>
              </w:rPr>
              <w:t xml:space="preserve">OHA-RGPD-02</w:t>
            </w:r>
          </w:p>
        </w:tc>
      </w:tr>
      <w:tr>
        <w:trPr>
          <w:cantSplit/>
        </w:trPr>
        <w:tc>
          <w:tcPr/>
          <w:p>
            <w:pPr>
              <w:pStyle w:val="Compact"/>
            </w:pPr>
            <w:r>
              <w:rPr>
                <w:lang w:val="es-ES"/>
              </w:rPr>
              <w:t xml:space="preserve">Propósito</w:t>
            </w:r>
          </w:p>
        </w:tc>
        <w:tc>
          <w:tcPr/>
          <w:p>
            <w:pPr>
              <w:pStyle w:val="Compact"/>
            </w:pPr>
            <w:r>
              <w:rPr>
                <w:lang w:val="es-ES"/>
              </w:rPr>
              <w:t xml:space="preserve">Matriz de flujos de datos, acceso humano y técnico, navegación de un archivo de audio</w:t>
            </w:r>
          </w:p>
        </w:tc>
      </w:tr>
      <w:tr>
        <w:trPr>
          <w:cantSplit/>
        </w:trPr>
        <w:tc>
          <w:tcPr/>
          <w:p>
            <w:pPr>
              <w:pStyle w:val="Compact"/>
            </w:pPr>
            <w:r>
              <w:rPr>
                <w:lang w:val="es-ES"/>
              </w:rPr>
              <w:t xml:space="preserve">Versión</w:t>
            </w:r>
          </w:p>
        </w:tc>
        <w:tc>
          <w:tcPr/>
          <w:p>
            <w:pPr>
              <w:pStyle w:val="Compact"/>
            </w:pPr>
            <w:r>
              <w:rPr>
                <w:lang w:val="es-ES"/>
              </w:rPr>
              <w:t xml:space="preserve">1.0</w:t>
            </w:r>
          </w:p>
        </w:tc>
      </w:tr>
      <w:tr>
        <w:trPr>
          <w:cantSplit/>
        </w:trPr>
        <w:tc>
          <w:tcPr/>
          <w:p>
            <w:pPr>
              <w:pStyle w:val="Compact"/>
            </w:pPr>
            <w:r>
              <w:rPr>
                <w:lang w:val="es-ES"/>
              </w:rPr>
              <w:t xml:space="preserve">Fecha</w:t>
            </w:r>
          </w:p>
        </w:tc>
        <w:tc>
          <w:tcPr/>
          <w:p>
            <w:pPr>
              <w:pStyle w:val="Compact"/>
            </w:pPr>
            <w:r>
              <w:rPr>
                <w:lang w:val="es-ES"/>
              </w:rPr>
              <w:t xml:space="preserve">2026-07-24</w:t>
            </w:r>
          </w:p>
        </w:tc>
      </w:tr>
      <w:tr>
        <w:trPr>
          <w:cantSplit/>
        </w:trPr>
        <w:tc>
          <w:tcPr/>
          <w:p>
            <w:pPr>
              <w:pStyle w:val="Compact"/>
            </w:pPr>
            <w:r>
              <w:rPr>
                <w:lang w:val="es-ES"/>
              </w:rPr>
              <w:t xml:space="preserve">Redactor</w:t>
            </w:r>
          </w:p>
        </w:tc>
        <w:tc>
          <w:tcPr/>
          <w:p>
            <w:pPr>
              <w:pStyle w:val="Compact"/>
            </w:pPr>
            <w:r>
              <w:rPr>
                <w:lang w:val="es-ES"/>
              </w:rPr>
              <w:t xml:space="preserve">OHADJA</w:t>
            </w:r>
          </w:p>
        </w:tc>
      </w:tr>
      <w:tr>
        <w:trPr>
          <w:cantSplit/>
        </w:trPr>
        <w:tc>
          <w:tcPr/>
          <w:p>
            <w:pPr>
              <w:pStyle w:val="Compact"/>
            </w:pPr>
            <w:r>
              <w:rPr>
                <w:lang w:val="es-ES"/>
              </w:rPr>
              <w:t xml:space="preserve">Destinatario</w:t>
            </w:r>
          </w:p>
        </w:tc>
        <w:tc>
          <w:tcPr/>
          <w:p>
            <w:pPr>
              <w:pStyle w:val="Compact"/>
            </w:pPr>
            <w:r>
              <w:rPr>
                <w:lang w:val="es-ES"/>
              </w:rPr>
              <w:t xml:space="preserve">Organización del cliente (documento estándar)</w:t>
            </w:r>
          </w:p>
        </w:tc>
      </w:tr>
      <w:tr>
        <w:trPr>
          <w:cantSplit/>
        </w:trPr>
        <w:tc>
          <w:tcPr/>
          <w:p>
            <w:pPr>
              <w:pStyle w:val="Compact"/>
            </w:pPr>
            <w:r>
              <w:rPr>
                <w:lang w:val="es-ES"/>
              </w:rPr>
              <w:t xml:space="preserve">Clasificación</w:t>
            </w:r>
          </w:p>
        </w:tc>
        <w:tc>
          <w:tcPr/>
          <w:p>
            <w:pPr>
              <w:pStyle w:val="Compact"/>
            </w:pPr>
            <w:r>
              <w:rPr>
                <w:lang w:val="es-ES"/>
              </w:rPr>
              <w:t xml:space="preserve">Público: documento estándar, especificado durante cada contratación.</w:t>
            </w:r>
          </w:p>
        </w:tc>
      </w:tr>
    </w:tbl>
    <w:bookmarkStart w:id="61" w:name="X9d6322e4a9ce86e02c43d63da458956a899a10f"/>
    <w:p>
      <w:pPr>
        <w:pStyle w:val="Heading2"/>
        <w:keepNext/>
        <w:keepLines/>
      </w:pPr>
      <w:r>
        <w:rPr>
          <w:color w:val="000000"/>
          <w:lang w:val="es-ES"/>
        </w:rPr>
        <w:t xml:space="preserve">1. Objeto y método</w:t>
      </w:r>
    </w:p>
    <w:p>
      <w:pPr>
        <w:pStyle w:val="FirstParagraph"/>
      </w:pPr>
      <w:r>
        <w:rPr>
          <w:lang w:val="es-ES"/>
        </w:rPr>
        <w:t xml:space="preserve">Este documento describe, para cada categoría de datos procesados por TranscribIA, el origen, el recorrido completo paso a paso, los componentes cruzados, el estado de cifrado (en tránsito y en reposo), los destinos y el período de retención en cada paso. Cada flujo se describe para los dos modos de suministro:</w:t>
      </w:r>
    </w:p>
    <w:p>
      <w:pPr>
        <w:pStyle w:val="Compact"/>
        <w:numPr>
          <w:ilvl w:val="0"/>
          <w:numId w:val="1016"/>
        </w:numPr>
      </w:pPr>
      <w:r>
        <w:rPr>
          <w:b/>
          <w:bCs/>
          <w:lang w:val="es-ES"/>
        </w:rPr>
        <w:t xml:space="preserve">Opción A: SaaS soberano </w:t>
      </w:r>
      <w:r>
        <w:rPr>
          <w:lang w:val="es-ES"/>
        </w:rPr>
        <w:t xml:space="preserve"/>
      </w:r>
      <w:r>
        <w:rPr>
          <w:lang w:val="es-ES"/>
        </w:rPr>
        <w:t xml:space="preserve">operado por OHADJA;</w:t>
      </w:r>
    </w:p>
    <w:p>
      <w:pPr>
        <w:pStyle w:val="Compact"/>
        <w:numPr>
          <w:ilvl w:val="0"/>
          <w:numId w:val="1016"/>
        </w:numPr>
      </w:pPr>
      <w:r>
        <w:rPr>
          <w:b/>
          <w:bCs/>
          <w:lang w:val="es-ES"/>
        </w:rPr>
        <w:t xml:space="preserve">Opción B: On-premise </w:t>
      </w:r>
      <w:r>
        <w:rPr>
          <w:lang w:val="es-ES"/>
        </w:rPr>
        <w:t xml:space="preserve"/>
      </w:r>
      <w:r>
        <w:rPr>
          <w:lang w:val="es-ES"/>
        </w:rPr>
        <w:t xml:space="preserve">en la infraestructura del Cliente (variante aislada: sin flujo saliente).</w:t>
      </w:r>
    </w:p>
    <w:p>
      <w:pPr>
        <w:pStyle w:val="FirstParagraph"/>
      </w:pPr>
      <w:r>
        <w:rPr>
          <w:lang w:val="es-ES"/>
        </w:rPr>
        <w:t xml:space="preserve">Luego incluye una sección dedicada al acceso </w:t>
      </w:r>
      <w:r>
        <w:rPr>
          <w:lang w:val="es-ES"/>
        </w:rPr>
        <w:t xml:space="preserve"/>
      </w:r>
      <w:r>
        <w:rPr>
          <w:b/>
          <w:bCs/>
          <w:lang w:val="es-ES"/>
        </w:rPr>
        <w:t xml:space="preserve">humano y técnico, incluido el </w:t>
      </w:r>
      <w:r>
        <w:rPr>
          <w:lang w:val="es-ES"/>
        </w:rPr>
        <w:t xml:space="preserve">tratamiento franco del acceso y los flujos fuera del EEE posibles en la Opción A, y luego el recorrido </w:t>
      </w:r>
      <w:r>
        <w:rPr>
          <w:lang w:val="es-ES"/>
        </w:rPr>
        <w:t xml:space="preserve"/>
      </w:r>
      <w:r>
        <w:rPr>
          <w:b/>
          <w:bCs/>
          <w:lang w:val="es-ES"/>
        </w:rPr>
        <w:t xml:space="preserve">de un extremo a otro de un archivo de </w:t>
      </w:r>
      <w:r>
        <w:rPr>
          <w:lang w:val="es-ES"/>
        </w:rPr>
        <w:t xml:space="preserve">audio.</w:t>
      </w:r>
    </w:p>
    <w:p>
      <w:pPr>
        <w:pStyle w:val="BodyText"/>
      </w:pPr>
      <w:r>
        <w:rPr>
          <w:lang w:val="es-ES"/>
        </w:rPr>
        <w:t xml:space="preserve">Convenciones de cifrado utilizadas:</w:t>
      </w:r>
    </w:p>
    <w:p>
      <w:pPr>
        <w:pStyle w:val="Compact"/>
        <w:numPr>
          <w:ilvl w:val="0"/>
          <w:numId w:val="1017"/>
        </w:numPr>
      </w:pPr>
      <w:r>
        <w:rPr>
          <w:b/>
          <w:bCs/>
          <w:lang w:val="es-ES"/>
        </w:rPr>
        <w:t xml:space="preserve">En tránsito: </w:t>
      </w:r>
      <w:r>
        <w:rPr>
          <w:lang w:val="es-ES"/>
        </w:rPr>
        <w:t xml:space="preserve"/>
      </w:r>
      <w:r>
        <w:rPr>
          <w:lang w:val="es-ES"/>
        </w:rPr>
        <w:t xml:space="preserve">TLS 1.2+ (Let's Encrypt, strong suites, HSTS) para todo el acceso a aplicaciones, API e interfaces de administración.</w:t>
      </w:r>
    </w:p>
    <w:p>
      <w:pPr>
        <w:pStyle w:val="Compact"/>
        <w:numPr>
          <w:ilvl w:val="0"/>
          <w:numId w:val="1017"/>
        </w:numPr>
      </w:pPr>
      <w:r>
        <w:rPr>
          <w:b/>
          <w:bCs/>
          <w:lang w:val="es-ES"/>
        </w:rPr>
        <w:t xml:space="preserve">En reposo: </w:t>
      </w:r>
      <w:r>
        <w:rPr>
          <w:lang w:val="es-ES"/>
        </w:rPr>
        <w:t xml:space="preserve"/>
      </w:r>
      <w:r>
        <w:rPr>
          <w:lang w:val="es-ES"/>
        </w:rPr>
        <w:t xml:space="preserve">copias de seguridad </w:t>
      </w:r>
      <w:r>
        <w:rPr>
          <w:lang w:val="es-ES"/>
        </w:rPr>
        <w:t xml:space="preserve"/>
      </w:r>
      <w:r>
        <w:rPr>
          <w:b/>
          <w:bCs/>
          <w:lang w:val="es-ES"/>
        </w:rPr>
        <w:t xml:space="preserve">cifradas </w:t>
      </w:r>
      <w:r>
        <w:rPr>
          <w:lang w:val="es-ES"/>
        </w:rPr>
        <w:t xml:space="preserve"/>
      </w:r>
      <w:r>
        <w:rPr>
          <w:lang w:val="es-ES"/>
        </w:rPr>
        <w:t xml:space="preserve">antes de la subcontratación (age, X25519 + ChaCha20-Poly1305); Cifrado de disco del sistema de servidor de producción: según la oferta del centro de datos: actualización planificada (LUKS/gocryptfs). Los datos de la aplicación y la base de datos PostgreSQL residen en el servidor de producción reforzado (SSH por clave, firewall, fail2ban). En las tablas siguientes, la mención “en reposo (ver §1)” se refiere a esta aclaración.</w:t>
      </w:r>
    </w:p>
    <w:bookmarkEnd w:id="61"/>
    <w:bookmarkStart w:id="69" w:name="Xfb7177fe7e5e1f8db1258879121b148c25ab828"/>
    <w:p>
      <w:pPr>
        <w:pStyle w:val="Heading2"/>
        <w:keepNext/>
        <w:keepLines/>
      </w:pPr>
      <w:r>
        <w:rPr>
          <w:color w:val="000000"/>
          <w:lang w:val="es-ES"/>
        </w:rPr>
        <w:t xml:space="preserve">2. Matriz de flujo por categoría de datos</w:t>
      </w:r>
    </w:p>
    <w:bookmarkStart w:id="62" w:name="Xf15a0825ce5467990e6266ab21e1d3cf1a58279"/>
    <w:p>
      <w:pPr>
        <w:pStyle w:val="Heading3"/>
        <w:keepNext/>
        <w:keepLines/>
      </w:pPr>
      <w:r>
        <w:rPr>
          <w:color w:val="000000"/>
          <w:lang w:val="es-ES"/>
        </w:rPr>
        <w:t xml:space="preserve">2.1 Archivos de audio (y vídeo si corresponde)</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s-ES"/>
              </w:rPr>
              <w:t xml:space="preserve">paso</w:t>
            </w:r>
          </w:p>
        </w:tc>
        <w:tc>
          <w:tcPr>
            <w:tcW w:type="dxa" w:w="1872"/>
            <w:tcMar>
              <w:left w:type="dxa" w:w="80"/>
              <w:right w:type="dxa" w:w="80"/>
            </w:tcMar>
          </w:tcPr>
          <w:p>
            <w:pPr>
              <w:pStyle w:val="Compact"/>
            </w:pPr>
            <w:r>
              <w:rPr>
                <w:sz w:val="19"/>
                <w:szCs w:val="19"/>
                <w:lang w:val="es-ES"/>
              </w:rPr>
              <w:t xml:space="preserve">Actor/componente</w:t>
            </w:r>
          </w:p>
        </w:tc>
        <w:tc>
          <w:tcPr>
            <w:tcW w:type="dxa" w:w="1872"/>
            <w:tcMar>
              <w:left w:type="dxa" w:w="80"/>
              <w:right w:type="dxa" w:w="80"/>
            </w:tcMar>
          </w:tcPr>
          <w:p>
            <w:pPr>
              <w:pStyle w:val="Compact"/>
            </w:pPr>
            <w:r>
              <w:rPr>
                <w:sz w:val="19"/>
                <w:szCs w:val="19"/>
                <w:lang w:val="es-ES"/>
              </w:rPr>
              <w:t xml:space="preserve">Ubicación</w:t>
            </w:r>
          </w:p>
        </w:tc>
        <w:tc>
          <w:tcPr>
            <w:tcW w:type="dxa" w:w="1872"/>
            <w:tcMar>
              <w:left w:type="dxa" w:w="80"/>
              <w:right w:type="dxa" w:w="80"/>
            </w:tcMar>
          </w:tcPr>
          <w:p>
            <w:pPr>
              <w:pStyle w:val="Compact"/>
            </w:pPr>
            <w:r>
              <w:rPr>
                <w:sz w:val="19"/>
                <w:szCs w:val="19"/>
                <w:lang w:val="es-ES"/>
              </w:rPr>
              <w:t xml:space="preserve">Cifrado</w:t>
            </w:r>
          </w:p>
        </w:tc>
        <w:tc>
          <w:tcPr>
            <w:tcW w:type="dxa" w:w="1872"/>
            <w:tcMar>
              <w:left w:type="dxa" w:w="80"/>
              <w:right w:type="dxa" w:w="80"/>
            </w:tcMar>
          </w:tcPr>
          <w:p>
            <w:pPr>
              <w:pStyle w:val="Compact"/>
            </w:pPr>
            <w:r>
              <w:rPr>
                <w:sz w:val="19"/>
                <w:szCs w:val="19"/>
                <w:lang w:val="es-ES"/>
              </w:rPr>
              <w:t xml:space="preserve">Duración en la etapa</w:t>
            </w:r>
          </w:p>
        </w:tc>
      </w:tr>
      <w:tr>
        <w:trPr>
          <w:cantSplit/>
        </w:trPr>
        <w:tc>
          <w:tcPr>
            <w:tcW w:type="dxa" w:w="1872"/>
            <w:tcMar>
              <w:left w:type="dxa" w:w="80"/>
              <w:right w:type="dxa" w:w="80"/>
            </w:tcMar>
          </w:tcPr>
          <w:p>
            <w:pPr>
              <w:pStyle w:val="Compact"/>
            </w:pPr>
            <w:r>
              <w:rPr>
                <w:sz w:val="19"/>
                <w:szCs w:val="19"/>
                <w:lang w:val="es-ES"/>
              </w:rPr>
              <w:t xml:space="preserve">Origen</w:t>
            </w:r>
          </w:p>
        </w:tc>
        <w:tc>
          <w:tcPr>
            <w:tcW w:type="dxa" w:w="1872"/>
            <w:tcMar>
              <w:left w:type="dxa" w:w="80"/>
              <w:right w:type="dxa" w:w="80"/>
            </w:tcMar>
          </w:tcPr>
          <w:p>
            <w:pPr>
              <w:pStyle w:val="Compact"/>
            </w:pPr>
            <w:r>
              <w:rPr>
                <w:sz w:val="19"/>
                <w:szCs w:val="19"/>
                <w:lang w:val="es-ES"/>
              </w:rPr>
              <w:t xml:space="preserve">Usuario cliente (cargar)</w:t>
            </w:r>
          </w:p>
        </w:tc>
        <w:tc>
          <w:tcPr>
            <w:tcW w:type="dxa" w:w="1872"/>
            <w:tcMar>
              <w:left w:type="dxa" w:w="80"/>
              <w:right w:type="dxa" w:w="80"/>
            </w:tcMar>
          </w:tcPr>
          <w:p>
            <w:pPr>
              <w:pStyle w:val="Compact"/>
            </w:pPr>
            <w:r>
              <w:rPr>
                <w:sz w:val="19"/>
                <w:szCs w:val="19"/>
                <w:lang w:val="es-ES"/>
              </w:rPr>
              <w:t xml:space="preserve">Estación de trabajo del cliente</w:t>
            </w:r>
          </w:p>
        </w:tc>
        <w:tc>
          <w:tcPr>
            <w:tcW w:type="dxa" w:w="1872"/>
            <w:tcMar>
              <w:left w:type="dxa" w:w="80"/>
              <w:right w:type="dxa" w:w="80"/>
            </w:tcMar>
          </w:tcPr>
          <w:p>
            <w:pPr>
              <w:pStyle w:val="Compact"/>
            </w:pPr>
            <w:r>
              <w:rPr>
                <w:sz w:val="19"/>
                <w:szCs w:val="19"/>
                <w:lang w:val="es-ES"/>
              </w:rPr>
              <w:t xml:space="preserve">TLS en tránsito</w:t>
            </w:r>
          </w:p>
        </w:tc>
        <w:tc>
          <w:tcPr>
            <w:tcW w:type="dxa" w:w="1872"/>
            <w:tcMar>
              <w:left w:type="dxa" w:w="80"/>
              <w:right w:type="dxa" w:w="80"/>
            </w:tcMar>
          </w:tcPr>
          <w:p>
            <w:pPr>
              <w:pStyle w:val="Compact"/>
            </w:pPr>
            <w:r>
              <w:rPr>
                <w:sz w:val="19"/>
                <w:szCs w:val="19"/>
                <w:lang w:val="es-ES"/>
              </w:rPr>
              <w:t xml:space="preserve">—</w:t>
            </w:r>
          </w:p>
        </w:tc>
      </w:tr>
      <w:tr>
        <w:trPr>
          <w:cantSplit/>
        </w:trPr>
        <w:tc>
          <w:tcPr>
            <w:tcW w:type="dxa" w:w="1872"/>
            <w:tcMar>
              <w:left w:type="dxa" w:w="80"/>
              <w:right w:type="dxa" w:w="80"/>
            </w:tcMar>
          </w:tcPr>
          <w:p>
            <w:pPr>
              <w:pStyle w:val="Compact"/>
            </w:pPr>
            <w:r>
              <w:rPr>
                <w:sz w:val="19"/>
                <w:szCs w:val="19"/>
                <w:lang w:val="es-ES"/>
              </w:rPr>
              <w:t xml:space="preserve">Recepción</w:t>
            </w:r>
          </w:p>
        </w:tc>
        <w:tc>
          <w:tcPr>
            <w:tcW w:type="dxa" w:w="1872"/>
            <w:tcMar>
              <w:left w:type="dxa" w:w="80"/>
              <w:right w:type="dxa" w:w="80"/>
            </w:tcMar>
          </w:tcPr>
          <w:p>
            <w:pPr>
              <w:pStyle w:val="Compact"/>
            </w:pPr>
            <w:r>
              <w:rPr>
                <w:sz w:val="19"/>
                <w:szCs w:val="19"/>
                <w:lang w:val="es-ES"/>
              </w:rPr>
              <w:t xml:space="preserve">Nginx → Aplicación Laravel</w:t>
            </w:r>
          </w:p>
        </w:tc>
        <w:tc>
          <w:tcPr>
            <w:tcW w:type="dxa" w:w="1872"/>
            <w:tcMar>
              <w:left w:type="dxa" w:w="80"/>
              <w:right w:type="dxa" w:w="80"/>
            </w:tcMar>
          </w:tcPr>
          <w:p>
            <w:pPr>
              <w:pStyle w:val="Compact"/>
            </w:pPr>
            <w:r>
              <w:rPr>
                <w:sz w:val="19"/>
                <w:szCs w:val="19"/>
                <w:lang w:val="es-ES"/>
              </w:rPr>
              <w:t xml:space="preserve">Servidor de producción (Francia, Opción A) / Infraestructura de cliente (Opción B)</w:t>
            </w:r>
          </w:p>
        </w:tc>
        <w:tc>
          <w:tcPr>
            <w:tcW w:type="dxa" w:w="1872"/>
            <w:tcMar>
              <w:left w:type="dxa" w:w="80"/>
              <w:right w:type="dxa" w:w="80"/>
            </w:tcMar>
          </w:tcPr>
          <w:p>
            <w:pPr>
              <w:pStyle w:val="Compact"/>
            </w:pPr>
            <w:r>
              <w:rPr>
                <w:sz w:val="19"/>
                <w:szCs w:val="19"/>
                <w:lang w:val="es-ES"/>
              </w:rPr>
              <w:t xml:space="preserve">TLS; ClamAV antes de escribir</w:t>
            </w:r>
          </w:p>
        </w:tc>
        <w:tc>
          <w:tcPr>
            <w:tcW w:type="dxa" w:w="1872"/>
            <w:tcMar>
              <w:left w:type="dxa" w:w="80"/>
              <w:right w:type="dxa" w:w="80"/>
            </w:tcMar>
          </w:tcPr>
          <w:p>
            <w:pPr>
              <w:pStyle w:val="Compact"/>
            </w:pPr>
            <w:r>
              <w:rPr>
                <w:sz w:val="19"/>
                <w:szCs w:val="19"/>
                <w:lang w:val="es-ES"/>
              </w:rPr>
              <w:t xml:space="preserve">transitorio</w:t>
            </w:r>
          </w:p>
        </w:tc>
      </w:tr>
      <w:tr>
        <w:trPr>
          <w:cantSplit/>
        </w:trPr>
        <w:tc>
          <w:tcPr>
            <w:tcW w:type="dxa" w:w="1872"/>
            <w:tcMar>
              <w:left w:type="dxa" w:w="80"/>
              <w:right w:type="dxa" w:w="80"/>
            </w:tcMar>
          </w:tcPr>
          <w:p>
            <w:pPr>
              <w:pStyle w:val="Compact"/>
            </w:pPr>
            <w:r>
              <w:rPr>
                <w:sz w:val="19"/>
                <w:szCs w:val="19"/>
                <w:lang w:val="es-ES"/>
              </w:rPr>
              <w:t xml:space="preserve">Almacenamiento</w:t>
            </w:r>
          </w:p>
        </w:tc>
        <w:tc>
          <w:tcPr>
            <w:tcW w:type="dxa" w:w="1872"/>
            <w:tcMar>
              <w:left w:type="dxa" w:w="80"/>
              <w:right w:type="dxa" w:w="80"/>
            </w:tcMar>
          </w:tcPr>
          <w:p>
            <w:pPr>
              <w:pStyle w:val="Compact"/>
            </w:pPr>
            <w:r>
              <w:rPr>
                <w:sz w:val="19"/>
                <w:szCs w:val="19"/>
                <w:lang w:val="es-ES"/>
              </w:rPr>
              <w:t xml:space="preserve">Sistema de archivos de la aplicación</w:t>
            </w:r>
          </w:p>
        </w:tc>
        <w:tc>
          <w:tcPr>
            <w:tcW w:type="dxa" w:w="1872"/>
            <w:tcMar>
              <w:left w:type="dxa" w:w="80"/>
              <w:right w:type="dxa" w:w="80"/>
            </w:tcMar>
          </w:tcPr>
          <w:p>
            <w:pPr>
              <w:pStyle w:val="Compact"/>
            </w:pPr>
            <w:r>
              <w:rPr>
                <w:sz w:val="19"/>
                <w:szCs w:val="19"/>
                <w:lang w:val="es-ES"/>
              </w:rPr>
              <w:t xml:space="preserve">Servidor de producción, Francia (Opt. A) / infraestructura cliente</w:t>
            </w:r>
          </w:p>
        </w:tc>
        <w:tc>
          <w:tcPr>
            <w:tcW w:type="dxa" w:w="1872"/>
            <w:tcMar>
              <w:left w:type="dxa" w:w="80"/>
              <w:right w:type="dxa" w:w="80"/>
            </w:tcMar>
          </w:tcPr>
          <w:p>
            <w:pPr>
              <w:pStyle w:val="Compact"/>
            </w:pPr>
            <w:r>
              <w:rPr>
                <w:sz w:val="19"/>
                <w:szCs w:val="19"/>
                <w:lang w:val="es-ES"/>
              </w:rPr>
              <w:t xml:space="preserve">En reposo (ver §1)</w:t>
            </w:r>
          </w:p>
        </w:tc>
        <w:tc>
          <w:tcPr>
            <w:tcW w:type="dxa" w:w="1872"/>
            <w:tcMar>
              <w:left w:type="dxa" w:w="80"/>
              <w:right w:type="dxa" w:w="80"/>
            </w:tcMar>
          </w:tcPr>
          <w:p>
            <w:pPr>
              <w:pStyle w:val="Compact"/>
            </w:pPr>
            <w:r>
              <w:rPr>
                <w:sz w:val="19"/>
                <w:szCs w:val="19"/>
                <w:lang w:val="es-ES"/>
              </w:rPr>
              <w:t xml:space="preserve">Duración configurada por el Cliente, en caso contrario duración del contrato</w:t>
            </w:r>
          </w:p>
        </w:tc>
      </w:tr>
      <w:tr>
        <w:trPr>
          <w:cantSplit/>
        </w:trPr>
        <w:tc>
          <w:tcPr>
            <w:tcW w:type="dxa" w:w="1872"/>
            <w:tcMar>
              <w:left w:type="dxa" w:w="80"/>
              <w:right w:type="dxa" w:w="80"/>
            </w:tcMar>
          </w:tcPr>
          <w:p>
            <w:pPr>
              <w:pStyle w:val="Compact"/>
            </w:pPr>
            <w:r>
              <w:rPr>
                <w:sz w:val="19"/>
                <w:szCs w:val="19"/>
                <w:lang w:val="es-ES"/>
              </w:rPr>
              <w:t xml:space="preserve">Tratamiento</w:t>
            </w:r>
          </w:p>
        </w:tc>
        <w:tc>
          <w:tcPr>
            <w:tcW w:type="dxa" w:w="1872"/>
            <w:tcMar>
              <w:left w:type="dxa" w:w="80"/>
              <w:right w:type="dxa" w:w="80"/>
            </w:tcMar>
          </w:tcPr>
          <w:p>
            <w:pPr>
              <w:pStyle w:val="Compact"/>
            </w:pPr>
            <w:r>
              <w:rPr>
                <w:sz w:val="19"/>
                <w:szCs w:val="19"/>
                <w:lang w:val="es-ES"/>
              </w:rPr>
              <w:t xml:space="preserve">Trabajador de transcripción GPU</w:t>
            </w:r>
          </w:p>
        </w:tc>
        <w:tc>
          <w:tcPr>
            <w:tcW w:type="dxa" w:w="1872"/>
            <w:tcMar>
              <w:left w:type="dxa" w:w="80"/>
              <w:right w:type="dxa" w:w="80"/>
            </w:tcMar>
          </w:tcPr>
          <w:p>
            <w:pPr>
              <w:pStyle w:val="Compact"/>
            </w:pPr>
            <w:r>
              <w:rPr>
                <w:sz w:val="19"/>
                <w:szCs w:val="19"/>
                <w:lang w:val="es-ES"/>
              </w:rPr>
              <w:t xml:space="preserve">GPU UE dedicada (opción A) / GPU local (opción Aislada B)</w:t>
            </w:r>
          </w:p>
        </w:tc>
        <w:tc>
          <w:tcPr>
            <w:tcW w:type="dxa" w:w="1872"/>
            <w:tcMar>
              <w:left w:type="dxa" w:w="80"/>
              <w:right w:type="dxa" w:w="80"/>
            </w:tcMar>
          </w:tcPr>
          <w:p>
            <w:pPr>
              <w:pStyle w:val="Compact"/>
            </w:pPr>
            <w:r>
              <w:rPr>
                <w:sz w:val="19"/>
                <w:szCs w:val="19"/>
                <w:lang w:val="es-ES"/>
              </w:rPr>
              <w:t xml:space="preserve">TLS entre componentes; URL firmada temporalmente (30 min) para streaming</w:t>
            </w:r>
          </w:p>
        </w:tc>
        <w:tc>
          <w:tcPr>
            <w:tcW w:type="dxa" w:w="1872"/>
            <w:tcMar>
              <w:left w:type="dxa" w:w="80"/>
              <w:right w:type="dxa" w:w="80"/>
            </w:tcMar>
          </w:tcPr>
          <w:p>
            <w:pPr>
              <w:pStyle w:val="Compact"/>
            </w:pPr>
            <w:r>
              <w:rPr>
                <w:sz w:val="19"/>
                <w:szCs w:val="19"/>
                <w:lang w:val="es-ES"/>
              </w:rPr>
              <w:t xml:space="preserve">Tiempo de trabajo; eliminado del lado del trabajador después del procesamiento</w:t>
            </w:r>
          </w:p>
        </w:tc>
      </w:tr>
      <w:tr>
        <w:trPr>
          <w:cantSplit/>
        </w:trPr>
        <w:tc>
          <w:tcPr>
            <w:tcW w:type="dxa" w:w="1872"/>
            <w:tcMar>
              <w:left w:type="dxa" w:w="80"/>
              <w:right w:type="dxa" w:w="80"/>
            </w:tcMar>
          </w:tcPr>
          <w:p>
            <w:pPr>
              <w:pStyle w:val="Compact"/>
            </w:pPr>
            <w:r>
              <w:rPr>
                <w:sz w:val="19"/>
                <w:szCs w:val="19"/>
                <w:lang w:val="es-ES"/>
              </w:rPr>
              <w:t xml:space="preserve">Copia de seguridad</w:t>
            </w:r>
          </w:p>
        </w:tc>
        <w:tc>
          <w:tcPr>
            <w:tcW w:type="dxa" w:w="1872"/>
            <w:tcMar>
              <w:left w:type="dxa" w:w="80"/>
              <w:right w:type="dxa" w:w="80"/>
            </w:tcMar>
          </w:tcPr>
          <w:p>
            <w:pPr>
              <w:pStyle w:val="Compact"/>
            </w:pPr>
            <w:r>
              <w:rPr>
                <w:sz w:val="19"/>
                <w:szCs w:val="19"/>
                <w:lang w:val="es-ES"/>
              </w:rPr>
              <w:t xml:space="preserve">age de cifrado → rclone</w:t>
            </w:r>
          </w:p>
        </w:tc>
        <w:tc>
          <w:tcPr>
            <w:tcW w:type="dxa" w:w="1872"/>
            <w:tcMar>
              <w:left w:type="dxa" w:w="80"/>
              <w:right w:type="dxa" w:w="80"/>
            </w:tcMar>
          </w:tcPr>
          <w:p>
            <w:pPr>
              <w:pStyle w:val="Compact"/>
            </w:pPr>
            <w:r>
              <w:rPr>
                <w:sz w:val="19"/>
                <w:szCs w:val="19"/>
                <w:lang w:val="es-ES"/>
              </w:rPr>
              <w:t xml:space="preserve">Scaleway (Francia, UE) (Opción A)</w:t>
            </w:r>
          </w:p>
        </w:tc>
        <w:tc>
          <w:tcPr>
            <w:tcW w:type="dxa" w:w="1872"/>
            <w:tcMar>
              <w:left w:type="dxa" w:w="80"/>
              <w:right w:type="dxa" w:w="80"/>
            </w:tcMar>
          </w:tcPr>
          <w:p>
            <w:pPr>
              <w:pStyle w:val="Compact"/>
            </w:pPr>
            <w:r>
              <w:rPr>
                <w:sz w:val="19"/>
                <w:szCs w:val="19"/>
                <w:lang w:val="es-ES"/>
              </w:rPr>
              <w:t xml:space="preserve">age (antes de enviar)</w:t>
            </w:r>
          </w:p>
        </w:tc>
        <w:tc>
          <w:tcPr>
            <w:tcW w:type="dxa" w:w="1872"/>
            <w:tcMar>
              <w:left w:type="dxa" w:w="80"/>
              <w:right w:type="dxa" w:w="80"/>
            </w:tcMar>
          </w:tcPr>
          <w:p>
            <w:pPr>
              <w:pStyle w:val="Compact"/>
            </w:pPr>
            <w:r>
              <w:rPr>
                <w:sz w:val="19"/>
                <w:szCs w:val="19"/>
                <w:lang w:val="es-ES"/>
              </w:rPr>
              <w:t xml:space="preserve">≤ 90 días (rotación)</w:t>
            </w:r>
          </w:p>
        </w:tc>
      </w:tr>
      <w:tr>
        <w:trPr>
          <w:cantSplit/>
        </w:trPr>
        <w:tc>
          <w:tcPr>
            <w:tcW w:type="dxa" w:w="1872"/>
            <w:tcMar>
              <w:left w:type="dxa" w:w="80"/>
              <w:right w:type="dxa" w:w="80"/>
            </w:tcMar>
          </w:tcPr>
          <w:p>
            <w:pPr>
              <w:pStyle w:val="Compact"/>
            </w:pPr>
            <w:r>
              <w:rPr>
                <w:sz w:val="19"/>
                <w:szCs w:val="19"/>
                <w:lang w:val="es-ES"/>
              </w:rPr>
              <w:t xml:space="preserve">Destino final</w:t>
            </w:r>
          </w:p>
        </w:tc>
        <w:tc>
          <w:tcPr>
            <w:tcW w:type="dxa" w:w="1872"/>
            <w:tcMar>
              <w:left w:type="dxa" w:w="80"/>
              <w:right w:type="dxa" w:w="80"/>
            </w:tcMar>
          </w:tcPr>
          <w:p>
            <w:pPr>
              <w:pStyle w:val="Compact"/>
            </w:pPr>
            <w:r>
              <w:rPr>
                <w:sz w:val="19"/>
                <w:szCs w:val="19"/>
                <w:lang w:val="es-ES"/>
              </w:rPr>
              <w:t xml:space="preserve">Eliminación a petición/caducidad</w:t>
            </w:r>
          </w:p>
        </w:tc>
        <w:tc>
          <w:tcPr>
            <w:tcW w:type="dxa" w:w="1872"/>
            <w:tcMar>
              <w:left w:type="dxa" w:w="80"/>
              <w:right w:type="dxa" w:w="80"/>
            </w:tcMar>
          </w:tcPr>
          <w:p>
            <w:pPr>
              <w:pStyle w:val="Compact"/>
            </w:pPr>
            <w:r>
              <w:rPr>
                <w:sz w:val="19"/>
                <w:szCs w:val="19"/>
                <w:lang w:val="es-ES"/>
              </w:rPr>
              <w:t xml:space="preserve">—</w:t>
            </w:r>
          </w:p>
        </w:tc>
        <w:tc>
          <w:tcPr>
            <w:tcW w:type="dxa" w:w="1872"/>
            <w:tcMar>
              <w:left w:type="dxa" w:w="80"/>
              <w:right w:type="dxa" w:w="80"/>
            </w:tcMar>
          </w:tcPr>
          <w:p>
            <w:pPr>
              <w:pStyle w:val="Compact"/>
            </w:pPr>
            <w:r>
              <w:rPr>
                <w:sz w:val="19"/>
                <w:szCs w:val="19"/>
                <w:lang w:val="es-ES"/>
              </w:rPr>
              <w:t xml:space="preserve">—</w:t>
            </w:r>
          </w:p>
        </w:tc>
        <w:tc>
          <w:tcPr>
            <w:tcW w:type="dxa" w:w="1872"/>
            <w:tcMar>
              <w:left w:type="dxa" w:w="80"/>
              <w:right w:type="dxa" w:w="80"/>
            </w:tcMar>
          </w:tcPr>
          <w:p>
            <w:pPr>
              <w:pStyle w:val="Compact"/>
            </w:pPr>
            <w:r>
              <w:rPr>
                <w:sz w:val="19"/>
                <w:szCs w:val="19"/>
                <w:lang w:val="es-ES"/>
              </w:rPr>
              <w:t xml:space="preserve">Según política de conservación (ver OHA-RGPD-05)</w:t>
            </w:r>
          </w:p>
        </w:tc>
      </w:tr>
    </w:tbl>
    <w:bookmarkEnd w:id="62"/>
    <w:bookmarkStart w:id="63" w:name="X150edd64680ffa97c3c8f0861456ba0cfb19877"/>
    <w:p>
      <w:pPr>
        <w:pStyle w:val="Heading3"/>
        <w:keepNext/>
        <w:keepLines/>
      </w:pPr>
      <w:r>
        <w:rPr>
          <w:color w:val="000000"/>
          <w:lang w:val="es-ES"/>
        </w:rPr>
        <w:t xml:space="preserve">2.2 Transcripciones (segmentos, versiones, correcciones, capítulos, diarios)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s-ES"/>
              </w:rPr>
              <w:t xml:space="preserve">paso</w:t>
            </w:r>
          </w:p>
        </w:tc>
        <w:tc>
          <w:tcPr>
            <w:tcW w:type="dxa" w:w="1872"/>
            <w:tcMar>
              <w:left w:type="dxa" w:w="80"/>
              <w:right w:type="dxa" w:w="80"/>
            </w:tcMar>
          </w:tcPr>
          <w:p>
            <w:pPr>
              <w:pStyle w:val="Compact"/>
            </w:pPr>
            <w:r>
              <w:rPr>
                <w:sz w:val="19"/>
                <w:szCs w:val="19"/>
                <w:lang w:val="es-ES"/>
              </w:rPr>
              <w:t xml:space="preserve">Actor/componente</w:t>
            </w:r>
          </w:p>
        </w:tc>
        <w:tc>
          <w:tcPr>
            <w:tcW w:type="dxa" w:w="1872"/>
            <w:tcMar>
              <w:left w:type="dxa" w:w="80"/>
              <w:right w:type="dxa" w:w="80"/>
            </w:tcMar>
          </w:tcPr>
          <w:p>
            <w:pPr>
              <w:pStyle w:val="Compact"/>
            </w:pPr>
            <w:r>
              <w:rPr>
                <w:sz w:val="19"/>
                <w:szCs w:val="19"/>
                <w:lang w:val="es-ES"/>
              </w:rPr>
              <w:t xml:space="preserve">Ubicación</w:t>
            </w:r>
          </w:p>
        </w:tc>
        <w:tc>
          <w:tcPr>
            <w:tcW w:type="dxa" w:w="1872"/>
            <w:tcMar>
              <w:left w:type="dxa" w:w="80"/>
              <w:right w:type="dxa" w:w="80"/>
            </w:tcMar>
          </w:tcPr>
          <w:p>
            <w:pPr>
              <w:pStyle w:val="Compact"/>
            </w:pPr>
            <w:r>
              <w:rPr>
                <w:sz w:val="19"/>
                <w:szCs w:val="19"/>
                <w:lang w:val="es-ES"/>
              </w:rPr>
              <w:t xml:space="preserve">Cifrado</w:t>
            </w:r>
          </w:p>
        </w:tc>
        <w:tc>
          <w:tcPr>
            <w:tcW w:type="dxa" w:w="1872"/>
            <w:tcMar>
              <w:left w:type="dxa" w:w="80"/>
              <w:right w:type="dxa" w:w="80"/>
            </w:tcMar>
          </w:tcPr>
          <w:p>
            <w:pPr>
              <w:pStyle w:val="Compact"/>
            </w:pPr>
            <w:r>
              <w:rPr>
                <w:sz w:val="19"/>
                <w:szCs w:val="19"/>
                <w:lang w:val="es-ES"/>
              </w:rPr>
              <w:t xml:space="preserve">Duración en la etapa</w:t>
            </w:r>
          </w:p>
        </w:tc>
      </w:tr>
      <w:tr>
        <w:trPr>
          <w:cantSplit/>
        </w:trPr>
        <w:tc>
          <w:tcPr>
            <w:tcW w:type="dxa" w:w="1872"/>
            <w:tcMar>
              <w:left w:type="dxa" w:w="80"/>
              <w:right w:type="dxa" w:w="80"/>
            </w:tcMar>
          </w:tcPr>
          <w:p>
            <w:pPr>
              <w:pStyle w:val="Compact"/>
            </w:pPr>
            <w:r>
              <w:rPr>
                <w:sz w:val="19"/>
                <w:szCs w:val="19"/>
                <w:lang w:val="es-ES"/>
              </w:rPr>
              <w:t xml:space="preserve">Generación</w:t>
            </w:r>
          </w:p>
        </w:tc>
        <w:tc>
          <w:tcPr>
            <w:tcW w:type="dxa" w:w="1872"/>
            <w:tcMar>
              <w:left w:type="dxa" w:w="80"/>
              <w:right w:type="dxa" w:w="80"/>
            </w:tcMar>
          </w:tcPr>
          <w:p>
            <w:pPr>
              <w:pStyle w:val="Compact"/>
            </w:pPr>
            <w:r>
              <w:rPr>
                <w:sz w:val="19"/>
                <w:szCs w:val="19"/>
                <w:lang w:val="es-ES"/>
              </w:rPr>
              <w:t xml:space="preserve">Trabajador de transcripción (whisperX + pyannote)</w:t>
            </w:r>
          </w:p>
        </w:tc>
        <w:tc>
          <w:tcPr>
            <w:tcW w:type="dxa" w:w="1872"/>
            <w:tcMar>
              <w:left w:type="dxa" w:w="80"/>
              <w:right w:type="dxa" w:w="80"/>
            </w:tcMar>
          </w:tcPr>
          <w:p>
            <w:pPr>
              <w:pStyle w:val="Compact"/>
            </w:pPr>
            <w:r>
              <w:rPr>
                <w:sz w:val="19"/>
                <w:szCs w:val="19"/>
                <w:lang w:val="es-ES"/>
              </w:rPr>
              <w:t xml:space="preserve">GPU UE dedicada (opción A) / GPU local (opción B)</w:t>
            </w:r>
          </w:p>
        </w:tc>
        <w:tc>
          <w:tcPr>
            <w:tcW w:type="dxa" w:w="1872"/>
            <w:tcMar>
              <w:left w:type="dxa" w:w="80"/>
              <w:right w:type="dxa" w:w="80"/>
            </w:tcMar>
          </w:tcPr>
          <w:p>
            <w:pPr>
              <w:pStyle w:val="Compact"/>
            </w:pPr>
            <w:r>
              <w:rPr>
                <w:sz w:val="19"/>
                <w:szCs w:val="19"/>
                <w:lang w:val="es-ES"/>
              </w:rPr>
              <w:t xml:space="preserve">TLS entre componentes</w:t>
            </w:r>
          </w:p>
        </w:tc>
        <w:tc>
          <w:tcPr>
            <w:tcW w:type="dxa" w:w="1872"/>
            <w:tcMar>
              <w:left w:type="dxa" w:w="80"/>
              <w:right w:type="dxa" w:w="80"/>
            </w:tcMar>
          </w:tcPr>
          <w:p>
            <w:pPr>
              <w:pStyle w:val="Compact"/>
            </w:pPr>
            <w:r>
              <w:rPr>
                <w:sz w:val="19"/>
                <w:szCs w:val="19"/>
                <w:lang w:val="es-ES"/>
              </w:rPr>
              <w:t xml:space="preserve">tiempo de trabajo</w:t>
            </w:r>
          </w:p>
        </w:tc>
      </w:tr>
      <w:tr>
        <w:trPr>
          <w:cantSplit/>
        </w:trPr>
        <w:tc>
          <w:tcPr>
            <w:tcW w:type="dxa" w:w="1872"/>
            <w:tcMar>
              <w:left w:type="dxa" w:w="80"/>
              <w:right w:type="dxa" w:w="80"/>
            </w:tcMar>
          </w:tcPr>
          <w:p>
            <w:pPr>
              <w:pStyle w:val="Compact"/>
            </w:pPr>
            <w:r>
              <w:rPr>
                <w:sz w:val="19"/>
                <w:szCs w:val="19"/>
                <w:lang w:val="es-ES"/>
              </w:rPr>
              <w:t xml:space="preserve">Regresar</w:t>
            </w:r>
          </w:p>
        </w:tc>
        <w:tc>
          <w:tcPr>
            <w:tcW w:type="dxa" w:w="1872"/>
            <w:tcMar>
              <w:left w:type="dxa" w:w="80"/>
              <w:right w:type="dxa" w:w="80"/>
            </w:tcMar>
          </w:tcPr>
          <w:p>
            <w:pPr>
              <w:pStyle w:val="Compact"/>
            </w:pPr>
            <w:r>
              <w:rPr>
                <w:rStyle w:val="VerbatimChar"/>
                <w:sz w:val="19"/>
                <w:szCs w:val="19"/>
                <w:lang w:val="es-ES"/>
              </w:rPr>
              <w:t xml:space="preserve">POST /complete</w:t>
            </w:r>
            <w:r>
              <w:rPr>
                <w:sz w:val="19"/>
                <w:szCs w:val="19"/>
                <w:lang w:val="es-ES"/>
              </w:rPr>
              <w:t xml:space="preserve"> </w:t>
            </w:r>
            <w:r>
              <w:rPr>
                <w:sz w:val="19"/>
                <w:szCs w:val="19"/>
                <w:lang w:val="es-ES"/>
              </w:rPr>
              <w:t xml:space="preserve">(segmentos JSON) → aplicación</w:t>
            </w:r>
          </w:p>
        </w:tc>
        <w:tc>
          <w:tcPr>
            <w:tcW w:type="dxa" w:w="1872"/>
            <w:tcMar>
              <w:left w:type="dxa" w:w="80"/>
              <w:right w:type="dxa" w:w="80"/>
            </w:tcMar>
          </w:tcPr>
          <w:p>
            <w:pPr>
              <w:pStyle w:val="Compact"/>
            </w:pPr>
            <w:r>
              <w:rPr>
                <w:sz w:val="19"/>
                <w:szCs w:val="19"/>
                <w:lang w:val="es-ES"/>
              </w:rPr>
              <w:t xml:space="preserve">Infraestructura de servidor/cliente de producción</w:t>
            </w:r>
          </w:p>
        </w:tc>
        <w:tc>
          <w:tcPr>
            <w:tcW w:type="dxa" w:w="1872"/>
            <w:tcMar>
              <w:left w:type="dxa" w:w="80"/>
              <w:right w:type="dxa" w:w="80"/>
            </w:tcMar>
          </w:tcPr>
          <w:p>
            <w:pPr>
              <w:pStyle w:val="Compact"/>
            </w:pPr>
            <w:r>
              <w:rPr>
                <w:sz w:val="19"/>
                <w:szCs w:val="19"/>
                <w:lang w:val="es-ES"/>
              </w:rPr>
              <w:t xml:space="preserve">TLS</w:t>
            </w:r>
          </w:p>
        </w:tc>
        <w:tc>
          <w:tcPr>
            <w:tcW w:type="dxa" w:w="1872"/>
            <w:tcMar>
              <w:left w:type="dxa" w:w="80"/>
              <w:right w:type="dxa" w:w="80"/>
            </w:tcMar>
          </w:tcPr>
          <w:p>
            <w:pPr>
              <w:pStyle w:val="Compact"/>
            </w:pPr>
            <w:r>
              <w:rPr>
                <w:sz w:val="19"/>
                <w:szCs w:val="19"/>
                <w:lang w:val="es-ES"/>
              </w:rPr>
              <w:t xml:space="preserve">transitorio</w:t>
            </w:r>
          </w:p>
        </w:tc>
      </w:tr>
      <w:tr>
        <w:trPr>
          <w:cantSplit/>
        </w:trPr>
        <w:tc>
          <w:tcPr>
            <w:tcW w:type="dxa" w:w="1872"/>
            <w:tcMar>
              <w:left w:type="dxa" w:w="80"/>
              <w:right w:type="dxa" w:w="80"/>
            </w:tcMar>
          </w:tcPr>
          <w:p>
            <w:pPr>
              <w:pStyle w:val="Compact"/>
            </w:pPr>
            <w:r>
              <w:rPr>
                <w:sz w:val="19"/>
                <w:szCs w:val="19"/>
                <w:lang w:val="es-ES"/>
              </w:rPr>
              <w:t xml:space="preserve">Almacenamiento</w:t>
            </w:r>
          </w:p>
        </w:tc>
        <w:tc>
          <w:tcPr>
            <w:tcW w:type="dxa" w:w="1872"/>
            <w:tcMar>
              <w:left w:type="dxa" w:w="80"/>
              <w:right w:type="dxa" w:w="80"/>
            </w:tcMar>
          </w:tcPr>
          <w:p>
            <w:pPr>
              <w:pStyle w:val="Compact"/>
            </w:pPr>
            <w:r>
              <w:rPr>
                <w:sz w:val="19"/>
                <w:szCs w:val="19"/>
                <w:lang w:val="es-ES"/>
              </w:rPr>
              <w:t xml:space="preserve">PostgreSQL (esquema dedicado a la organización)</w:t>
            </w:r>
          </w:p>
        </w:tc>
        <w:tc>
          <w:tcPr>
            <w:tcW w:type="dxa" w:w="1872"/>
            <w:tcMar>
              <w:left w:type="dxa" w:w="80"/>
              <w:right w:type="dxa" w:w="80"/>
            </w:tcMar>
          </w:tcPr>
          <w:p>
            <w:pPr>
              <w:pStyle w:val="Compact"/>
            </w:pPr>
            <w:r>
              <w:rPr>
                <w:sz w:val="19"/>
                <w:szCs w:val="19"/>
                <w:lang w:val="es-ES"/>
              </w:rPr>
              <w:t xml:space="preserve">Servidor de producción, Francia</w:t>
            </w:r>
          </w:p>
        </w:tc>
        <w:tc>
          <w:tcPr>
            <w:tcW w:type="dxa" w:w="1872"/>
            <w:tcMar>
              <w:left w:type="dxa" w:w="80"/>
              <w:right w:type="dxa" w:w="80"/>
            </w:tcMar>
          </w:tcPr>
          <w:p>
            <w:pPr>
              <w:pStyle w:val="Compact"/>
            </w:pPr>
            <w:r>
              <w:rPr>
                <w:sz w:val="19"/>
                <w:szCs w:val="19"/>
                <w:lang w:val="es-ES"/>
              </w:rPr>
              <w:t xml:space="preserve">En reposo (ver §1)</w:t>
            </w:r>
          </w:p>
        </w:tc>
        <w:tc>
          <w:tcPr>
            <w:tcW w:type="dxa" w:w="1872"/>
            <w:tcMar>
              <w:left w:type="dxa" w:w="80"/>
              <w:right w:type="dxa" w:w="80"/>
            </w:tcMar>
          </w:tcPr>
          <w:p>
            <w:pPr>
              <w:pStyle w:val="Compact"/>
            </w:pPr>
            <w:r>
              <w:rPr>
                <w:sz w:val="19"/>
                <w:szCs w:val="19"/>
                <w:lang w:val="es-ES"/>
              </w:rPr>
              <w:t xml:space="preserve">Establecer duración / duración del contrato</w:t>
            </w:r>
          </w:p>
        </w:tc>
      </w:tr>
      <w:tr>
        <w:trPr>
          <w:cantSplit/>
        </w:trPr>
        <w:tc>
          <w:tcPr>
            <w:tcW w:type="dxa" w:w="1872"/>
            <w:tcMar>
              <w:left w:type="dxa" w:w="80"/>
              <w:right w:type="dxa" w:w="80"/>
            </w:tcMar>
          </w:tcPr>
          <w:p>
            <w:pPr>
              <w:pStyle w:val="Compact"/>
            </w:pPr>
            <w:r>
              <w:rPr>
                <w:sz w:val="19"/>
                <w:szCs w:val="19"/>
                <w:lang w:val="es-ES"/>
              </w:rPr>
              <w:t xml:space="preserve">Operación</w:t>
            </w:r>
          </w:p>
        </w:tc>
        <w:tc>
          <w:tcPr>
            <w:tcW w:type="dxa" w:w="1872"/>
            <w:tcMar>
              <w:left w:type="dxa" w:w="80"/>
              <w:right w:type="dxa" w:w="80"/>
            </w:tcMar>
          </w:tcPr>
          <w:p>
            <w:pPr>
              <w:pStyle w:val="Compact"/>
            </w:pPr>
            <w:r>
              <w:rPr>
                <w:sz w:val="19"/>
                <w:szCs w:val="19"/>
                <w:lang w:val="es-ES"/>
              </w:rPr>
              <w:t xml:space="preserve">Edición, corrección, versionado por parte del usuario.</w:t>
            </w:r>
          </w:p>
        </w:tc>
        <w:tc>
          <w:tcPr>
            <w:tcW w:type="dxa" w:w="1872"/>
            <w:tcMar>
              <w:left w:type="dxa" w:w="80"/>
              <w:right w:type="dxa" w:w="80"/>
            </w:tcMar>
          </w:tcPr>
          <w:p>
            <w:pPr>
              <w:pStyle w:val="Compact"/>
            </w:pPr>
            <w:r>
              <w:rPr>
                <w:sz w:val="19"/>
                <w:szCs w:val="19"/>
                <w:lang w:val="es-ES"/>
              </w:rPr>
              <w:t xml:space="preserve">Infraestructura de servidor/cliente de producción</w:t>
            </w:r>
          </w:p>
        </w:tc>
        <w:tc>
          <w:tcPr>
            <w:tcW w:type="dxa" w:w="1872"/>
            <w:tcMar>
              <w:left w:type="dxa" w:w="80"/>
              <w:right w:type="dxa" w:w="80"/>
            </w:tcMar>
          </w:tcPr>
          <w:p>
            <w:pPr>
              <w:pStyle w:val="Compact"/>
            </w:pPr>
            <w:r>
              <w:rPr>
                <w:sz w:val="19"/>
                <w:szCs w:val="19"/>
                <w:lang w:val="es-ES"/>
              </w:rPr>
              <w:t xml:space="preserve">TLS</w:t>
            </w:r>
          </w:p>
        </w:tc>
        <w:tc>
          <w:tcPr>
            <w:tcW w:type="dxa" w:w="1872"/>
            <w:tcMar>
              <w:left w:type="dxa" w:w="80"/>
              <w:right w:type="dxa" w:w="80"/>
            </w:tcMar>
          </w:tcPr>
          <w:p>
            <w:pPr>
              <w:pStyle w:val="Compact"/>
            </w:pPr>
            <w:r>
              <w:rPr>
                <w:sz w:val="19"/>
                <w:szCs w:val="19"/>
                <w:lang w:val="es-ES"/>
              </w:rPr>
              <w:t xml:space="preserve">Lo mismo</w:t>
            </w:r>
          </w:p>
        </w:tc>
      </w:tr>
      <w:tr>
        <w:trPr>
          <w:cantSplit/>
        </w:trPr>
        <w:tc>
          <w:tcPr>
            <w:tcW w:type="dxa" w:w="1872"/>
            <w:tcMar>
              <w:left w:type="dxa" w:w="80"/>
              <w:right w:type="dxa" w:w="80"/>
            </w:tcMar>
          </w:tcPr>
          <w:p>
            <w:pPr>
              <w:pStyle w:val="Compact"/>
            </w:pPr>
            <w:r>
              <w:rPr>
                <w:sz w:val="19"/>
                <w:szCs w:val="19"/>
                <w:lang w:val="es-ES"/>
              </w:rPr>
              <w:t xml:space="preserve">Copia de seguridad</w:t>
            </w:r>
          </w:p>
        </w:tc>
        <w:tc>
          <w:tcPr>
            <w:tcW w:type="dxa" w:w="1872"/>
            <w:tcMar>
              <w:left w:type="dxa" w:w="80"/>
              <w:right w:type="dxa" w:w="80"/>
            </w:tcMar>
          </w:tcPr>
          <w:p>
            <w:pPr>
              <w:pStyle w:val="Compact"/>
            </w:pPr>
            <w:r>
              <w:rPr>
                <w:sz w:val="19"/>
                <w:szCs w:val="19"/>
                <w:lang w:val="es-ES"/>
              </w:rPr>
              <w:t xml:space="preserve">age → rclone</w:t>
            </w:r>
          </w:p>
        </w:tc>
        <w:tc>
          <w:tcPr>
            <w:tcW w:type="dxa" w:w="1872"/>
            <w:tcMar>
              <w:left w:type="dxa" w:w="80"/>
              <w:right w:type="dxa" w:w="80"/>
            </w:tcMar>
          </w:tcPr>
          <w:p>
            <w:pPr>
              <w:pStyle w:val="Compact"/>
            </w:pPr>
            <w:r>
              <w:rPr>
                <w:sz w:val="19"/>
                <w:szCs w:val="19"/>
                <w:lang w:val="es-ES"/>
              </w:rPr>
              <w:t xml:space="preserve">Scaleway (Francia, UE) (Opción A)</w:t>
            </w:r>
          </w:p>
        </w:tc>
        <w:tc>
          <w:tcPr>
            <w:tcW w:type="dxa" w:w="1872"/>
            <w:tcMar>
              <w:left w:type="dxa" w:w="80"/>
              <w:right w:type="dxa" w:w="80"/>
            </w:tcMar>
          </w:tcPr>
          <w:p>
            <w:pPr>
              <w:pStyle w:val="Compact"/>
            </w:pPr>
            <w:r>
              <w:rPr>
                <w:sz w:val="19"/>
                <w:szCs w:val="19"/>
                <w:lang w:val="es-ES"/>
              </w:rPr>
              <w:t xml:space="preserve">age</w:t>
            </w:r>
          </w:p>
        </w:tc>
        <w:tc>
          <w:tcPr>
            <w:tcW w:type="dxa" w:w="1872"/>
            <w:tcMar>
              <w:left w:type="dxa" w:w="80"/>
              <w:right w:type="dxa" w:w="80"/>
            </w:tcMar>
          </w:tcPr>
          <w:p>
            <w:pPr>
              <w:pStyle w:val="Compact"/>
            </w:pPr>
            <w:r>
              <w:rPr>
                <w:sz w:val="19"/>
                <w:szCs w:val="19"/>
                <w:lang w:val="es-ES"/>
              </w:rPr>
              <w:t xml:space="preserve">≤ 90 j</w:t>
            </w:r>
          </w:p>
        </w:tc>
      </w:tr>
    </w:tbl>
    <w:bookmarkEnd w:id="63"/>
    <w:bookmarkStart w:id="64" w:name="Xae01f554397da6c2da74971edeb9ac8502cc0e8"/>
    <w:p>
      <w:pPr>
        <w:pStyle w:val="Heading3"/>
        <w:keepNext/>
        <w:keepLines/>
      </w:pPr>
      <w:r>
        <w:rPr>
          <w:color w:val="000000"/>
          <w:lang w:val="es-ES"/>
        </w:rPr>
        <w:t xml:space="preserve">2.3 Resúmenes y generaciones de IA (actas, capítulos, análisis)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s-ES"/>
              </w:rPr>
              <w:t xml:space="preserve">paso</w:t>
            </w:r>
          </w:p>
        </w:tc>
        <w:tc>
          <w:tcPr>
            <w:tcW w:type="dxa" w:w="1872"/>
            <w:tcMar>
              <w:left w:type="dxa" w:w="80"/>
              <w:right w:type="dxa" w:w="80"/>
            </w:tcMar>
          </w:tcPr>
          <w:p>
            <w:pPr>
              <w:pStyle w:val="Compact"/>
            </w:pPr>
            <w:r>
              <w:rPr>
                <w:sz w:val="19"/>
                <w:szCs w:val="19"/>
                <w:lang w:val="es-ES"/>
              </w:rPr>
              <w:t xml:space="preserve">Actor/componente</w:t>
            </w:r>
          </w:p>
        </w:tc>
        <w:tc>
          <w:tcPr>
            <w:tcW w:type="dxa" w:w="1872"/>
            <w:tcMar>
              <w:left w:type="dxa" w:w="80"/>
              <w:right w:type="dxa" w:w="80"/>
            </w:tcMar>
          </w:tcPr>
          <w:p>
            <w:pPr>
              <w:pStyle w:val="Compact"/>
            </w:pPr>
            <w:r>
              <w:rPr>
                <w:sz w:val="19"/>
                <w:szCs w:val="19"/>
                <w:lang w:val="es-ES"/>
              </w:rPr>
              <w:t xml:space="preserve">Ubicación</w:t>
            </w:r>
          </w:p>
        </w:tc>
        <w:tc>
          <w:tcPr>
            <w:tcW w:type="dxa" w:w="1872"/>
            <w:tcMar>
              <w:left w:type="dxa" w:w="80"/>
              <w:right w:type="dxa" w:w="80"/>
            </w:tcMar>
          </w:tcPr>
          <w:p>
            <w:pPr>
              <w:pStyle w:val="Compact"/>
            </w:pPr>
            <w:r>
              <w:rPr>
                <w:sz w:val="19"/>
                <w:szCs w:val="19"/>
                <w:lang w:val="es-ES"/>
              </w:rPr>
              <w:t xml:space="preserve">Cifrado</w:t>
            </w:r>
          </w:p>
        </w:tc>
        <w:tc>
          <w:tcPr>
            <w:tcW w:type="dxa" w:w="1872"/>
            <w:tcMar>
              <w:left w:type="dxa" w:w="80"/>
              <w:right w:type="dxa" w:w="80"/>
            </w:tcMar>
          </w:tcPr>
          <w:p>
            <w:pPr>
              <w:pStyle w:val="Compact"/>
            </w:pPr>
            <w:r>
              <w:rPr>
                <w:sz w:val="19"/>
                <w:szCs w:val="19"/>
                <w:lang w:val="es-ES"/>
              </w:rPr>
              <w:t xml:space="preserve">Duración en la etapa</w:t>
            </w:r>
          </w:p>
        </w:tc>
      </w:tr>
      <w:tr>
        <w:trPr>
          <w:cantSplit/>
        </w:trPr>
        <w:tc>
          <w:tcPr>
            <w:tcW w:type="dxa" w:w="1872"/>
            <w:tcMar>
              <w:left w:type="dxa" w:w="80"/>
              <w:right w:type="dxa" w:w="80"/>
            </w:tcMar>
          </w:tcPr>
          <w:p>
            <w:pPr>
              <w:pStyle w:val="Compact"/>
            </w:pPr>
            <w:r>
              <w:rPr>
                <w:sz w:val="19"/>
                <w:szCs w:val="19"/>
                <w:lang w:val="es-ES"/>
              </w:rPr>
              <w:t xml:space="preserve">Activación</w:t>
            </w:r>
          </w:p>
        </w:tc>
        <w:tc>
          <w:tcPr>
            <w:tcW w:type="dxa" w:w="1872"/>
            <w:tcMar>
              <w:left w:type="dxa" w:w="80"/>
              <w:right w:type="dxa" w:w="80"/>
            </w:tcMar>
          </w:tcPr>
          <w:p>
            <w:pPr>
              <w:pStyle w:val="Compact"/>
            </w:pPr>
            <w:r>
              <w:rPr>
                <w:sz w:val="19"/>
                <w:szCs w:val="19"/>
                <w:lang w:val="es-ES"/>
              </w:rPr>
              <w:t xml:space="preserve">El usuario selecciona fuentes</w:t>
            </w:r>
          </w:p>
        </w:tc>
        <w:tc>
          <w:tcPr>
            <w:tcW w:type="dxa" w:w="1872"/>
            <w:tcMar>
              <w:left w:type="dxa" w:w="80"/>
              <w:right w:type="dxa" w:w="80"/>
            </w:tcMar>
          </w:tcPr>
          <w:p>
            <w:pPr>
              <w:pStyle w:val="Compact"/>
            </w:pPr>
            <w:r>
              <w:rPr>
                <w:sz w:val="19"/>
                <w:szCs w:val="19"/>
                <w:lang w:val="es-ES"/>
              </w:rPr>
              <w:t xml:space="preserve">Infraestructura de servidor/cliente de producción</w:t>
            </w:r>
          </w:p>
        </w:tc>
        <w:tc>
          <w:tcPr>
            <w:tcW w:type="dxa" w:w="1872"/>
            <w:tcMar>
              <w:left w:type="dxa" w:w="80"/>
              <w:right w:type="dxa" w:w="80"/>
            </w:tcMar>
          </w:tcPr>
          <w:p>
            <w:pPr>
              <w:pStyle w:val="Compact"/>
            </w:pPr>
            <w:r>
              <w:rPr>
                <w:sz w:val="19"/>
                <w:szCs w:val="19"/>
                <w:lang w:val="es-ES"/>
              </w:rPr>
              <w:t xml:space="preserve">TLS</w:t>
            </w:r>
          </w:p>
        </w:tc>
        <w:tc>
          <w:tcPr>
            <w:tcW w:type="dxa" w:w="1872"/>
            <w:tcMar>
              <w:left w:type="dxa" w:w="80"/>
              <w:right w:type="dxa" w:w="80"/>
            </w:tcMar>
          </w:tcPr>
          <w:p>
            <w:pPr>
              <w:pStyle w:val="Compact"/>
            </w:pPr>
            <w:r>
              <w:rPr>
                <w:sz w:val="19"/>
                <w:szCs w:val="19"/>
                <w:lang w:val="es-ES"/>
              </w:rPr>
              <w:t xml:space="preserve">—</w:t>
            </w:r>
          </w:p>
        </w:tc>
      </w:tr>
      <w:tr>
        <w:trPr>
          <w:cantSplit/>
        </w:trPr>
        <w:tc>
          <w:tcPr>
            <w:tcW w:type="dxa" w:w="1872"/>
            <w:tcMar>
              <w:left w:type="dxa" w:w="80"/>
              <w:right w:type="dxa" w:w="80"/>
            </w:tcMar>
          </w:tcPr>
          <w:p>
            <w:pPr>
              <w:pStyle w:val="Compact"/>
            </w:pPr>
            <w:r>
              <w:rPr>
                <w:sz w:val="19"/>
                <w:szCs w:val="19"/>
                <w:lang w:val="es-ES"/>
              </w:rPr>
              <w:t xml:space="preserve">Enviar al modelo</w:t>
            </w:r>
          </w:p>
        </w:tc>
        <w:tc>
          <w:tcPr>
            <w:tcW w:type="dxa" w:w="1872"/>
            <w:tcMar>
              <w:left w:type="dxa" w:w="80"/>
              <w:right w:type="dxa" w:w="80"/>
            </w:tcMar>
          </w:tcPr>
          <w:p>
            <w:pPr>
              <w:pStyle w:val="Compact"/>
            </w:pPr>
            <w:r>
              <w:rPr>
                <w:b/>
                <w:bCs/>
                <w:sz w:val="19"/>
                <w:szCs w:val="19"/>
                <w:lang w:val="es-ES"/>
              </w:rPr>
              <w:t xml:space="preserve">Ruta principal: servidores vLLM controlados </w:t>
            </w:r>
            <w:r>
              <w:rPr>
                <w:sz w:val="19"/>
                <w:szCs w:val="19"/>
                <w:lang w:val="es-ES"/>
              </w:rPr>
              <w:t xml:space="preserve">(UE); </w:t>
            </w:r>
            <w:r>
              <w:rPr>
                <w:sz w:val="19"/>
                <w:szCs w:val="19"/>
                <w:lang w:val="es-ES"/>
              </w:rPr>
              <w:t xml:space="preserve">respaldo deshabilitable: OpenRouter → proveedor de plantillas; o LLM autohospedado (Opción B)</w:t>
            </w:r>
          </w:p>
        </w:tc>
        <w:tc>
          <w:tcPr>
            <w:tcW w:type="dxa" w:w="1872"/>
            <w:tcMar>
              <w:left w:type="dxa" w:w="80"/>
              <w:right w:type="dxa" w:w="80"/>
            </w:tcMar>
          </w:tcPr>
          <w:p>
            <w:pPr>
              <w:pStyle w:val="Compact"/>
            </w:pPr>
            <w:r>
              <w:rPr>
                <w:sz w:val="19"/>
                <w:szCs w:val="19"/>
                <w:lang w:val="es-ES"/>
              </w:rPr>
              <w:t xml:space="preserve">UE (Estrasburgo/París) en primaria; EE. UU. solo es </w:t>
            </w:r>
            <w:r>
              <w:rPr>
                <w:sz w:val="19"/>
                <w:szCs w:val="19"/>
                <w:lang w:val="es-ES"/>
              </w:rPr>
              <w:t xml:space="preserve"/>
            </w:r>
            <w:r>
              <w:rPr>
                <w:b/>
                <w:bCs/>
                <w:sz w:val="19"/>
                <w:szCs w:val="19"/>
                <w:lang w:val="es-ES"/>
              </w:rPr>
              <w:t xml:space="preserve">posible a través </w:t>
            </w:r>
            <w:r>
              <w:rPr>
                <w:sz w:val="19"/>
                <w:szCs w:val="19"/>
                <w:lang w:val="es-ES"/>
              </w:rPr>
              <w:t xml:space="preserve"/>
            </w:r>
            <w:r>
              <w:rPr>
                <w:sz w:val="19"/>
                <w:szCs w:val="19"/>
                <w:lang w:val="es-ES"/>
              </w:rPr>
              <w:t xml:space="preserve">del respaldo de OpenRouter</w:t>
            </w:r>
          </w:p>
        </w:tc>
        <w:tc>
          <w:tcPr>
            <w:tcW w:type="dxa" w:w="1872"/>
            <w:tcMar>
              <w:left w:type="dxa" w:w="80"/>
              <w:right w:type="dxa" w:w="80"/>
            </w:tcMar>
          </w:tcPr>
          <w:p>
            <w:pPr>
              <w:pStyle w:val="Compact"/>
            </w:pPr>
            <w:r>
              <w:rPr>
                <w:sz w:val="19"/>
                <w:szCs w:val="19"/>
                <w:lang w:val="es-ES"/>
              </w:rPr>
              <w:t xml:space="preserve">TLS; sin entrenamiento («no-train»); minimización</w:t>
            </w:r>
          </w:p>
        </w:tc>
        <w:tc>
          <w:tcPr>
            <w:tcW w:type="dxa" w:w="1872"/>
            <w:tcMar>
              <w:left w:type="dxa" w:w="80"/>
              <w:right w:type="dxa" w:w="80"/>
            </w:tcMar>
          </w:tcPr>
          <w:p>
            <w:pPr>
              <w:pStyle w:val="Compact"/>
            </w:pPr>
            <w:r>
              <w:rPr>
                <w:sz w:val="19"/>
                <w:szCs w:val="19"/>
                <w:lang w:val="es-ES"/>
              </w:rPr>
              <w:t xml:space="preserve">El momento de la inferencia; No hay almacenamiento sostenible por parte del proveedor.</w:t>
            </w:r>
          </w:p>
        </w:tc>
      </w:tr>
      <w:tr>
        <w:trPr>
          <w:cantSplit/>
        </w:trPr>
        <w:tc>
          <w:tcPr>
            <w:tcW w:type="dxa" w:w="1872"/>
            <w:tcMar>
              <w:left w:type="dxa" w:w="80"/>
              <w:right w:type="dxa" w:w="80"/>
            </w:tcMar>
          </w:tcPr>
          <w:p>
            <w:pPr>
              <w:pStyle w:val="Compact"/>
            </w:pPr>
            <w:r>
              <w:rPr>
                <w:sz w:val="19"/>
                <w:szCs w:val="19"/>
                <w:lang w:val="es-ES"/>
              </w:rPr>
              <w:t xml:space="preserve">Regresar</w:t>
            </w:r>
          </w:p>
        </w:tc>
        <w:tc>
          <w:tcPr>
            <w:tcW w:type="dxa" w:w="1872"/>
            <w:tcMar>
              <w:left w:type="dxa" w:w="80"/>
              <w:right w:type="dxa" w:w="80"/>
            </w:tcMar>
          </w:tcPr>
          <w:p>
            <w:pPr>
              <w:pStyle w:val="Compact"/>
            </w:pPr>
            <w:r>
              <w:rPr>
                <w:sz w:val="19"/>
                <w:szCs w:val="19"/>
                <w:lang w:val="es-ES"/>
              </w:rPr>
              <w:t xml:space="preserve">Respuesta generada → aplicación</w:t>
            </w:r>
          </w:p>
        </w:tc>
        <w:tc>
          <w:tcPr>
            <w:tcW w:type="dxa" w:w="1872"/>
            <w:tcMar>
              <w:left w:type="dxa" w:w="80"/>
              <w:right w:type="dxa" w:w="80"/>
            </w:tcMar>
          </w:tcPr>
          <w:p>
            <w:pPr>
              <w:pStyle w:val="Compact"/>
            </w:pPr>
            <w:r>
              <w:rPr>
                <w:sz w:val="19"/>
                <w:szCs w:val="19"/>
                <w:lang w:val="es-ES"/>
              </w:rPr>
              <w:t xml:space="preserve">Infraestructura de servidor/cliente de producción</w:t>
            </w:r>
          </w:p>
        </w:tc>
        <w:tc>
          <w:tcPr>
            <w:tcW w:type="dxa" w:w="1872"/>
            <w:tcMar>
              <w:left w:type="dxa" w:w="80"/>
              <w:right w:type="dxa" w:w="80"/>
            </w:tcMar>
          </w:tcPr>
          <w:p>
            <w:pPr>
              <w:pStyle w:val="Compact"/>
            </w:pPr>
            <w:r>
              <w:rPr>
                <w:sz w:val="19"/>
                <w:szCs w:val="19"/>
                <w:lang w:val="es-ES"/>
              </w:rPr>
              <w:t xml:space="preserve">TLS</w:t>
            </w:r>
          </w:p>
        </w:tc>
        <w:tc>
          <w:tcPr>
            <w:tcW w:type="dxa" w:w="1872"/>
            <w:tcMar>
              <w:left w:type="dxa" w:w="80"/>
              <w:right w:type="dxa" w:w="80"/>
            </w:tcMar>
          </w:tcPr>
          <w:p>
            <w:pPr>
              <w:pStyle w:val="Compact"/>
            </w:pPr>
            <w:r>
              <w:rPr>
                <w:sz w:val="19"/>
                <w:szCs w:val="19"/>
                <w:lang w:val="es-ES"/>
              </w:rPr>
              <w:t xml:space="preserve">transitorio</w:t>
            </w:r>
          </w:p>
        </w:tc>
      </w:tr>
      <w:tr>
        <w:trPr>
          <w:cantSplit/>
        </w:trPr>
        <w:tc>
          <w:tcPr>
            <w:tcW w:type="dxa" w:w="1872"/>
            <w:tcMar>
              <w:left w:type="dxa" w:w="80"/>
              <w:right w:type="dxa" w:w="80"/>
            </w:tcMar>
          </w:tcPr>
          <w:p>
            <w:pPr>
              <w:pStyle w:val="Compact"/>
            </w:pPr>
            <w:r>
              <w:rPr>
                <w:sz w:val="19"/>
                <w:szCs w:val="19"/>
                <w:lang w:val="es-ES"/>
              </w:rPr>
              <w:t xml:space="preserve">Almacenamiento</w:t>
            </w:r>
          </w:p>
        </w:tc>
        <w:tc>
          <w:tcPr>
            <w:tcW w:type="dxa" w:w="1872"/>
            <w:tcMar>
              <w:left w:type="dxa" w:w="80"/>
              <w:right w:type="dxa" w:w="80"/>
            </w:tcMar>
          </w:tcPr>
          <w:p>
            <w:pPr>
              <w:pStyle w:val="Compact"/>
            </w:pPr>
            <w:r>
              <w:rPr>
                <w:sz w:val="19"/>
                <w:szCs w:val="19"/>
                <w:lang w:val="es-ES"/>
              </w:rPr>
              <w:t xml:space="preserve">Tabla </w:t>
            </w:r>
            <w:r>
              <w:rPr>
                <w:sz w:val="19"/>
                <w:szCs w:val="19"/>
                <w:lang w:val="es-ES"/>
              </w:rPr>
              <w:t xml:space="preserve"/>
            </w:r>
            <w:r>
              <w:rPr>
                <w:rStyle w:val="VerbatimChar"/>
                <w:sz w:val="19"/>
                <w:szCs w:val="19"/>
                <w:lang w:val="es-ES"/>
              </w:rPr>
              <w:t xml:space="preserve">ai_generations</w:t>
            </w:r>
            <w:r>
              <w:rPr>
                <w:sz w:val="19"/>
                <w:szCs w:val="19"/>
                <w:lang w:val="es-ES"/>
              </w:rPr>
              <w:t xml:space="preserve"> </w:t>
            </w:r>
            <w:r>
              <w:rPr>
                <w:sz w:val="19"/>
                <w:szCs w:val="19"/>
                <w:lang w:val="es-ES"/>
              </w:rPr>
              <w:t xml:space="preserve">(holding)</w:t>
            </w:r>
          </w:p>
        </w:tc>
        <w:tc>
          <w:tcPr>
            <w:tcW w:type="dxa" w:w="1872"/>
            <w:tcMar>
              <w:left w:type="dxa" w:w="80"/>
              <w:right w:type="dxa" w:w="80"/>
            </w:tcMar>
          </w:tcPr>
          <w:p>
            <w:pPr>
              <w:pStyle w:val="Compact"/>
            </w:pPr>
            <w:r>
              <w:rPr>
                <w:sz w:val="19"/>
                <w:szCs w:val="19"/>
                <w:lang w:val="es-ES"/>
              </w:rPr>
              <w:t xml:space="preserve">PostgreSQL, servidor de producción Francia</w:t>
            </w:r>
          </w:p>
        </w:tc>
        <w:tc>
          <w:tcPr>
            <w:tcW w:type="dxa" w:w="1872"/>
            <w:tcMar>
              <w:left w:type="dxa" w:w="80"/>
              <w:right w:type="dxa" w:w="80"/>
            </w:tcMar>
          </w:tcPr>
          <w:p>
            <w:pPr>
              <w:pStyle w:val="Compact"/>
            </w:pPr>
            <w:r>
              <w:rPr>
                <w:sz w:val="19"/>
                <w:szCs w:val="19"/>
                <w:lang w:val="es-ES"/>
              </w:rPr>
              <w:t xml:space="preserve">En reposo (ver §1)</w:t>
            </w:r>
          </w:p>
        </w:tc>
        <w:tc>
          <w:tcPr>
            <w:tcW w:type="dxa" w:w="1872"/>
            <w:tcMar>
              <w:left w:type="dxa" w:w="80"/>
              <w:right w:type="dxa" w:w="80"/>
            </w:tcMar>
          </w:tcPr>
          <w:p>
            <w:pPr>
              <w:pStyle w:val="Compact"/>
            </w:pPr>
            <w:r>
              <w:rPr>
                <w:sz w:val="19"/>
                <w:szCs w:val="19"/>
                <w:lang w:val="es-ES"/>
              </w:rPr>
              <w:t xml:space="preserve">Establecer duración / duración del contrato</w:t>
            </w:r>
          </w:p>
        </w:tc>
      </w:tr>
      <w:tr>
        <w:trPr>
          <w:cantSplit/>
        </w:trPr>
        <w:tc>
          <w:tcPr>
            <w:tcW w:type="dxa" w:w="1872"/>
            <w:tcMar>
              <w:left w:type="dxa" w:w="80"/>
              <w:right w:type="dxa" w:w="80"/>
            </w:tcMar>
          </w:tcPr>
          <w:p>
            <w:pPr>
              <w:pStyle w:val="Compact"/>
            </w:pPr>
            <w:r>
              <w:rPr>
                <w:sz w:val="19"/>
                <w:szCs w:val="19"/>
                <w:lang w:val="es-ES"/>
              </w:rPr>
              <w:t xml:space="preserve">Copia de seguridad</w:t>
            </w:r>
          </w:p>
        </w:tc>
        <w:tc>
          <w:tcPr>
            <w:tcW w:type="dxa" w:w="1872"/>
            <w:tcMar>
              <w:left w:type="dxa" w:w="80"/>
              <w:right w:type="dxa" w:w="80"/>
            </w:tcMar>
          </w:tcPr>
          <w:p>
            <w:pPr>
              <w:pStyle w:val="Compact"/>
            </w:pPr>
            <w:r>
              <w:rPr>
                <w:sz w:val="19"/>
                <w:szCs w:val="19"/>
                <w:lang w:val="es-ES"/>
              </w:rPr>
              <w:t xml:space="preserve">age → rclone</w:t>
            </w:r>
          </w:p>
        </w:tc>
        <w:tc>
          <w:tcPr>
            <w:tcW w:type="dxa" w:w="1872"/>
            <w:tcMar>
              <w:left w:type="dxa" w:w="80"/>
              <w:right w:type="dxa" w:w="80"/>
            </w:tcMar>
          </w:tcPr>
          <w:p>
            <w:pPr>
              <w:pStyle w:val="Compact"/>
            </w:pPr>
            <w:r>
              <w:rPr>
                <w:sz w:val="19"/>
                <w:szCs w:val="19"/>
                <w:lang w:val="es-ES"/>
              </w:rPr>
              <w:t xml:space="preserve">Scaleway (Francia, UE)</w:t>
            </w:r>
          </w:p>
        </w:tc>
        <w:tc>
          <w:tcPr>
            <w:tcW w:type="dxa" w:w="1872"/>
            <w:tcMar>
              <w:left w:type="dxa" w:w="80"/>
              <w:right w:type="dxa" w:w="80"/>
            </w:tcMar>
          </w:tcPr>
          <w:p>
            <w:pPr>
              <w:pStyle w:val="Compact"/>
            </w:pPr>
            <w:r>
              <w:rPr>
                <w:sz w:val="19"/>
                <w:szCs w:val="19"/>
                <w:lang w:val="es-ES"/>
              </w:rPr>
              <w:t xml:space="preserve">age</w:t>
            </w:r>
          </w:p>
        </w:tc>
        <w:tc>
          <w:tcPr>
            <w:tcW w:type="dxa" w:w="1872"/>
            <w:tcMar>
              <w:left w:type="dxa" w:w="80"/>
              <w:right w:type="dxa" w:w="80"/>
            </w:tcMar>
          </w:tcPr>
          <w:p>
            <w:pPr>
              <w:pStyle w:val="Compact"/>
            </w:pPr>
            <w:r>
              <w:rPr>
                <w:sz w:val="19"/>
                <w:szCs w:val="19"/>
                <w:lang w:val="es-ES"/>
              </w:rPr>
              <w:t xml:space="preserve">≤ 90 j</w:t>
            </w:r>
          </w:p>
        </w:tc>
      </w:tr>
    </w:tbl>
    <w:bookmarkEnd w:id="64"/>
    <w:bookmarkStart w:id="65" w:name="Xf33d00c3bf24ebe4aaf41272309e8f487b00b12"/>
    <w:p>
      <w:pPr>
        <w:pStyle w:val="Heading3"/>
        <w:keepNext/>
        <w:keepLines/>
      </w:pPr>
      <w:r>
        <w:rPr>
          <w:color w:val="000000"/>
          <w:lang w:val="es-ES"/>
        </w:rPr>
        <w:t xml:space="preserve">2.4 Indicaciones y resultados del modelo</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s-ES"/>
              </w:rPr>
              <w:t xml:space="preserve">paso</w:t>
            </w:r>
          </w:p>
        </w:tc>
        <w:tc>
          <w:tcPr>
            <w:tcW w:type="dxa" w:w="1872"/>
            <w:tcMar>
              <w:left w:type="dxa" w:w="80"/>
              <w:right w:type="dxa" w:w="80"/>
            </w:tcMar>
          </w:tcPr>
          <w:p>
            <w:pPr>
              <w:pStyle w:val="Compact"/>
            </w:pPr>
            <w:r>
              <w:rPr>
                <w:sz w:val="19"/>
                <w:szCs w:val="19"/>
                <w:lang w:val="es-ES"/>
              </w:rPr>
              <w:t xml:space="preserve">Actor/componente</w:t>
            </w:r>
          </w:p>
        </w:tc>
        <w:tc>
          <w:tcPr>
            <w:tcW w:type="dxa" w:w="1872"/>
            <w:tcMar>
              <w:left w:type="dxa" w:w="80"/>
              <w:right w:type="dxa" w:w="80"/>
            </w:tcMar>
          </w:tcPr>
          <w:p>
            <w:pPr>
              <w:pStyle w:val="Compact"/>
            </w:pPr>
            <w:r>
              <w:rPr>
                <w:sz w:val="19"/>
                <w:szCs w:val="19"/>
                <w:lang w:val="es-ES"/>
              </w:rPr>
              <w:t xml:space="preserve">Ubicación</w:t>
            </w:r>
          </w:p>
        </w:tc>
        <w:tc>
          <w:tcPr>
            <w:tcW w:type="dxa" w:w="1872"/>
            <w:tcMar>
              <w:left w:type="dxa" w:w="80"/>
              <w:right w:type="dxa" w:w="80"/>
            </w:tcMar>
          </w:tcPr>
          <w:p>
            <w:pPr>
              <w:pStyle w:val="Compact"/>
            </w:pPr>
            <w:r>
              <w:rPr>
                <w:sz w:val="19"/>
                <w:szCs w:val="19"/>
                <w:lang w:val="es-ES"/>
              </w:rPr>
              <w:t xml:space="preserve">Cifrado</w:t>
            </w:r>
          </w:p>
        </w:tc>
        <w:tc>
          <w:tcPr>
            <w:tcW w:type="dxa" w:w="1872"/>
            <w:tcMar>
              <w:left w:type="dxa" w:w="80"/>
              <w:right w:type="dxa" w:w="80"/>
            </w:tcMar>
          </w:tcPr>
          <w:p>
            <w:pPr>
              <w:pStyle w:val="Compact"/>
            </w:pPr>
            <w:r>
              <w:rPr>
                <w:sz w:val="19"/>
                <w:szCs w:val="19"/>
                <w:lang w:val="es-ES"/>
              </w:rPr>
              <w:t xml:space="preserve">Duración en la etapa</w:t>
            </w:r>
          </w:p>
        </w:tc>
      </w:tr>
      <w:tr>
        <w:trPr>
          <w:cantSplit/>
        </w:trPr>
        <w:tc>
          <w:tcPr>
            <w:tcW w:type="dxa" w:w="1872"/>
            <w:tcMar>
              <w:left w:type="dxa" w:w="80"/>
              <w:right w:type="dxa" w:w="80"/>
            </w:tcMar>
          </w:tcPr>
          <w:p>
            <w:pPr>
              <w:pStyle w:val="Compact"/>
            </w:pPr>
            <w:r>
              <w:rPr>
                <w:sz w:val="19"/>
                <w:szCs w:val="19"/>
                <w:lang w:val="es-ES"/>
              </w:rPr>
              <w:t xml:space="preserve">Constitución del aviso.</w:t>
            </w:r>
          </w:p>
        </w:tc>
        <w:tc>
          <w:tcPr>
            <w:tcW w:type="dxa" w:w="1872"/>
            <w:tcMar>
              <w:left w:type="dxa" w:w="80"/>
              <w:right w:type="dxa" w:w="80"/>
            </w:tcMar>
          </w:tcPr>
          <w:p>
            <w:pPr>
              <w:pStyle w:val="Compact"/>
            </w:pPr>
            <w:r>
              <w:rPr>
                <w:sz w:val="19"/>
                <w:szCs w:val="19"/>
                <w:lang w:val="es-ES"/>
              </w:rPr>
              <w:t xml:space="preserve">Aplicación (fuentes seleccionadas por el usuario, minimización)</w:t>
            </w:r>
          </w:p>
        </w:tc>
        <w:tc>
          <w:tcPr>
            <w:tcW w:type="dxa" w:w="1872"/>
            <w:tcMar>
              <w:left w:type="dxa" w:w="80"/>
              <w:right w:type="dxa" w:w="80"/>
            </w:tcMar>
          </w:tcPr>
          <w:p>
            <w:pPr>
              <w:pStyle w:val="Compact"/>
            </w:pPr>
            <w:r>
              <w:rPr>
                <w:sz w:val="19"/>
                <w:szCs w:val="19"/>
                <w:lang w:val="es-ES"/>
              </w:rPr>
              <w:t xml:space="preserve">Infraestructura de servidor/cliente de producción</w:t>
            </w:r>
          </w:p>
        </w:tc>
        <w:tc>
          <w:tcPr>
            <w:tcW w:type="dxa" w:w="1872"/>
            <w:tcMar>
              <w:left w:type="dxa" w:w="80"/>
              <w:right w:type="dxa" w:w="80"/>
            </w:tcMar>
          </w:tcPr>
          <w:p>
            <w:pPr>
              <w:pStyle w:val="Compact"/>
            </w:pPr>
            <w:r>
              <w:rPr>
                <w:sz w:val="19"/>
                <w:szCs w:val="19"/>
                <w:lang w:val="es-ES"/>
              </w:rPr>
              <w:t xml:space="preserve">TLS</w:t>
            </w:r>
          </w:p>
        </w:tc>
        <w:tc>
          <w:tcPr>
            <w:tcW w:type="dxa" w:w="1872"/>
            <w:tcMar>
              <w:left w:type="dxa" w:w="80"/>
              <w:right w:type="dxa" w:w="80"/>
            </w:tcMar>
          </w:tcPr>
          <w:p>
            <w:pPr>
              <w:pStyle w:val="Compact"/>
            </w:pPr>
            <w:r>
              <w:rPr>
                <w:sz w:val="19"/>
                <w:szCs w:val="19"/>
                <w:lang w:val="es-ES"/>
              </w:rPr>
              <w:t xml:space="preserve">transitorio</w:t>
            </w:r>
          </w:p>
        </w:tc>
      </w:tr>
      <w:tr>
        <w:trPr>
          <w:cantSplit/>
        </w:trPr>
        <w:tc>
          <w:tcPr>
            <w:tcW w:type="dxa" w:w="1872"/>
            <w:tcMar>
              <w:left w:type="dxa" w:w="80"/>
              <w:right w:type="dxa" w:w="80"/>
            </w:tcMar>
          </w:tcPr>
          <w:p>
            <w:pPr>
              <w:pStyle w:val="Compact"/>
            </w:pPr>
            <w:r>
              <w:rPr>
                <w:sz w:val="19"/>
                <w:szCs w:val="19"/>
                <w:lang w:val="es-ES"/>
              </w:rPr>
              <w:t xml:space="preserve">Transmisión</w:t>
            </w:r>
          </w:p>
        </w:tc>
        <w:tc>
          <w:tcPr>
            <w:tcW w:type="dxa" w:w="1872"/>
            <w:tcMar>
              <w:left w:type="dxa" w:w="80"/>
              <w:right w:type="dxa" w:w="80"/>
            </w:tcMar>
          </w:tcPr>
          <w:p>
            <w:pPr>
              <w:pStyle w:val="Compact"/>
            </w:pPr>
            <w:r>
              <w:rPr>
                <w:b/>
                <w:bCs/>
                <w:sz w:val="19"/>
                <w:szCs w:val="19"/>
                <w:lang w:val="es-ES"/>
              </w:rPr>
              <w:t xml:space="preserve">Canal principal: servidores EU vLLM (controlados); </w:t>
            </w:r>
            <w:r>
              <w:rPr>
                <w:sz w:val="19"/>
                <w:szCs w:val="19"/>
                <w:lang w:val="es-ES"/>
              </w:rPr>
              <w:t xml:space="preserve"/>
            </w:r>
            <w:r>
              <w:rPr>
                <w:sz w:val="19"/>
                <w:szCs w:val="19"/>
                <w:lang w:val="es-ES"/>
              </w:rPr>
              <w:t xml:space="preserve">respaldo desactivable: OpenRouter → proveedor; o punto final local (Opción B)</w:t>
            </w:r>
          </w:p>
        </w:tc>
        <w:tc>
          <w:tcPr>
            <w:tcW w:type="dxa" w:w="1872"/>
            <w:tcMar>
              <w:left w:type="dxa" w:w="80"/>
              <w:right w:type="dxa" w:w="80"/>
            </w:tcMar>
          </w:tcPr>
          <w:p>
            <w:pPr>
              <w:pStyle w:val="Compact"/>
            </w:pPr>
            <w:r>
              <w:rPr>
                <w:sz w:val="19"/>
                <w:szCs w:val="19"/>
                <w:lang w:val="es-ES"/>
              </w:rPr>
              <w:t xml:space="preserve">UE en primaria; Estados Unidos sólo </w:t>
            </w:r>
            <w:r>
              <w:rPr>
                <w:sz w:val="19"/>
                <w:szCs w:val="19"/>
                <w:lang w:val="es-ES"/>
              </w:rPr>
              <w:t xml:space="preserve"/>
            </w:r>
            <w:r>
              <w:rPr>
                <w:b/>
                <w:bCs/>
                <w:sz w:val="19"/>
                <w:szCs w:val="19"/>
                <w:lang w:val="es-ES"/>
              </w:rPr>
              <w:t xml:space="preserve">es posible </w:t>
            </w:r>
            <w:r>
              <w:rPr>
                <w:sz w:val="19"/>
                <w:szCs w:val="19"/>
                <w:lang w:val="es-ES"/>
              </w:rPr>
              <w:t xml:space="preserve">a </w:t>
            </w:r>
            <w:r>
              <w:rPr>
                <w:sz w:val="19"/>
                <w:szCs w:val="19"/>
                <w:lang w:val="es-ES"/>
              </w:rPr>
              <w:t xml:space="preserve">través del rescate</w:t>
            </w:r>
          </w:p>
        </w:tc>
        <w:tc>
          <w:tcPr>
            <w:tcW w:type="dxa" w:w="1872"/>
            <w:tcMar>
              <w:left w:type="dxa" w:w="80"/>
              <w:right w:type="dxa" w:w="80"/>
            </w:tcMar>
          </w:tcPr>
          <w:p>
            <w:pPr>
              <w:pStyle w:val="Compact"/>
            </w:pPr>
            <w:r>
              <w:rPr>
                <w:sz w:val="19"/>
                <w:szCs w:val="19"/>
                <w:lang w:val="es-ES"/>
              </w:rPr>
              <w:t xml:space="preserve">TLS; sin entrenamiento («no-train»)</w:t>
            </w:r>
          </w:p>
        </w:tc>
        <w:tc>
          <w:tcPr>
            <w:tcW w:type="dxa" w:w="1872"/>
            <w:tcMar>
              <w:left w:type="dxa" w:w="80"/>
              <w:right w:type="dxa" w:w="80"/>
            </w:tcMar>
          </w:tcPr>
          <w:p>
            <w:pPr>
              <w:pStyle w:val="Compact"/>
            </w:pPr>
            <w:r>
              <w:rPr>
                <w:sz w:val="19"/>
                <w:szCs w:val="19"/>
                <w:lang w:val="es-ES"/>
              </w:rPr>
              <w:t xml:space="preserve">Tiempo para la inferencia</w:t>
            </w:r>
          </w:p>
        </w:tc>
      </w:tr>
      <w:tr>
        <w:trPr>
          <w:cantSplit/>
        </w:trPr>
        <w:tc>
          <w:tcPr>
            <w:tcW w:type="dxa" w:w="1872"/>
            <w:tcMar>
              <w:left w:type="dxa" w:w="80"/>
              <w:right w:type="dxa" w:w="80"/>
            </w:tcMar>
          </w:tcPr>
          <w:p>
            <w:pPr>
              <w:pStyle w:val="Compact"/>
            </w:pPr>
            <w:r>
              <w:rPr>
                <w:sz w:val="19"/>
                <w:szCs w:val="19"/>
                <w:lang w:val="es-ES"/>
              </w:rPr>
              <w:t xml:space="preserve">Salir</w:t>
            </w:r>
          </w:p>
        </w:tc>
        <w:tc>
          <w:tcPr>
            <w:tcW w:type="dxa" w:w="1872"/>
            <w:tcMar>
              <w:left w:type="dxa" w:w="80"/>
              <w:right w:type="dxa" w:w="80"/>
            </w:tcMar>
          </w:tcPr>
          <w:p>
            <w:pPr>
              <w:pStyle w:val="Compact"/>
            </w:pPr>
            <w:r>
              <w:rPr>
                <w:sz w:val="19"/>
                <w:szCs w:val="19"/>
                <w:lang w:val="es-ES"/>
              </w:rPr>
              <w:t xml:space="preserve">Mantenido en el inquilino (editable, validado por un humano)</w:t>
            </w:r>
          </w:p>
        </w:tc>
        <w:tc>
          <w:tcPr>
            <w:tcW w:type="dxa" w:w="1872"/>
            <w:tcMar>
              <w:left w:type="dxa" w:w="80"/>
              <w:right w:type="dxa" w:w="80"/>
            </w:tcMar>
          </w:tcPr>
          <w:p>
            <w:pPr>
              <w:pStyle w:val="Compact"/>
            </w:pPr>
            <w:r>
              <w:rPr>
                <w:sz w:val="19"/>
                <w:szCs w:val="19"/>
                <w:lang w:val="es-ES"/>
              </w:rPr>
              <w:t xml:space="preserve">PostgreSQL (inquilino)</w:t>
            </w:r>
          </w:p>
        </w:tc>
        <w:tc>
          <w:tcPr>
            <w:tcW w:type="dxa" w:w="1872"/>
            <w:tcMar>
              <w:left w:type="dxa" w:w="80"/>
              <w:right w:type="dxa" w:w="80"/>
            </w:tcMar>
          </w:tcPr>
          <w:p>
            <w:pPr>
              <w:pStyle w:val="Compact"/>
            </w:pPr>
            <w:r>
              <w:rPr>
                <w:sz w:val="19"/>
                <w:szCs w:val="19"/>
                <w:lang w:val="es-ES"/>
              </w:rPr>
              <w:t xml:space="preserve">En reposo (ver §1)</w:t>
            </w:r>
          </w:p>
        </w:tc>
        <w:tc>
          <w:tcPr>
            <w:tcW w:type="dxa" w:w="1872"/>
            <w:tcMar>
              <w:left w:type="dxa" w:w="80"/>
              <w:right w:type="dxa" w:w="80"/>
            </w:tcMar>
          </w:tcPr>
          <w:p>
            <w:pPr>
              <w:pStyle w:val="Compact"/>
            </w:pPr>
            <w:r>
              <w:rPr>
                <w:sz w:val="19"/>
                <w:szCs w:val="19"/>
                <w:lang w:val="es-ES"/>
              </w:rPr>
              <w:t xml:space="preserve">Establecer duración / duración del contrato</w:t>
            </w:r>
          </w:p>
        </w:tc>
      </w:tr>
      <w:tr>
        <w:trPr>
          <w:cantSplit/>
        </w:trPr>
        <w:tc>
          <w:tcPr>
            <w:tcW w:type="dxa" w:w="1872"/>
            <w:tcMar>
              <w:left w:type="dxa" w:w="80"/>
              <w:right w:type="dxa" w:w="80"/>
            </w:tcMar>
          </w:tcPr>
          <w:p>
            <w:pPr>
              <w:pStyle w:val="Compact"/>
            </w:pPr>
            <w:r>
              <w:rPr>
                <w:sz w:val="19"/>
                <w:szCs w:val="19"/>
                <w:lang w:val="es-ES"/>
              </w:rPr>
              <w:t xml:space="preserve">Lado del proveedor</w:t>
            </w:r>
          </w:p>
        </w:tc>
        <w:tc>
          <w:tcPr>
            <w:tcW w:type="dxa" w:w="1872"/>
            <w:tcMar>
              <w:left w:type="dxa" w:w="80"/>
              <w:right w:type="dxa" w:w="80"/>
            </w:tcMar>
          </w:tcPr>
          <w:p>
            <w:pPr>
              <w:pStyle w:val="Compact"/>
            </w:pPr>
            <w:r>
              <w:rPr>
                <w:sz w:val="19"/>
                <w:szCs w:val="19"/>
                <w:lang w:val="es-ES"/>
              </w:rPr>
              <w:t xml:space="preserve">Ruta primaria: sin terceros; Copia de seguridad: sin almacenamiento duradero, sin formación</w:t>
            </w:r>
          </w:p>
        </w:tc>
        <w:tc>
          <w:tcPr>
            <w:tcW w:type="dxa" w:w="1872"/>
            <w:tcMar>
              <w:left w:type="dxa" w:w="80"/>
              <w:right w:type="dxa" w:w="80"/>
            </w:tcMar>
          </w:tcPr>
          <w:p>
            <w:pPr>
              <w:pStyle w:val="Compact"/>
            </w:pPr>
            <w:r>
              <w:rPr>
                <w:sz w:val="19"/>
                <w:szCs w:val="19"/>
                <w:lang w:val="es-ES"/>
              </w:rPr>
              <w:t xml:space="preserve">UE (ruta principal); EE.UU./UE según modelo (rescate)</w:t>
            </w:r>
          </w:p>
        </w:tc>
        <w:tc>
          <w:tcPr>
            <w:tcW w:type="dxa" w:w="1872"/>
            <w:tcMar>
              <w:left w:type="dxa" w:w="80"/>
              <w:right w:type="dxa" w:w="80"/>
            </w:tcMar>
          </w:tcPr>
          <w:p>
            <w:pPr>
              <w:pStyle w:val="Compact"/>
            </w:pPr>
            <w:r>
              <w:rPr>
                <w:sz w:val="19"/>
                <w:szCs w:val="19"/>
                <w:lang w:val="es-ES"/>
              </w:rPr>
              <w:t xml:space="preserve">Según proveedor DPA (rescate)</w:t>
            </w:r>
          </w:p>
        </w:tc>
        <w:tc>
          <w:tcPr>
            <w:tcW w:type="dxa" w:w="1872"/>
            <w:tcMar>
              <w:left w:type="dxa" w:w="80"/>
              <w:right w:type="dxa" w:w="80"/>
            </w:tcMar>
          </w:tcPr>
          <w:p>
            <w:pPr>
              <w:pStyle w:val="Compact"/>
            </w:pPr>
            <w:r>
              <w:rPr>
                <w:sz w:val="19"/>
                <w:szCs w:val="19"/>
                <w:lang w:val="es-ES"/>
              </w:rPr>
              <w:t xml:space="preserve">[PARA COMPLETAR: retención exacta por parte del proveedor]</w:t>
            </w:r>
          </w:p>
        </w:tc>
      </w:tr>
    </w:tbl>
    <w:bookmarkEnd w:id="65"/>
    <w:bookmarkStart w:id="66" w:name="X11292ab5bd72f4d399359c76ca524b5506db9c0"/>
    <w:p>
      <w:pPr>
        <w:pStyle w:val="Heading3"/>
        <w:keepNext/>
        <w:keepLines/>
      </w:pPr>
      <w:r>
        <w:rPr>
          <w:color w:val="000000"/>
          <w:lang w:val="es-ES"/>
        </w:rPr>
        <w:t xml:space="preserve">2.5 Datos temporales (incrustaciones de voz en RAM, archivos de procesamiento temporales)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s-ES"/>
              </w:rPr>
              <w:t xml:space="preserve">paso</w:t>
            </w:r>
          </w:p>
        </w:tc>
        <w:tc>
          <w:tcPr>
            <w:tcW w:type="dxa" w:w="1872"/>
            <w:tcMar>
              <w:left w:type="dxa" w:w="80"/>
              <w:right w:type="dxa" w:w="80"/>
            </w:tcMar>
          </w:tcPr>
          <w:p>
            <w:pPr>
              <w:pStyle w:val="Compact"/>
            </w:pPr>
            <w:r>
              <w:rPr>
                <w:sz w:val="19"/>
                <w:szCs w:val="19"/>
                <w:lang w:val="es-ES"/>
              </w:rPr>
              <w:t xml:space="preserve">Actor/componente</w:t>
            </w:r>
          </w:p>
        </w:tc>
        <w:tc>
          <w:tcPr>
            <w:tcW w:type="dxa" w:w="1872"/>
            <w:tcMar>
              <w:left w:type="dxa" w:w="80"/>
              <w:right w:type="dxa" w:w="80"/>
            </w:tcMar>
          </w:tcPr>
          <w:p>
            <w:pPr>
              <w:pStyle w:val="Compact"/>
            </w:pPr>
            <w:r>
              <w:rPr>
                <w:sz w:val="19"/>
                <w:szCs w:val="19"/>
                <w:lang w:val="es-ES"/>
              </w:rPr>
              <w:t xml:space="preserve">Ubicación</w:t>
            </w:r>
          </w:p>
        </w:tc>
        <w:tc>
          <w:tcPr>
            <w:tcW w:type="dxa" w:w="1872"/>
            <w:tcMar>
              <w:left w:type="dxa" w:w="80"/>
              <w:right w:type="dxa" w:w="80"/>
            </w:tcMar>
          </w:tcPr>
          <w:p>
            <w:pPr>
              <w:pStyle w:val="Compact"/>
            </w:pPr>
            <w:r>
              <w:rPr>
                <w:sz w:val="19"/>
                <w:szCs w:val="19"/>
                <w:lang w:val="es-ES"/>
              </w:rPr>
              <w:t xml:space="preserve">Cifrado</w:t>
            </w:r>
          </w:p>
        </w:tc>
        <w:tc>
          <w:tcPr>
            <w:tcW w:type="dxa" w:w="1872"/>
            <w:tcMar>
              <w:left w:type="dxa" w:w="80"/>
              <w:right w:type="dxa" w:w="80"/>
            </w:tcMar>
          </w:tcPr>
          <w:p>
            <w:pPr>
              <w:pStyle w:val="Compact"/>
            </w:pPr>
            <w:r>
              <w:rPr>
                <w:sz w:val="19"/>
                <w:szCs w:val="19"/>
                <w:lang w:val="es-ES"/>
              </w:rPr>
              <w:t xml:space="preserve">Duración en la etapa</w:t>
            </w:r>
          </w:p>
        </w:tc>
      </w:tr>
      <w:tr>
        <w:trPr>
          <w:cantSplit/>
        </w:trPr>
        <w:tc>
          <w:tcPr>
            <w:tcW w:type="dxa" w:w="1872"/>
            <w:tcMar>
              <w:left w:type="dxa" w:w="80"/>
              <w:right w:type="dxa" w:w="80"/>
            </w:tcMar>
          </w:tcPr>
          <w:p>
            <w:pPr>
              <w:pStyle w:val="Compact"/>
            </w:pPr>
            <w:r>
              <w:rPr>
                <w:sz w:val="19"/>
                <w:szCs w:val="19"/>
                <w:lang w:val="es-ES"/>
              </w:rPr>
              <w:t xml:space="preserve">Cálculo</w:t>
            </w:r>
          </w:p>
        </w:tc>
        <w:tc>
          <w:tcPr>
            <w:tcW w:type="dxa" w:w="1872"/>
            <w:tcMar>
              <w:left w:type="dxa" w:w="80"/>
              <w:right w:type="dxa" w:w="80"/>
            </w:tcMar>
          </w:tcPr>
          <w:p>
            <w:pPr>
              <w:pStyle w:val="Compact"/>
            </w:pPr>
            <w:r>
              <w:rPr>
                <w:sz w:val="19"/>
                <w:szCs w:val="19"/>
                <w:lang w:val="es-ES"/>
              </w:rPr>
              <w:t xml:space="preserve">Trabajador (diarización/correlación de voz)</w:t>
            </w:r>
          </w:p>
        </w:tc>
        <w:tc>
          <w:tcPr>
            <w:tcW w:type="dxa" w:w="1872"/>
            <w:tcMar>
              <w:left w:type="dxa" w:w="80"/>
              <w:right w:type="dxa" w:w="80"/>
            </w:tcMar>
          </w:tcPr>
          <w:p>
            <w:pPr>
              <w:pStyle w:val="Compact"/>
            </w:pPr>
            <w:r>
              <w:rPr>
                <w:sz w:val="19"/>
                <w:szCs w:val="19"/>
                <w:lang w:val="es-ES"/>
              </w:rPr>
              <w:t xml:space="preserve">RAM (RAM), </w:t>
            </w:r>
            <w:r>
              <w:rPr>
                <w:sz w:val="19"/>
                <w:szCs w:val="19"/>
                <w:lang w:val="es-ES"/>
              </w:rPr>
              <w:t xml:space="preserve"/>
            </w:r>
            <w:r>
              <w:rPr>
                <w:rStyle w:val="VerbatimChar"/>
                <w:sz w:val="19"/>
                <w:szCs w:val="19"/>
                <w:lang w:val="es-ES"/>
              </w:rPr>
              <w:t xml:space="preserve">tmpfs</w:t>
            </w:r>
            <w:r>
              <w:rPr>
                <w:sz w:val="19"/>
                <w:szCs w:val="19"/>
                <w:lang w:val="es-ES"/>
              </w:rPr>
              <w:t xml:space="preserve"> </w:t>
            </w:r>
            <w:r>
              <w:rPr>
                <w:sz w:val="19"/>
                <w:szCs w:val="19"/>
                <w:lang w:val="es-ES"/>
              </w:rPr>
              <w:t xml:space="preserve">cuando sea posible</w:t>
            </w:r>
          </w:p>
        </w:tc>
        <w:tc>
          <w:tcPr>
            <w:tcW w:type="dxa" w:w="1872"/>
            <w:tcMar>
              <w:left w:type="dxa" w:w="80"/>
              <w:right w:type="dxa" w:w="80"/>
            </w:tcMar>
          </w:tcPr>
          <w:p>
            <w:pPr>
              <w:pStyle w:val="Compact"/>
            </w:pPr>
            <w:r>
              <w:rPr>
                <w:sz w:val="19"/>
                <w:szCs w:val="19"/>
                <w:lang w:val="es-ES"/>
              </w:rPr>
              <w:t xml:space="preserve">— (nunca subcontratado)</w:t>
            </w:r>
          </w:p>
        </w:tc>
        <w:tc>
          <w:tcPr>
            <w:tcW w:type="dxa" w:w="1872"/>
            <w:tcMar>
              <w:left w:type="dxa" w:w="80"/>
              <w:right w:type="dxa" w:w="80"/>
            </w:tcMar>
          </w:tcPr>
          <w:p>
            <w:pPr>
              <w:pStyle w:val="Compact"/>
            </w:pPr>
            <w:r>
              <w:rPr>
                <w:sz w:val="19"/>
                <w:szCs w:val="19"/>
                <w:lang w:val="es-ES"/>
              </w:rPr>
              <w:t xml:space="preserve">Sólo duración de la consulta</w:t>
            </w:r>
          </w:p>
        </w:tc>
      </w:tr>
      <w:tr>
        <w:trPr>
          <w:cantSplit/>
        </w:trPr>
        <w:tc>
          <w:tcPr>
            <w:tcW w:type="dxa" w:w="1872"/>
            <w:tcMar>
              <w:left w:type="dxa" w:w="80"/>
              <w:right w:type="dxa" w:w="80"/>
            </w:tcMar>
          </w:tcPr>
          <w:p>
            <w:pPr>
              <w:pStyle w:val="Compact"/>
            </w:pPr>
            <w:r>
              <w:rPr>
                <w:sz w:val="19"/>
                <w:szCs w:val="19"/>
                <w:lang w:val="es-ES"/>
              </w:rPr>
              <w:t xml:space="preserve">limpieza</w:t>
            </w:r>
          </w:p>
        </w:tc>
        <w:tc>
          <w:tcPr>
            <w:tcW w:type="dxa" w:w="1872"/>
            <w:tcMar>
              <w:left w:type="dxa" w:w="80"/>
              <w:right w:type="dxa" w:w="80"/>
            </w:tcMar>
          </w:tcPr>
          <w:p>
            <w:pPr>
              <w:pStyle w:val="Compact"/>
            </w:pPr>
            <w:r>
              <w:rPr>
                <w:sz w:val="19"/>
                <w:szCs w:val="19"/>
                <w:lang w:val="es-ES"/>
              </w:rPr>
              <w:t xml:space="preserve">Destrucción al final del procesamiento (bloque </w:t>
            </w:r>
            <w:r>
              <w:rPr>
                <w:sz w:val="19"/>
                <w:szCs w:val="19"/>
                <w:lang w:val="es-ES"/>
              </w:rPr>
              <w:t xml:space="preserve"/>
            </w:r>
            <w:r>
              <w:rPr>
                <w:rStyle w:val="VerbatimChar"/>
                <w:sz w:val="19"/>
                <w:szCs w:val="19"/>
                <w:lang w:val="es-ES"/>
              </w:rPr>
              <w:t xml:space="preserve">finally</w:t>
            </w:r>
            <w:r>
              <w:rPr>
                <w:sz w:val="19"/>
                <w:szCs w:val="19"/>
                <w:lang w:val="es-ES"/>
              </w:rPr>
              <w:t xml:space="preserve">)</w:t>
            </w:r>
          </w:p>
        </w:tc>
        <w:tc>
          <w:tcPr>
            <w:tcW w:type="dxa" w:w="1872"/>
            <w:tcMar>
              <w:left w:type="dxa" w:w="80"/>
              <w:right w:type="dxa" w:w="80"/>
            </w:tcMar>
          </w:tcPr>
          <w:p>
            <w:pPr>
              <w:pStyle w:val="Compact"/>
            </w:pPr>
            <w:r>
              <w:rPr>
                <w:sz w:val="19"/>
                <w:szCs w:val="19"/>
                <w:lang w:val="es-ES"/>
              </w:rPr>
              <w:t xml:space="preserve">—</w:t>
            </w:r>
          </w:p>
        </w:tc>
        <w:tc>
          <w:tcPr>
            <w:tcW w:type="dxa" w:w="1872"/>
            <w:tcMar>
              <w:left w:type="dxa" w:w="80"/>
              <w:right w:type="dxa" w:w="80"/>
            </w:tcMar>
          </w:tcPr>
          <w:p>
            <w:pPr>
              <w:pStyle w:val="Compact"/>
            </w:pPr>
            <w:r>
              <w:rPr>
                <w:sz w:val="19"/>
                <w:szCs w:val="19"/>
                <w:lang w:val="es-ES"/>
              </w:rPr>
              <w:t xml:space="preserve">—</w:t>
            </w:r>
          </w:p>
        </w:tc>
        <w:tc>
          <w:tcPr>
            <w:tcW w:type="dxa" w:w="1872"/>
            <w:tcMar>
              <w:left w:type="dxa" w:w="80"/>
              <w:right w:type="dxa" w:w="80"/>
            </w:tcMar>
          </w:tcPr>
          <w:p>
            <w:pPr>
              <w:pStyle w:val="Compact"/>
            </w:pPr>
            <w:r>
              <w:rPr>
                <w:sz w:val="19"/>
                <w:szCs w:val="19"/>
                <w:lang w:val="es-ES"/>
              </w:rPr>
              <w:t xml:space="preserve">Destruido; sin plantilla persistente</w:t>
            </w:r>
          </w:p>
        </w:tc>
      </w:tr>
      <w:tr>
        <w:trPr>
          <w:cantSplit/>
        </w:trPr>
        <w:tc>
          <w:tcPr>
            <w:tcW w:type="dxa" w:w="1872"/>
            <w:tcMar>
              <w:left w:type="dxa" w:w="80"/>
              <w:right w:type="dxa" w:w="80"/>
            </w:tcMar>
          </w:tcPr>
          <w:p>
            <w:pPr>
              <w:pStyle w:val="Compact"/>
            </w:pPr>
            <w:r>
              <w:rPr>
                <w:sz w:val="19"/>
                <w:szCs w:val="19"/>
                <w:lang w:val="es-ES"/>
              </w:rPr>
              <w:t xml:space="preserve">Archivos temporales</w:t>
            </w:r>
          </w:p>
        </w:tc>
        <w:tc>
          <w:tcPr>
            <w:tcW w:type="dxa" w:w="1872"/>
            <w:tcMar>
              <w:left w:type="dxa" w:w="80"/>
              <w:right w:type="dxa" w:w="80"/>
            </w:tcMar>
          </w:tcPr>
          <w:p>
            <w:pPr>
              <w:pStyle w:val="Compact"/>
            </w:pPr>
            <w:r>
              <w:rPr>
                <w:sz w:val="19"/>
                <w:szCs w:val="19"/>
                <w:lang w:val="es-ES"/>
              </w:rPr>
              <w:t xml:space="preserve">Espacios temporales controlados</w:t>
            </w:r>
          </w:p>
        </w:tc>
        <w:tc>
          <w:tcPr>
            <w:tcW w:type="dxa" w:w="1872"/>
            <w:tcMar>
              <w:left w:type="dxa" w:w="80"/>
              <w:right w:type="dxa" w:w="80"/>
            </w:tcMar>
          </w:tcPr>
          <w:p>
            <w:pPr>
              <w:pStyle w:val="Compact"/>
            </w:pPr>
            <w:r>
              <w:rPr>
                <w:sz w:val="19"/>
                <w:szCs w:val="19"/>
                <w:lang w:val="es-ES"/>
              </w:rPr>
              <w:t xml:space="preserve">GPU/trabajador</w:t>
            </w:r>
          </w:p>
        </w:tc>
        <w:tc>
          <w:tcPr>
            <w:tcW w:type="dxa" w:w="1872"/>
            <w:tcMar>
              <w:left w:type="dxa" w:w="80"/>
              <w:right w:type="dxa" w:w="80"/>
            </w:tcMar>
          </w:tcPr>
          <w:p>
            <w:pPr>
              <w:pStyle w:val="Compact"/>
            </w:pPr>
            <w:r>
              <w:rPr>
                <w:sz w:val="19"/>
                <w:szCs w:val="19"/>
                <w:lang w:val="es-ES"/>
              </w:rPr>
              <w:t xml:space="preserve">—</w:t>
            </w:r>
          </w:p>
        </w:tc>
        <w:tc>
          <w:tcPr>
            <w:tcW w:type="dxa" w:w="1872"/>
            <w:tcMar>
              <w:left w:type="dxa" w:w="80"/>
              <w:right w:type="dxa" w:w="80"/>
            </w:tcMar>
          </w:tcPr>
          <w:p>
            <w:pPr>
              <w:pStyle w:val="Compact"/>
            </w:pPr>
            <w:r>
              <w:rPr>
                <w:sz w:val="19"/>
                <w:szCs w:val="19"/>
                <w:lang w:val="es-ES"/>
              </w:rPr>
              <w:t xml:space="preserve">Eliminado al final del trabajo.</w:t>
            </w:r>
          </w:p>
        </w:tc>
      </w:tr>
    </w:tbl>
    <w:p>
      <w:pPr>
        <w:pStyle w:val="BlockText"/>
      </w:pPr>
      <w:r>
        <w:rPr>
          <w:lang w:val="es-ES"/>
        </w:rPr>
        <w:t xml:space="preserve">Las incrustaciones de voz </w:t>
      </w:r>
      <w:r>
        <w:rPr>
          <w:lang w:val="es-ES"/>
        </w:rPr>
        <w:t xml:space="preserve"/>
      </w:r>
      <w:r>
        <w:rPr>
          <w:b/>
          <w:bCs/>
          <w:lang w:val="es-ES"/>
        </w:rPr>
        <w:t xml:space="preserve">nunca </w:t>
      </w:r>
      <w:r>
        <w:rPr>
          <w:lang w:val="es-ES"/>
        </w:rPr>
        <w:t xml:space="preserve">se </w:t>
      </w:r>
      <w:r>
        <w:rPr>
          <w:lang w:val="es-ES"/>
        </w:rPr>
        <w:t xml:space="preserve">mantienen como perfiles persistentes, </w:t>
      </w:r>
      <w:r>
        <w:rPr>
          <w:lang w:val="es-ES"/>
        </w:rPr>
        <w:t xml:space="preserve"/>
      </w:r>
      <w:r>
        <w:rPr>
          <w:b/>
          <w:bCs/>
          <w:lang w:val="es-ES"/>
        </w:rPr>
        <w:t xml:space="preserve">nunca se </w:t>
      </w:r>
      <w:r>
        <w:rPr>
          <w:lang w:val="es-ES"/>
        </w:rPr>
        <w:t xml:space="preserve"/>
      </w:r>
      <w:r>
        <w:rPr>
          <w:lang w:val="es-ES"/>
        </w:rPr>
        <w:t xml:space="preserve">utilizan para entrenar modelos y no abandonan el entorno de procesamiento. Detalle en documento OHA-RGPD-07.</w:t>
      </w:r>
    </w:p>
    <w:bookmarkEnd w:id="66"/>
    <w:bookmarkStart w:id="67" w:name="Xaae710b518c07f6e514c289b6fa23ddd1b46e32"/>
    <w:p>
      <w:pPr>
        <w:pStyle w:val="Heading3"/>
        <w:keepNext/>
        <w:keepLines/>
      </w:pPr>
      <w:r>
        <w:rPr>
          <w:color w:val="000000"/>
          <w:lang w:val="es-ES"/>
        </w:rPr>
        <w:t xml:space="preserve">2.6 Registros (registros de auditoría de aplicaciones, registros técnicos)</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s-ES"/>
              </w:rPr>
              <w:t xml:space="preserve">paso</w:t>
            </w:r>
          </w:p>
        </w:tc>
        <w:tc>
          <w:tcPr>
            <w:tcW w:type="dxa" w:w="1872"/>
            <w:tcMar>
              <w:left w:type="dxa" w:w="80"/>
              <w:right w:type="dxa" w:w="80"/>
            </w:tcMar>
          </w:tcPr>
          <w:p>
            <w:pPr>
              <w:pStyle w:val="Compact"/>
            </w:pPr>
            <w:r>
              <w:rPr>
                <w:sz w:val="19"/>
                <w:szCs w:val="19"/>
                <w:lang w:val="es-ES"/>
              </w:rPr>
              <w:t xml:space="preserve">Actor/componente</w:t>
            </w:r>
          </w:p>
        </w:tc>
        <w:tc>
          <w:tcPr>
            <w:tcW w:type="dxa" w:w="1872"/>
            <w:tcMar>
              <w:left w:type="dxa" w:w="80"/>
              <w:right w:type="dxa" w:w="80"/>
            </w:tcMar>
          </w:tcPr>
          <w:p>
            <w:pPr>
              <w:pStyle w:val="Compact"/>
            </w:pPr>
            <w:r>
              <w:rPr>
                <w:sz w:val="19"/>
                <w:szCs w:val="19"/>
                <w:lang w:val="es-ES"/>
              </w:rPr>
              <w:t xml:space="preserve">Ubicación</w:t>
            </w:r>
          </w:p>
        </w:tc>
        <w:tc>
          <w:tcPr>
            <w:tcW w:type="dxa" w:w="1872"/>
            <w:tcMar>
              <w:left w:type="dxa" w:w="80"/>
              <w:right w:type="dxa" w:w="80"/>
            </w:tcMar>
          </w:tcPr>
          <w:p>
            <w:pPr>
              <w:pStyle w:val="Compact"/>
            </w:pPr>
            <w:r>
              <w:rPr>
                <w:sz w:val="19"/>
                <w:szCs w:val="19"/>
                <w:lang w:val="es-ES"/>
              </w:rPr>
              <w:t xml:space="preserve">Cifrado</w:t>
            </w:r>
          </w:p>
        </w:tc>
        <w:tc>
          <w:tcPr>
            <w:tcW w:type="dxa" w:w="1872"/>
            <w:tcMar>
              <w:left w:type="dxa" w:w="80"/>
              <w:right w:type="dxa" w:w="80"/>
            </w:tcMar>
          </w:tcPr>
          <w:p>
            <w:pPr>
              <w:pStyle w:val="Compact"/>
            </w:pPr>
            <w:r>
              <w:rPr>
                <w:sz w:val="19"/>
                <w:szCs w:val="19"/>
                <w:lang w:val="es-ES"/>
              </w:rPr>
              <w:t xml:space="preserve">Duración en la etapa</w:t>
            </w:r>
          </w:p>
        </w:tc>
      </w:tr>
      <w:tr>
        <w:trPr>
          <w:cantSplit/>
        </w:trPr>
        <w:tc>
          <w:tcPr>
            <w:tcW w:type="dxa" w:w="1872"/>
            <w:tcMar>
              <w:left w:type="dxa" w:w="80"/>
              <w:right w:type="dxa" w:w="80"/>
            </w:tcMar>
          </w:tcPr>
          <w:p>
            <w:pPr>
              <w:pStyle w:val="Compact"/>
            </w:pPr>
            <w:r>
              <w:rPr>
                <w:sz w:val="19"/>
                <w:szCs w:val="19"/>
                <w:lang w:val="es-ES"/>
              </w:rPr>
              <w:t xml:space="preserve">Generación</w:t>
            </w:r>
          </w:p>
        </w:tc>
        <w:tc>
          <w:tcPr>
            <w:tcW w:type="dxa" w:w="1872"/>
            <w:tcMar>
              <w:left w:type="dxa" w:w="80"/>
              <w:right w:type="dxa" w:w="80"/>
            </w:tcMar>
          </w:tcPr>
          <w:p>
            <w:pPr>
              <w:pStyle w:val="Compact"/>
            </w:pPr>
            <w:r>
              <w:rPr>
                <w:sz w:val="19"/>
                <w:szCs w:val="19"/>
                <w:lang w:val="es-ES"/>
              </w:rPr>
              <w:t xml:space="preserve">Aplicación (</w:t>
            </w:r>
            <w:r>
              <w:rPr>
                <w:rStyle w:val="VerbatimChar"/>
                <w:sz w:val="19"/>
                <w:szCs w:val="19"/>
                <w:lang w:val="es-ES"/>
              </w:rPr>
              <w:t xml:space="preserve">activity_logs</w:t>
            </w:r>
            <w:r>
              <w:rPr>
                <w:sz w:val="19"/>
                <w:szCs w:val="19"/>
                <w:lang w:val="es-ES"/>
              </w:rPr>
              <w:t xml:space="preserve"> </w:t>
            </w:r>
            <w:r>
              <w:rPr>
                <w:sz w:val="19"/>
                <w:szCs w:val="19"/>
                <w:lang w:val="es-ES"/>
              </w:rPr>
              <w:t xml:space="preserve">por inquilino; plataforma </w:t>
            </w:r>
            <w:r>
              <w:rPr>
                <w:sz w:val="19"/>
                <w:szCs w:val="19"/>
                <w:lang w:val="es-ES"/>
              </w:rPr>
              <w:t xml:space="preserve"/>
            </w:r>
            <w:r>
              <w:rPr>
                <w:rStyle w:val="VerbatimChar"/>
                <w:sz w:val="19"/>
                <w:szCs w:val="19"/>
                <w:lang w:val="es-ES"/>
              </w:rPr>
              <w:t xml:space="preserve">public.audit_logs</w:t>
            </w:r>
            <w:r>
              <w:rPr>
                <w:sz w:val="19"/>
                <w:szCs w:val="19"/>
                <w:lang w:val="es-ES"/>
              </w:rPr>
              <w:t xml:space="preserve">)</w:t>
            </w:r>
            <w:r>
              <w:rPr>
                <w:sz w:val="19"/>
                <w:szCs w:val="19"/>
                <w:lang w:val="es-ES"/>
              </w:rPr>
              <w:t xml:space="preserve"/>
            </w:r>
          </w:p>
        </w:tc>
        <w:tc>
          <w:tcPr>
            <w:tcW w:type="dxa" w:w="1872"/>
            <w:tcMar>
              <w:left w:type="dxa" w:w="80"/>
              <w:right w:type="dxa" w:w="80"/>
            </w:tcMar>
          </w:tcPr>
          <w:p>
            <w:pPr>
              <w:pStyle w:val="Compact"/>
            </w:pPr>
            <w:r>
              <w:rPr>
                <w:sz w:val="19"/>
                <w:szCs w:val="19"/>
                <w:lang w:val="es-ES"/>
              </w:rPr>
              <w:t xml:space="preserve">Infraestructura de servidor/cliente de producción</w:t>
            </w:r>
          </w:p>
        </w:tc>
        <w:tc>
          <w:tcPr>
            <w:tcW w:type="dxa" w:w="1872"/>
            <w:tcMar>
              <w:left w:type="dxa" w:w="80"/>
              <w:right w:type="dxa" w:w="80"/>
            </w:tcMar>
          </w:tcPr>
          <w:p>
            <w:pPr>
              <w:pStyle w:val="Compact"/>
            </w:pPr>
            <w:r>
              <w:rPr>
                <w:sz w:val="19"/>
                <w:szCs w:val="19"/>
                <w:lang w:val="es-ES"/>
              </w:rPr>
              <w:t xml:space="preserve">En reposo (ver §1)</w:t>
            </w:r>
          </w:p>
        </w:tc>
        <w:tc>
          <w:tcPr>
            <w:tcW w:type="dxa" w:w="1872"/>
            <w:tcMar>
              <w:left w:type="dxa" w:w="80"/>
              <w:right w:type="dxa" w:w="80"/>
            </w:tcMar>
          </w:tcPr>
          <w:p>
            <w:pPr>
              <w:pStyle w:val="Compact"/>
            </w:pPr>
            <w:r>
              <w:rPr>
                <w:sz w:val="19"/>
                <w:szCs w:val="19"/>
                <w:lang w:val="es-ES"/>
              </w:rPr>
              <w:t xml:space="preserve">—</w:t>
            </w:r>
          </w:p>
        </w:tc>
      </w:tr>
      <w:tr>
        <w:trPr>
          <w:cantSplit/>
        </w:trPr>
        <w:tc>
          <w:tcPr>
            <w:tcW w:type="dxa" w:w="1872"/>
            <w:tcMar>
              <w:left w:type="dxa" w:w="80"/>
              <w:right w:type="dxa" w:w="80"/>
            </w:tcMar>
          </w:tcPr>
          <w:p>
            <w:pPr>
              <w:pStyle w:val="Compact"/>
            </w:pPr>
            <w:r>
              <w:rPr>
                <w:sz w:val="19"/>
                <w:szCs w:val="19"/>
                <w:lang w:val="es-ES"/>
              </w:rPr>
              <w:t xml:space="preserve">Almacenamiento</w:t>
            </w:r>
          </w:p>
        </w:tc>
        <w:tc>
          <w:tcPr>
            <w:tcW w:type="dxa" w:w="1872"/>
            <w:tcMar>
              <w:left w:type="dxa" w:w="80"/>
              <w:right w:type="dxa" w:w="80"/>
            </w:tcMar>
          </w:tcPr>
          <w:p>
            <w:pPr>
              <w:pStyle w:val="Compact"/>
            </w:pPr>
            <w:r>
              <w:rPr>
                <w:sz w:val="19"/>
                <w:szCs w:val="19"/>
                <w:lang w:val="es-ES"/>
              </w:rPr>
              <w:t xml:space="preserve">PostgreSQL</w:t>
            </w:r>
          </w:p>
        </w:tc>
        <w:tc>
          <w:tcPr>
            <w:tcW w:type="dxa" w:w="1872"/>
            <w:tcMar>
              <w:left w:type="dxa" w:w="80"/>
              <w:right w:type="dxa" w:w="80"/>
            </w:tcMar>
          </w:tcPr>
          <w:p>
            <w:pPr>
              <w:pStyle w:val="Compact"/>
            </w:pPr>
            <w:r>
              <w:rPr>
                <w:sz w:val="19"/>
                <w:szCs w:val="19"/>
                <w:lang w:val="es-ES"/>
              </w:rPr>
              <w:t xml:space="preserve">Infraestructura de servidor/cliente de producción</w:t>
            </w:r>
          </w:p>
        </w:tc>
        <w:tc>
          <w:tcPr>
            <w:tcW w:type="dxa" w:w="1872"/>
            <w:tcMar>
              <w:left w:type="dxa" w:w="80"/>
              <w:right w:type="dxa" w:w="80"/>
            </w:tcMar>
          </w:tcPr>
          <w:p>
            <w:pPr>
              <w:pStyle w:val="Compact"/>
            </w:pPr>
            <w:r>
              <w:rPr>
                <w:sz w:val="19"/>
                <w:szCs w:val="19"/>
                <w:lang w:val="es-ES"/>
              </w:rPr>
              <w:t xml:space="preserve">En reposo (ver §1)</w:t>
            </w:r>
          </w:p>
        </w:tc>
        <w:tc>
          <w:tcPr>
            <w:tcW w:type="dxa" w:w="1872"/>
            <w:tcMar>
              <w:left w:type="dxa" w:w="80"/>
              <w:right w:type="dxa" w:w="80"/>
            </w:tcMar>
          </w:tcPr>
          <w:p>
            <w:pPr>
              <w:pStyle w:val="Compact"/>
            </w:pPr>
            <w:r>
              <w:rPr>
                <w:sz w:val="19"/>
                <w:szCs w:val="19"/>
                <w:lang w:val="es-ES"/>
              </w:rPr>
              <w:t xml:space="preserve">Auditoría ≤ 12 meses; técnico ~90 días</w:t>
            </w:r>
          </w:p>
        </w:tc>
      </w:tr>
      <w:tr>
        <w:trPr>
          <w:cantSplit/>
        </w:trPr>
        <w:tc>
          <w:tcPr>
            <w:tcW w:type="dxa" w:w="1872"/>
            <w:tcMar>
              <w:left w:type="dxa" w:w="80"/>
              <w:right w:type="dxa" w:w="80"/>
            </w:tcMar>
          </w:tcPr>
          <w:p>
            <w:pPr>
              <w:pStyle w:val="Compact"/>
            </w:pPr>
            <w:r>
              <w:rPr>
                <w:sz w:val="19"/>
                <w:szCs w:val="19"/>
                <w:lang w:val="es-ES"/>
              </w:rPr>
              <w:t xml:space="preserve">Exportar</w:t>
            </w:r>
          </w:p>
        </w:tc>
        <w:tc>
          <w:tcPr>
            <w:tcW w:type="dxa" w:w="1872"/>
            <w:tcMar>
              <w:left w:type="dxa" w:w="80"/>
              <w:right w:type="dxa" w:w="80"/>
            </w:tcMar>
          </w:tcPr>
          <w:p>
            <w:pPr>
              <w:pStyle w:val="Compact"/>
            </w:pPr>
            <w:r>
              <w:rPr>
                <w:sz w:val="19"/>
                <w:szCs w:val="19"/>
                <w:lang w:val="es-ES"/>
              </w:rPr>
              <w:t xml:space="preserve">CSV/JSON bajo petición</w:t>
            </w:r>
          </w:p>
        </w:tc>
        <w:tc>
          <w:tcPr>
            <w:tcW w:type="dxa" w:w="1872"/>
            <w:tcMar>
              <w:left w:type="dxa" w:w="80"/>
              <w:right w:type="dxa" w:w="80"/>
            </w:tcMar>
          </w:tcPr>
          <w:p>
            <w:pPr>
              <w:pStyle w:val="Compact"/>
            </w:pPr>
            <w:r>
              <w:rPr>
                <w:sz w:val="19"/>
                <w:szCs w:val="19"/>
                <w:lang w:val="es-ES"/>
              </w:rPr>
              <w:t xml:space="preserve">Infraestructura de servidor/cliente de producción</w:t>
            </w:r>
          </w:p>
        </w:tc>
        <w:tc>
          <w:tcPr>
            <w:tcW w:type="dxa" w:w="1872"/>
            <w:tcMar>
              <w:left w:type="dxa" w:w="80"/>
              <w:right w:type="dxa" w:w="80"/>
            </w:tcMar>
          </w:tcPr>
          <w:p>
            <w:pPr>
              <w:pStyle w:val="Compact"/>
            </w:pPr>
            <w:r>
              <w:rPr>
                <w:sz w:val="19"/>
                <w:szCs w:val="19"/>
                <w:lang w:val="es-ES"/>
              </w:rPr>
              <w:t xml:space="preserve">TLS</w:t>
            </w:r>
          </w:p>
        </w:tc>
        <w:tc>
          <w:tcPr>
            <w:tcW w:type="dxa" w:w="1872"/>
            <w:tcMar>
              <w:left w:type="dxa" w:w="80"/>
              <w:right w:type="dxa" w:w="80"/>
            </w:tcMar>
          </w:tcPr>
          <w:p>
            <w:pPr>
              <w:pStyle w:val="Compact"/>
            </w:pPr>
            <w:r>
              <w:rPr>
                <w:sz w:val="19"/>
                <w:szCs w:val="19"/>
                <w:lang w:val="es-ES"/>
              </w:rPr>
              <w:t xml:space="preserve">Bajo demanda</w:t>
            </w:r>
          </w:p>
        </w:tc>
      </w:tr>
    </w:tbl>
    <w:p>
      <w:pPr>
        <w:pStyle w:val="BlockText"/>
      </w:pPr>
      <w:r>
        <w:rPr>
          <w:lang w:val="es-ES"/>
        </w:rPr>
        <w:t xml:space="preserve">Los registros no contienen incrustaciones de voz persistentes; Los rastros relacionados con la correlación de voz se reducen a la información técnica necesaria.</w:t>
      </w:r>
    </w:p>
    <w:bookmarkEnd w:id="67"/>
    <w:bookmarkStart w:id="68" w:name="Xfaf7cc6e7748c9667d39039c6e4f994cae43f5a"/>
    <w:p>
      <w:pPr>
        <w:pStyle w:val="Heading3"/>
        <w:keepNext/>
        <w:keepLines/>
      </w:pPr>
      <w:r>
        <w:rPr>
          <w:color w:val="000000"/>
          <w:lang w:val="es-ES"/>
        </w:rPr>
        <w:t xml:space="preserve">2.7 Copias de seguridad</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s-ES"/>
              </w:rPr>
              <w:t xml:space="preserve">paso</w:t>
            </w:r>
          </w:p>
        </w:tc>
        <w:tc>
          <w:tcPr>
            <w:tcW w:type="dxa" w:w="1872"/>
            <w:tcMar>
              <w:left w:type="dxa" w:w="80"/>
              <w:right w:type="dxa" w:w="80"/>
            </w:tcMar>
          </w:tcPr>
          <w:p>
            <w:pPr>
              <w:pStyle w:val="Compact"/>
            </w:pPr>
            <w:r>
              <w:rPr>
                <w:sz w:val="19"/>
                <w:szCs w:val="19"/>
                <w:lang w:val="es-ES"/>
              </w:rPr>
              <w:t xml:space="preserve">Actor/componente</w:t>
            </w:r>
          </w:p>
        </w:tc>
        <w:tc>
          <w:tcPr>
            <w:tcW w:type="dxa" w:w="1872"/>
            <w:tcMar>
              <w:left w:type="dxa" w:w="80"/>
              <w:right w:type="dxa" w:w="80"/>
            </w:tcMar>
          </w:tcPr>
          <w:p>
            <w:pPr>
              <w:pStyle w:val="Compact"/>
            </w:pPr>
            <w:r>
              <w:rPr>
                <w:sz w:val="19"/>
                <w:szCs w:val="19"/>
                <w:lang w:val="es-ES"/>
              </w:rPr>
              <w:t xml:space="preserve">Ubicación</w:t>
            </w:r>
          </w:p>
        </w:tc>
        <w:tc>
          <w:tcPr>
            <w:tcW w:type="dxa" w:w="1872"/>
            <w:tcMar>
              <w:left w:type="dxa" w:w="80"/>
              <w:right w:type="dxa" w:w="80"/>
            </w:tcMar>
          </w:tcPr>
          <w:p>
            <w:pPr>
              <w:pStyle w:val="Compact"/>
            </w:pPr>
            <w:r>
              <w:rPr>
                <w:sz w:val="19"/>
                <w:szCs w:val="19"/>
                <w:lang w:val="es-ES"/>
              </w:rPr>
              <w:t xml:space="preserve">Cifrado</w:t>
            </w:r>
          </w:p>
        </w:tc>
        <w:tc>
          <w:tcPr>
            <w:tcW w:type="dxa" w:w="1872"/>
            <w:tcMar>
              <w:left w:type="dxa" w:w="80"/>
              <w:right w:type="dxa" w:w="80"/>
            </w:tcMar>
          </w:tcPr>
          <w:p>
            <w:pPr>
              <w:pStyle w:val="Compact"/>
            </w:pPr>
            <w:r>
              <w:rPr>
                <w:sz w:val="19"/>
                <w:szCs w:val="19"/>
                <w:lang w:val="es-ES"/>
              </w:rPr>
              <w:t xml:space="preserve">Duración en la etapa</w:t>
            </w:r>
          </w:p>
        </w:tc>
      </w:tr>
      <w:tr>
        <w:trPr>
          <w:cantSplit/>
        </w:trPr>
        <w:tc>
          <w:tcPr>
            <w:tcW w:type="dxa" w:w="1872"/>
            <w:tcMar>
              <w:left w:type="dxa" w:w="80"/>
              <w:right w:type="dxa" w:w="80"/>
            </w:tcMar>
          </w:tcPr>
          <w:p>
            <w:pPr>
              <w:pStyle w:val="Compact"/>
            </w:pPr>
            <w:r>
              <w:rPr>
                <w:sz w:val="19"/>
                <w:szCs w:val="19"/>
                <w:lang w:val="es-ES"/>
              </w:rPr>
              <w:t xml:space="preserve">Constitución</w:t>
            </w:r>
          </w:p>
        </w:tc>
        <w:tc>
          <w:tcPr>
            <w:tcW w:type="dxa" w:w="1872"/>
            <w:tcMar>
              <w:left w:type="dxa" w:w="80"/>
              <w:right w:type="dxa" w:w="80"/>
            </w:tcMar>
          </w:tcPr>
          <w:p>
            <w:pPr>
              <w:pStyle w:val="Compact"/>
            </w:pPr>
            <w:r>
              <w:rPr>
                <w:sz w:val="19"/>
                <w:szCs w:val="19"/>
                <w:lang w:val="es-ES"/>
              </w:rPr>
              <w:t xml:space="preserve">Guión de respaldo diario</w:t>
            </w:r>
          </w:p>
        </w:tc>
        <w:tc>
          <w:tcPr>
            <w:tcW w:type="dxa" w:w="1872"/>
            <w:tcMar>
              <w:left w:type="dxa" w:w="80"/>
              <w:right w:type="dxa" w:w="80"/>
            </w:tcMar>
          </w:tcPr>
          <w:p>
            <w:pPr>
              <w:pStyle w:val="Compact"/>
            </w:pPr>
            <w:r>
              <w:rPr>
                <w:sz w:val="19"/>
                <w:szCs w:val="19"/>
                <w:lang w:val="es-ES"/>
              </w:rPr>
              <w:t xml:space="preserve">Servidor de producción (Opción A)</w:t>
            </w:r>
          </w:p>
        </w:tc>
        <w:tc>
          <w:tcPr>
            <w:tcW w:type="dxa" w:w="1872"/>
            <w:tcMar>
              <w:left w:type="dxa" w:w="80"/>
              <w:right w:type="dxa" w:w="80"/>
            </w:tcMar>
          </w:tcPr>
          <w:p>
            <w:pPr>
              <w:pStyle w:val="Compact"/>
            </w:pPr>
            <w:r>
              <w:rPr>
                <w:sz w:val="19"/>
                <w:szCs w:val="19"/>
                <w:lang w:val="es-ES"/>
              </w:rPr>
              <w:t xml:space="preserve">Cifrado con age </w:t>
            </w:r>
            <w:r>
              <w:rPr>
                <w:sz w:val="19"/>
                <w:szCs w:val="19"/>
                <w:lang w:val="es-ES"/>
              </w:rPr>
              <w:t xml:space="preserve">antes </w:t>
            </w:r>
            <w:r>
              <w:rPr>
                <w:b/>
                <w:bCs/>
                <w:sz w:val="19"/>
                <w:szCs w:val="19"/>
                <w:lang w:val="es-ES"/>
              </w:rPr>
              <w:t xml:space="preserve">de </w:t>
            </w:r>
            <w:r>
              <w:rPr>
                <w:sz w:val="19"/>
                <w:szCs w:val="19"/>
                <w:lang w:val="es-ES"/>
              </w:rPr>
              <w:t xml:space="preserve"/>
            </w:r>
            <w:r>
              <w:rPr>
                <w:sz w:val="19"/>
                <w:szCs w:val="19"/>
                <w:lang w:val="es-ES"/>
              </w:rPr>
              <w:t xml:space="preserve">salir del servidor.</w:t>
            </w:r>
          </w:p>
        </w:tc>
        <w:tc>
          <w:tcPr>
            <w:tcW w:type="dxa" w:w="1872"/>
            <w:tcMar>
              <w:left w:type="dxa" w:w="80"/>
              <w:right w:type="dxa" w:w="80"/>
            </w:tcMar>
          </w:tcPr>
          <w:p>
            <w:pPr>
              <w:pStyle w:val="Compact"/>
            </w:pPr>
            <w:r>
              <w:rPr>
                <w:sz w:val="19"/>
                <w:szCs w:val="19"/>
                <w:lang w:val="es-ES"/>
              </w:rPr>
              <w:t xml:space="preserve">—</w:t>
            </w:r>
          </w:p>
        </w:tc>
      </w:tr>
      <w:tr>
        <w:trPr>
          <w:cantSplit/>
        </w:trPr>
        <w:tc>
          <w:tcPr>
            <w:tcW w:type="dxa" w:w="1872"/>
            <w:tcMar>
              <w:left w:type="dxa" w:w="80"/>
              <w:right w:type="dxa" w:w="80"/>
            </w:tcMar>
          </w:tcPr>
          <w:p>
            <w:pPr>
              <w:pStyle w:val="Compact"/>
            </w:pPr>
            <w:r>
              <w:rPr>
                <w:sz w:val="19"/>
                <w:szCs w:val="19"/>
                <w:lang w:val="es-ES"/>
              </w:rPr>
              <w:t xml:space="preserve">Subcontratación</w:t>
            </w:r>
          </w:p>
        </w:tc>
        <w:tc>
          <w:tcPr>
            <w:tcW w:type="dxa" w:w="1872"/>
            <w:tcMar>
              <w:left w:type="dxa" w:w="80"/>
              <w:right w:type="dxa" w:w="80"/>
            </w:tcMar>
          </w:tcPr>
          <w:p>
            <w:pPr>
              <w:pStyle w:val="Compact"/>
            </w:pPr>
            <w:r>
              <w:rPr>
                <w:sz w:val="19"/>
                <w:szCs w:val="19"/>
                <w:lang w:val="es-ES"/>
              </w:rPr>
              <w:t xml:space="preserve">rclone</w:t>
            </w:r>
          </w:p>
        </w:tc>
        <w:tc>
          <w:tcPr>
            <w:tcW w:type="dxa" w:w="1872"/>
            <w:tcMar>
              <w:left w:type="dxa" w:w="80"/>
              <w:right w:type="dxa" w:w="80"/>
            </w:tcMar>
          </w:tcPr>
          <w:p>
            <w:pPr>
              <w:pStyle w:val="Compact"/>
            </w:pPr>
            <w:r>
              <w:rPr>
                <w:sz w:val="19"/>
                <w:szCs w:val="19"/>
                <w:lang w:val="es-ES"/>
              </w:rPr>
              <w:t xml:space="preserve">Scaleway (Francia, UE)</w:t>
            </w:r>
          </w:p>
        </w:tc>
        <w:tc>
          <w:tcPr>
            <w:tcW w:type="dxa" w:w="1872"/>
            <w:tcMar>
              <w:left w:type="dxa" w:w="80"/>
              <w:right w:type="dxa" w:w="80"/>
            </w:tcMar>
          </w:tcPr>
          <w:p>
            <w:pPr>
              <w:pStyle w:val="Compact"/>
            </w:pPr>
            <w:r>
              <w:rPr>
                <w:sz w:val="19"/>
                <w:szCs w:val="19"/>
                <w:lang w:val="es-ES"/>
              </w:rPr>
              <w:t xml:space="preserve">age (claves en poder de OHADJA, en la UE)</w:t>
            </w:r>
          </w:p>
        </w:tc>
        <w:tc>
          <w:tcPr>
            <w:tcW w:type="dxa" w:w="1872"/>
            <w:tcMar>
              <w:left w:type="dxa" w:w="80"/>
              <w:right w:type="dxa" w:w="80"/>
            </w:tcMar>
          </w:tcPr>
          <w:p>
            <w:pPr>
              <w:pStyle w:val="Compact"/>
            </w:pPr>
            <w:r>
              <w:rPr>
                <w:sz w:val="19"/>
                <w:szCs w:val="19"/>
                <w:lang w:val="es-ES"/>
              </w:rPr>
              <w:t xml:space="preserve">≤ 90 días completos / 30 días por organización</w:t>
            </w:r>
          </w:p>
        </w:tc>
      </w:tr>
      <w:tr>
        <w:trPr>
          <w:cantSplit/>
        </w:trPr>
        <w:tc>
          <w:tcPr>
            <w:tcW w:type="dxa" w:w="1872"/>
            <w:tcMar>
              <w:left w:type="dxa" w:w="80"/>
              <w:right w:type="dxa" w:w="80"/>
            </w:tcMar>
          </w:tcPr>
          <w:p>
            <w:pPr>
              <w:pStyle w:val="Compact"/>
            </w:pPr>
            <w:r>
              <w:rPr>
                <w:sz w:val="19"/>
                <w:szCs w:val="19"/>
                <w:lang w:val="es-ES"/>
              </w:rPr>
              <w:t xml:space="preserve">restauración</w:t>
            </w:r>
          </w:p>
        </w:tc>
        <w:tc>
          <w:tcPr>
            <w:tcW w:type="dxa" w:w="1872"/>
            <w:tcMar>
              <w:left w:type="dxa" w:w="80"/>
              <w:right w:type="dxa" w:w="80"/>
            </w:tcMar>
          </w:tcPr>
          <w:p>
            <w:pPr>
              <w:pStyle w:val="Compact"/>
            </w:pPr>
            <w:r>
              <w:rPr>
                <w:sz w:val="19"/>
                <w:szCs w:val="19"/>
                <w:lang w:val="es-ES"/>
              </w:rPr>
              <w:t xml:space="preserve">Instantánea previa a la seguridad, recuperación granular por organización</w:t>
            </w:r>
          </w:p>
        </w:tc>
        <w:tc>
          <w:tcPr>
            <w:tcW w:type="dxa" w:w="1872"/>
            <w:tcMar>
              <w:left w:type="dxa" w:w="80"/>
              <w:right w:type="dxa" w:w="80"/>
            </w:tcMar>
          </w:tcPr>
          <w:p>
            <w:pPr>
              <w:pStyle w:val="Compact"/>
            </w:pPr>
            <w:r>
              <w:rPr>
                <w:sz w:val="19"/>
                <w:szCs w:val="19"/>
                <w:lang w:val="es-ES"/>
              </w:rPr>
              <w:t xml:space="preserve">Servidor de producción</w:t>
            </w:r>
          </w:p>
        </w:tc>
        <w:tc>
          <w:tcPr>
            <w:tcW w:type="dxa" w:w="1872"/>
            <w:tcMar>
              <w:left w:type="dxa" w:w="80"/>
              <w:right w:type="dxa" w:w="80"/>
            </w:tcMar>
          </w:tcPr>
          <w:p>
            <w:pPr>
              <w:pStyle w:val="Compact"/>
            </w:pPr>
            <w:r>
              <w:rPr>
                <w:sz w:val="19"/>
                <w:szCs w:val="19"/>
                <w:lang w:val="es-ES"/>
              </w:rPr>
              <w:t xml:space="preserve">age</w:t>
            </w:r>
          </w:p>
        </w:tc>
        <w:tc>
          <w:tcPr>
            <w:tcW w:type="dxa" w:w="1872"/>
            <w:tcMar>
              <w:left w:type="dxa" w:w="80"/>
              <w:right w:type="dxa" w:w="80"/>
            </w:tcMar>
          </w:tcPr>
          <w:p>
            <w:pPr>
              <w:pStyle w:val="Compact"/>
            </w:pPr>
            <w:r>
              <w:rPr>
                <w:sz w:val="19"/>
                <w:szCs w:val="19"/>
                <w:lang w:val="es-ES"/>
              </w:rPr>
              <w:t xml:space="preserve">24h RPO / 4h RTO (objetivos)</w:t>
            </w:r>
          </w:p>
        </w:tc>
      </w:tr>
    </w:tbl>
    <w:p>
      <w:pPr>
        <w:pStyle w:val="BlockText"/>
      </w:pPr>
      <w:r>
        <w:rPr>
          <w:lang w:val="es-ES"/>
        </w:rPr>
        <w:t xml:space="preserve">En </w:t>
      </w:r>
      <w:r>
        <w:rPr>
          <w:lang w:val="es-ES"/>
        </w:rPr>
        <w:t xml:space="preserve"/>
      </w:r>
      <w:r>
        <w:rPr>
          <w:b/>
          <w:bCs/>
          <w:lang w:val="es-ES"/>
        </w:rPr>
        <w:t xml:space="preserve">la Opción B, </w:t>
      </w:r>
      <w:r>
        <w:rPr>
          <w:lang w:val="es-ES"/>
        </w:rPr>
        <w:t xml:space="preserve">las copias de seguridad forman parte de la infraestructura del Cliente (a menos que la misión se haya confiado a OHADJA).</w:t>
      </w:r>
    </w:p>
    <w:bookmarkEnd w:id="68"/>
    <w:bookmarkEnd w:id="69"/>
    <w:bookmarkStart w:id="72" w:name="X6e2315e5940ab18972c59a7762a6a5d0278e4dc"/>
    <w:p>
      <w:pPr>
        <w:pStyle w:val="Heading2"/>
        <w:keepNext/>
        <w:keepLines/>
      </w:pPr>
      <w:r>
        <w:rPr>
          <w:color w:val="000000"/>
          <w:lang w:val="es-ES"/>
        </w:rPr>
        <w:t xml:space="preserve">3. Acceso humano y técnico</w:t>
      </w:r>
    </w:p>
    <w:bookmarkStart w:id="70" w:name="X41980a5c9b489c761337874c0d6746a45d0b2fd"/>
    <w:p>
      <w:pPr>
        <w:pStyle w:val="Heading3"/>
        <w:keepNext/>
        <w:keepLines/>
      </w:pPr>
      <w:r>
        <w:rPr>
          <w:color w:val="000000"/>
          <w:lang w:val="es-ES"/>
        </w:rPr>
        <w:t xml:space="preserve">3.1 Tabla de acceso</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s-ES"/>
              </w:rPr>
              <w:t xml:space="preserve">Actor/entidad</w:t>
            </w:r>
          </w:p>
        </w:tc>
        <w:tc>
          <w:tcPr>
            <w:tcW w:type="dxa" w:w="1872"/>
            <w:tcMar>
              <w:left w:type="dxa" w:w="80"/>
              <w:right w:type="dxa" w:w="80"/>
            </w:tcMar>
          </w:tcPr>
          <w:p>
            <w:pPr>
              <w:pStyle w:val="Compact"/>
            </w:pPr>
            <w:r>
              <w:rPr>
                <w:sz w:val="19"/>
                <w:szCs w:val="19"/>
                <w:lang w:val="es-ES"/>
              </w:rPr>
              <w:t xml:space="preserve">Naturaleza del acceso</w:t>
            </w:r>
          </w:p>
        </w:tc>
        <w:tc>
          <w:tcPr>
            <w:tcW w:type="dxa" w:w="1872"/>
            <w:tcMar>
              <w:left w:type="dxa" w:w="80"/>
              <w:right w:type="dxa" w:w="80"/>
            </w:tcMar>
          </w:tcPr>
          <w:p>
            <w:pPr>
              <w:pStyle w:val="Compact"/>
            </w:pPr>
            <w:r>
              <w:rPr>
                <w:sz w:val="19"/>
                <w:szCs w:val="19"/>
                <w:lang w:val="es-ES"/>
              </w:rPr>
              <w:t xml:space="preserve">De donde</w:t>
            </w:r>
          </w:p>
        </w:tc>
        <w:tc>
          <w:tcPr>
            <w:tcW w:type="dxa" w:w="1872"/>
            <w:tcMar>
              <w:left w:type="dxa" w:w="80"/>
              <w:right w:type="dxa" w:w="80"/>
            </w:tcMar>
          </w:tcPr>
          <w:p>
            <w:pPr>
              <w:pStyle w:val="Compact"/>
            </w:pPr>
            <w:r>
              <w:rPr>
                <w:sz w:val="19"/>
                <w:szCs w:val="19"/>
                <w:lang w:val="es-ES"/>
              </w:rPr>
              <w:t xml:space="preserve">encuadre</w:t>
            </w:r>
          </w:p>
        </w:tc>
        <w:tc>
          <w:tcPr>
            <w:tcW w:type="dxa" w:w="1872"/>
            <w:tcMar>
              <w:left w:type="dxa" w:w="80"/>
              <w:right w:type="dxa" w:w="80"/>
            </w:tcMar>
          </w:tcPr>
          <w:p>
            <w:pPr>
              <w:pStyle w:val="Compact"/>
            </w:pPr>
            <w:r>
              <w:rPr>
                <w:sz w:val="19"/>
                <w:szCs w:val="19"/>
                <w:lang w:val="es-ES"/>
              </w:rPr>
              <w:t xml:space="preserve">¿Acceso al contenido?</w:t>
            </w:r>
          </w:p>
        </w:tc>
      </w:tr>
      <w:tr>
        <w:trPr>
          <w:cantSplit/>
        </w:trPr>
        <w:tc>
          <w:tcPr>
            <w:tcW w:type="dxa" w:w="1872"/>
            <w:tcMar>
              <w:left w:type="dxa" w:w="80"/>
              <w:right w:type="dxa" w:w="80"/>
            </w:tcMar>
          </w:tcPr>
          <w:p>
            <w:pPr>
              <w:pStyle w:val="Compact"/>
            </w:pPr>
            <w:r>
              <w:rPr>
                <w:b/>
                <w:bCs/>
                <w:sz w:val="19"/>
                <w:szCs w:val="19"/>
                <w:lang w:val="es-ES"/>
              </w:rPr>
              <w:t xml:space="preserve">Personal OHADJA</w:t>
            </w:r>
          </w:p>
        </w:tc>
        <w:tc>
          <w:tcPr>
            <w:tcW w:type="dxa" w:w="1872"/>
            <w:tcMar>
              <w:left w:type="dxa" w:w="80"/>
              <w:right w:type="dxa" w:w="80"/>
            </w:tcMar>
          </w:tcPr>
          <w:p>
            <w:pPr>
              <w:pStyle w:val="Compact"/>
            </w:pPr>
            <w:r>
              <w:rPr>
                <w:sz w:val="19"/>
                <w:szCs w:val="19"/>
                <w:lang w:val="es-ES"/>
              </w:rPr>
              <w:t xml:space="preserve">Operación, soporte, seguridad.</w:t>
            </w:r>
          </w:p>
        </w:tc>
        <w:tc>
          <w:tcPr>
            <w:tcW w:type="dxa" w:w="1872"/>
            <w:tcMar>
              <w:left w:type="dxa" w:w="80"/>
              <w:right w:type="dxa" w:w="80"/>
            </w:tcMar>
          </w:tcPr>
          <w:p>
            <w:pPr>
              <w:pStyle w:val="Compact"/>
            </w:pPr>
            <w:r>
              <w:rPr>
                <w:b/>
                <w:bCs/>
                <w:sz w:val="19"/>
                <w:szCs w:val="19"/>
                <w:lang w:val="es-ES"/>
              </w:rPr>
              <w:t xml:space="preserve">Francia/UE </w:t>
            </w:r>
            <w:r>
              <w:rPr>
                <w:sz w:val="19"/>
                <w:szCs w:val="19"/>
                <w:lang w:val="es-ES"/>
              </w:rPr>
              <w:t xml:space="preserve"/>
            </w:r>
            <w:r>
              <w:rPr>
                <w:sz w:val="19"/>
                <w:szCs w:val="19"/>
                <w:lang w:val="es-ES"/>
              </w:rPr>
              <w:t xml:space="preserve">(compromiso de acceso exclusivamente Francia/UE)</w:t>
            </w:r>
          </w:p>
        </w:tc>
        <w:tc>
          <w:tcPr>
            <w:tcW w:type="dxa" w:w="1872"/>
            <w:tcMar>
              <w:left w:type="dxa" w:w="80"/>
              <w:right w:type="dxa" w:w="80"/>
            </w:tcMar>
          </w:tcPr>
          <w:p>
            <w:pPr>
              <w:pStyle w:val="Compact"/>
            </w:pPr>
            <w:r>
              <w:rPr>
                <w:sz w:val="19"/>
                <w:szCs w:val="19"/>
                <w:lang w:val="es-ES"/>
              </w:rPr>
              <w:t xml:space="preserve">Personalizado, clave SSH, 2FA TOTP, TLS, </w:t>
            </w:r>
            <w:r>
              <w:rPr>
                <w:sz w:val="19"/>
                <w:szCs w:val="19"/>
                <w:lang w:val="es-ES"/>
              </w:rPr>
              <w:t xml:space="preserve">registrado, </w:t>
            </w:r>
            <w:r>
              <w:rPr>
                <w:b/>
                <w:bCs/>
                <w:sz w:val="19"/>
                <w:szCs w:val="19"/>
                <w:lang w:val="es-ES"/>
              </w:rPr>
              <w:t xml:space="preserve">sin copia local</w:t>
            </w:r>
          </w:p>
        </w:tc>
        <w:tc>
          <w:tcPr>
            <w:tcW w:type="dxa" w:w="1872"/>
            <w:tcMar>
              <w:left w:type="dxa" w:w="80"/>
              <w:right w:type="dxa" w:w="80"/>
            </w:tcMar>
          </w:tcPr>
          <w:p>
            <w:pPr>
              <w:pStyle w:val="Compact"/>
            </w:pPr>
            <w:r>
              <w:rPr>
                <w:sz w:val="19"/>
                <w:szCs w:val="19"/>
                <w:lang w:val="es-ES"/>
              </w:rPr>
              <w:t xml:space="preserve">Sí, según sea necesario</w:t>
            </w:r>
          </w:p>
        </w:tc>
      </w:tr>
      <w:tr>
        <w:trPr>
          <w:cantSplit/>
        </w:trPr>
        <w:tc>
          <w:tcPr>
            <w:tcW w:type="dxa" w:w="1872"/>
            <w:tcMar>
              <w:left w:type="dxa" w:w="80"/>
              <w:right w:type="dxa" w:w="80"/>
            </w:tcMar>
          </w:tcPr>
          <w:p>
            <w:pPr>
              <w:pStyle w:val="Compact"/>
            </w:pPr>
            <w:r>
              <w:rPr>
                <w:b/>
                <w:bCs/>
                <w:sz w:val="19"/>
                <w:szCs w:val="19"/>
                <w:lang w:val="es-ES"/>
              </w:rPr>
              <w:t xml:space="preserve">AMBASSADIA SARL </w:t>
            </w:r>
            <w:r>
              <w:rPr>
                <w:sz w:val="19"/>
                <w:szCs w:val="19"/>
                <w:lang w:val="es-ES"/>
              </w:rPr>
              <w:t xml:space="preserve"/>
            </w:r>
            <w:r>
              <w:rPr>
                <w:sz w:val="19"/>
                <w:szCs w:val="19"/>
                <w:lang w:val="es-ES"/>
              </w:rPr>
              <w:t xml:space="preserve">(revendedor)</w:t>
            </w:r>
          </w:p>
        </w:tc>
        <w:tc>
          <w:tcPr>
            <w:tcW w:type="dxa" w:w="1872"/>
            <w:tcMar>
              <w:left w:type="dxa" w:w="80"/>
              <w:right w:type="dxa" w:w="80"/>
            </w:tcMar>
          </w:tcPr>
          <w:p>
            <w:pPr>
              <w:pStyle w:val="Compact"/>
            </w:pPr>
            <w:r>
              <w:rPr>
                <w:sz w:val="19"/>
                <w:szCs w:val="19"/>
                <w:lang w:val="es-ES"/>
              </w:rPr>
              <w:t xml:space="preserve">—</w:t>
            </w:r>
          </w:p>
        </w:tc>
        <w:tc>
          <w:tcPr>
            <w:tcW w:type="dxa" w:w="1872"/>
            <w:tcMar>
              <w:left w:type="dxa" w:w="80"/>
              <w:right w:type="dxa" w:w="80"/>
            </w:tcMar>
          </w:tcPr>
          <w:p>
            <w:pPr>
              <w:pStyle w:val="Compact"/>
            </w:pPr>
            <w:r>
              <w:rPr>
                <w:sz w:val="19"/>
                <w:szCs w:val="19"/>
                <w:lang w:val="es-ES"/>
              </w:rPr>
              <w:t xml:space="preserve">—</w:t>
            </w:r>
          </w:p>
        </w:tc>
        <w:tc>
          <w:tcPr>
            <w:tcW w:type="dxa" w:w="1872"/>
            <w:tcMar>
              <w:left w:type="dxa" w:w="80"/>
              <w:right w:type="dxa" w:w="80"/>
            </w:tcMar>
          </w:tcPr>
          <w:p>
            <w:pPr>
              <w:pStyle w:val="Compact"/>
            </w:pPr>
            <w:r>
              <w:rPr>
                <w:sz w:val="19"/>
                <w:szCs w:val="19"/>
                <w:lang w:val="es-ES"/>
              </w:rPr>
              <w:t xml:space="preserve">Sin acceso a la producción (rol comercial de revendedor)</w:t>
            </w:r>
          </w:p>
        </w:tc>
        <w:tc>
          <w:tcPr>
            <w:tcW w:type="dxa" w:w="1872"/>
            <w:tcMar>
              <w:left w:type="dxa" w:w="80"/>
              <w:right w:type="dxa" w:w="80"/>
            </w:tcMar>
          </w:tcPr>
          <w:p>
            <w:pPr>
              <w:pStyle w:val="Compact"/>
            </w:pPr>
            <w:r>
              <w:rPr>
                <w:b/>
                <w:bCs/>
                <w:sz w:val="19"/>
                <w:szCs w:val="19"/>
                <w:lang w:val="es-ES"/>
              </w:rPr>
              <w:t xml:space="preserve">No</w:t>
            </w:r>
          </w:p>
        </w:tc>
      </w:tr>
      <w:tr>
        <w:trPr>
          <w:cantSplit/>
        </w:trPr>
        <w:tc>
          <w:tcPr>
            <w:tcW w:type="dxa" w:w="1872"/>
            <w:tcMar>
              <w:left w:type="dxa" w:w="80"/>
              <w:right w:type="dxa" w:w="80"/>
            </w:tcMar>
          </w:tcPr>
          <w:p>
            <w:pPr>
              <w:pStyle w:val="Compact"/>
            </w:pPr>
            <w:r>
              <w:rPr>
                <w:b/>
                <w:bCs/>
                <w:sz w:val="19"/>
                <w:szCs w:val="19"/>
                <w:lang w:val="es-ES"/>
              </w:rPr>
              <w:t xml:space="preserve">su integrador/revendedor</w:t>
            </w:r>
          </w:p>
        </w:tc>
        <w:tc>
          <w:tcPr>
            <w:tcW w:type="dxa" w:w="1872"/>
            <w:tcMar>
              <w:left w:type="dxa" w:w="80"/>
              <w:right w:type="dxa" w:w="80"/>
            </w:tcMar>
          </w:tcPr>
          <w:p>
            <w:pPr>
              <w:pStyle w:val="Compact"/>
            </w:pPr>
            <w:r>
              <w:rPr>
                <w:sz w:val="19"/>
                <w:szCs w:val="19"/>
                <w:lang w:val="es-ES"/>
              </w:rPr>
              <w:t xml:space="preserve">—</w:t>
            </w:r>
          </w:p>
        </w:tc>
        <w:tc>
          <w:tcPr>
            <w:tcW w:type="dxa" w:w="1872"/>
            <w:tcMar>
              <w:left w:type="dxa" w:w="80"/>
              <w:right w:type="dxa" w:w="80"/>
            </w:tcMar>
          </w:tcPr>
          <w:p>
            <w:pPr>
              <w:pStyle w:val="Compact"/>
            </w:pPr>
            <w:r>
              <w:rPr>
                <w:sz w:val="19"/>
                <w:szCs w:val="19"/>
                <w:lang w:val="es-ES"/>
              </w:rPr>
              <w:t xml:space="preserve">—</w:t>
            </w:r>
          </w:p>
        </w:tc>
        <w:tc>
          <w:tcPr>
            <w:tcW w:type="dxa" w:w="1872"/>
            <w:tcMar>
              <w:left w:type="dxa" w:w="80"/>
              <w:right w:type="dxa" w:w="80"/>
            </w:tcMar>
          </w:tcPr>
          <w:p>
            <w:pPr>
              <w:pStyle w:val="Compact"/>
            </w:pPr>
            <w:r>
              <w:rPr>
                <w:sz w:val="19"/>
                <w:szCs w:val="19"/>
                <w:lang w:val="es-ES"/>
              </w:rPr>
              <w:t xml:space="preserve">Sin acceso a la producción; rol de administrador solo en el </w:t>
            </w:r>
            <w:r>
              <w:rPr>
                <w:sz w:val="19"/>
                <w:szCs w:val="19"/>
                <w:lang w:val="es-ES"/>
              </w:rPr>
              <w:t xml:space="preserve"/>
            </w:r>
            <w:r>
              <w:rPr>
                <w:b/>
                <w:bCs/>
                <w:sz w:val="19"/>
                <w:szCs w:val="19"/>
                <w:lang w:val="es-ES"/>
              </w:rPr>
              <w:t xml:space="preserve">entorno de </w:t>
            </w:r>
            <w:r>
              <w:rPr>
                <w:sz w:val="19"/>
                <w:szCs w:val="19"/>
                <w:lang w:val="es-ES"/>
              </w:rPr>
              <w:t xml:space="preserve"/>
            </w:r>
            <w:r>
              <w:rPr>
                <w:sz w:val="19"/>
                <w:szCs w:val="19"/>
                <w:lang w:val="es-ES"/>
              </w:rPr>
              <w:t xml:space="preserve">demostración</w:t>
            </w:r>
          </w:p>
        </w:tc>
        <w:tc>
          <w:tcPr>
            <w:tcW w:type="dxa" w:w="1872"/>
            <w:tcMar>
              <w:left w:type="dxa" w:w="80"/>
              <w:right w:type="dxa" w:w="80"/>
            </w:tcMar>
          </w:tcPr>
          <w:p>
            <w:pPr>
              <w:pStyle w:val="Compact"/>
            </w:pPr>
            <w:r>
              <w:rPr>
                <w:b/>
                <w:bCs/>
                <w:sz w:val="19"/>
                <w:szCs w:val="19"/>
                <w:lang w:val="es-ES"/>
              </w:rPr>
              <w:t xml:space="preserve">No </w:t>
            </w:r>
            <w:r>
              <w:rPr>
                <w:sz w:val="19"/>
                <w:szCs w:val="19"/>
                <w:lang w:val="es-ES"/>
              </w:rPr>
              <w:t xml:space="preserve"/>
            </w:r>
            <w:r>
              <w:rPr>
                <w:sz w:val="19"/>
                <w:szCs w:val="19"/>
                <w:lang w:val="es-ES"/>
              </w:rPr>
              <w:t xml:space="preserve">(sin audio ni transcripciones)</w:t>
            </w:r>
          </w:p>
        </w:tc>
      </w:tr>
      <w:tr>
        <w:trPr>
          <w:cantSplit/>
        </w:trPr>
        <w:tc>
          <w:tcPr>
            <w:tcW w:type="dxa" w:w="1872"/>
            <w:tcMar>
              <w:left w:type="dxa" w:w="80"/>
              <w:right w:type="dxa" w:w="80"/>
            </w:tcMar>
          </w:tcPr>
          <w:p>
            <w:pPr>
              <w:pStyle w:val="Compact"/>
            </w:pPr>
            <w:r>
              <w:rPr>
                <w:b/>
                <w:bCs/>
                <w:sz w:val="19"/>
                <w:szCs w:val="19"/>
                <w:lang w:val="es-ES"/>
              </w:rPr>
              <w:t xml:space="preserve">IA: canal principal </w:t>
            </w:r>
            <w:r>
              <w:rPr>
                <w:sz w:val="19"/>
                <w:szCs w:val="19"/>
                <w:lang w:val="es-ES"/>
              </w:rPr>
              <w:t xml:space="preserve"/>
            </w:r>
            <w:r>
              <w:rPr>
                <w:sz w:val="19"/>
                <w:szCs w:val="19"/>
                <w:lang w:val="es-ES"/>
              </w:rPr>
              <w:t xml:space="preserve">(servidores vLLM controlados)</w:t>
            </w:r>
          </w:p>
        </w:tc>
        <w:tc>
          <w:tcPr>
            <w:tcW w:type="dxa" w:w="1872"/>
            <w:tcMar>
              <w:left w:type="dxa" w:w="80"/>
              <w:right w:type="dxa" w:w="80"/>
            </w:tcMar>
          </w:tcPr>
          <w:p>
            <w:pPr>
              <w:pStyle w:val="Compact"/>
            </w:pPr>
            <w:r>
              <w:rPr>
                <w:sz w:val="19"/>
                <w:szCs w:val="19"/>
                <w:lang w:val="es-ES"/>
              </w:rPr>
              <w:t xml:space="preserve">Procesamiento </w:t>
            </w:r>
            <w:r>
              <w:rPr>
                <w:sz w:val="19"/>
                <w:szCs w:val="19"/>
                <w:lang w:val="es-ES"/>
              </w:rPr>
              <w:t xml:space="preserve"/>
            </w:r>
            <w:r>
              <w:rPr>
                <w:b/>
                <w:bCs/>
                <w:sz w:val="19"/>
                <w:szCs w:val="19"/>
                <w:lang w:val="es-ES"/>
              </w:rPr>
              <w:t xml:space="preserve">automatizado </w:t>
            </w:r>
            <w:r>
              <w:rPr>
                <w:sz w:val="19"/>
                <w:szCs w:val="19"/>
                <w:lang w:val="es-ES"/>
              </w:rPr>
              <w:t xml:space="preserve"/>
            </w:r>
            <w:r>
              <w:rPr>
                <w:sz w:val="19"/>
                <w:szCs w:val="19"/>
                <w:lang w:val="es-ES"/>
              </w:rPr>
              <w:t xml:space="preserve">en servidores controlados por OHADJA</w:t>
            </w:r>
          </w:p>
        </w:tc>
        <w:tc>
          <w:tcPr>
            <w:tcW w:type="dxa" w:w="1872"/>
            <w:tcMar>
              <w:left w:type="dxa" w:w="80"/>
              <w:right w:type="dxa" w:w="80"/>
            </w:tcMar>
          </w:tcPr>
          <w:p>
            <w:pPr>
              <w:pStyle w:val="Compact"/>
            </w:pPr>
            <w:r>
              <w:rPr>
                <w:b/>
                <w:bCs/>
                <w:sz w:val="19"/>
                <w:szCs w:val="19"/>
                <w:lang w:val="es-ES"/>
              </w:rPr>
              <w:t xml:space="preserve">UE — Estrasburgo / París</w:t>
            </w:r>
          </w:p>
        </w:tc>
        <w:tc>
          <w:tcPr>
            <w:tcW w:type="dxa" w:w="1872"/>
            <w:tcMar>
              <w:left w:type="dxa" w:w="80"/>
              <w:right w:type="dxa" w:w="80"/>
            </w:tcMar>
          </w:tcPr>
          <w:p>
            <w:pPr>
              <w:pStyle w:val="Compact"/>
            </w:pPr>
            <w:r>
              <w:rPr>
                <w:sz w:val="19"/>
                <w:szCs w:val="19"/>
                <w:lang w:val="es-ES"/>
              </w:rPr>
              <w:t xml:space="preserve">Modelos de peso abierto, sin terceros, sin entrenamiento («no-train»)</w:t>
            </w:r>
          </w:p>
        </w:tc>
        <w:tc>
          <w:tcPr>
            <w:tcW w:type="dxa" w:w="1872"/>
            <w:tcMar>
              <w:left w:type="dxa" w:w="80"/>
              <w:right w:type="dxa" w:w="80"/>
            </w:tcMar>
          </w:tcPr>
          <w:p>
            <w:pPr>
              <w:pStyle w:val="Compact"/>
            </w:pPr>
            <w:r>
              <w:rPr>
                <w:sz w:val="19"/>
                <w:szCs w:val="19"/>
                <w:lang w:val="es-ES"/>
              </w:rPr>
              <w:t xml:space="preserve">Sin acceso de terceros; sin acceso humano a las indicaciones</w:t>
            </w:r>
          </w:p>
        </w:tc>
      </w:tr>
      <w:tr>
        <w:trPr>
          <w:cantSplit/>
        </w:trPr>
        <w:tc>
          <w:tcPr>
            <w:tcW w:type="dxa" w:w="1872"/>
            <w:tcMar>
              <w:left w:type="dxa" w:w="80"/>
              <w:right w:type="dxa" w:w="80"/>
            </w:tcMar>
          </w:tcPr>
          <w:p>
            <w:pPr>
              <w:pStyle w:val="Compact"/>
            </w:pPr>
            <w:r>
              <w:rPr>
                <w:b/>
                <w:bCs/>
                <w:sz w:val="19"/>
                <w:szCs w:val="19"/>
                <w:lang w:val="es-ES"/>
              </w:rPr>
              <w:t xml:space="preserve">IA — ruta de emergencia </w:t>
            </w:r>
            <w:r>
              <w:rPr>
                <w:sz w:val="19"/>
                <w:szCs w:val="19"/>
                <w:lang w:val="es-ES"/>
              </w:rPr>
              <w:t xml:space="preserve"/>
            </w:r>
            <w:r>
              <w:rPr>
                <w:sz w:val="19"/>
                <w:szCs w:val="19"/>
                <w:lang w:val="es-ES"/>
              </w:rPr>
              <w:t xml:space="preserve">(OpenRouter, Anthropic, OpenAI…)</w:t>
            </w:r>
          </w:p>
        </w:tc>
        <w:tc>
          <w:tcPr>
            <w:tcW w:type="dxa" w:w="1872"/>
            <w:tcMar>
              <w:left w:type="dxa" w:w="80"/>
              <w:right w:type="dxa" w:w="80"/>
            </w:tcMar>
          </w:tcPr>
          <w:p>
            <w:pPr>
              <w:pStyle w:val="Compact"/>
            </w:pPr>
            <w:r>
              <w:rPr>
                <w:sz w:val="19"/>
                <w:szCs w:val="19"/>
                <w:lang w:val="es-ES"/>
              </w:rPr>
              <w:t xml:space="preserve">Acceso </w:t>
            </w:r>
            <w:r>
              <w:rPr>
                <w:sz w:val="19"/>
                <w:szCs w:val="19"/>
                <w:lang w:val="es-ES"/>
              </w:rPr>
              <w:t xml:space="preserve"/>
            </w:r>
            <w:r>
              <w:rPr>
                <w:b/>
                <w:bCs/>
                <w:sz w:val="19"/>
                <w:szCs w:val="19"/>
                <w:lang w:val="es-ES"/>
              </w:rPr>
              <w:t xml:space="preserve">técnico automatizado </w:t>
            </w:r>
            <w:r>
              <w:rPr>
                <w:sz w:val="19"/>
                <w:szCs w:val="19"/>
                <w:lang w:val="es-ES"/>
              </w:rPr>
              <w:t xml:space="preserve"/>
            </w:r>
            <w:r>
              <w:rPr>
                <w:sz w:val="19"/>
                <w:szCs w:val="19"/>
                <w:lang w:val="es-ES"/>
              </w:rPr>
              <w:t xml:space="preserve">(inferencia), </w:t>
            </w:r>
            <w:r>
              <w:rPr>
                <w:sz w:val="19"/>
                <w:szCs w:val="19"/>
                <w:lang w:val="es-ES"/>
              </w:rPr>
              <w:t xml:space="preserve"/>
            </w:r>
            <w:r>
              <w:rPr>
                <w:b/>
                <w:bCs/>
                <w:sz w:val="19"/>
                <w:szCs w:val="19"/>
                <w:lang w:val="es-ES"/>
              </w:rPr>
              <w:t xml:space="preserve">desactivable</w:t>
            </w:r>
          </w:p>
        </w:tc>
        <w:tc>
          <w:tcPr>
            <w:tcW w:type="dxa" w:w="1872"/>
            <w:tcMar>
              <w:left w:type="dxa" w:w="80"/>
              <w:right w:type="dxa" w:w="80"/>
            </w:tcMar>
          </w:tcPr>
          <w:p>
            <w:pPr>
              <w:pStyle w:val="Compact"/>
            </w:pPr>
            <w:r>
              <w:rPr>
                <w:sz w:val="19"/>
                <w:szCs w:val="19"/>
                <w:lang w:val="es-ES"/>
              </w:rPr>
              <w:t xml:space="preserve">EE. UU./UE según el modelo</w:t>
            </w:r>
          </w:p>
        </w:tc>
        <w:tc>
          <w:tcPr>
            <w:tcW w:type="dxa" w:w="1872"/>
            <w:tcMar>
              <w:left w:type="dxa" w:w="80"/>
              <w:right w:type="dxa" w:w="80"/>
            </w:tcMar>
          </w:tcPr>
          <w:p>
            <w:pPr>
              <w:pStyle w:val="Compact"/>
            </w:pPr>
            <w:r>
              <w:rPr>
                <w:sz w:val="19"/>
                <w:szCs w:val="19"/>
                <w:lang w:val="es-ES"/>
              </w:rPr>
              <w:t xml:space="preserve">sin entrenamiento («no-train»), sin almacenamiento duradero, proveedor DPA, CCT si corresponde</w:t>
            </w:r>
          </w:p>
        </w:tc>
        <w:tc>
          <w:tcPr>
            <w:tcW w:type="dxa" w:w="1872"/>
            <w:tcMar>
              <w:left w:type="dxa" w:w="80"/>
              <w:right w:type="dxa" w:w="80"/>
            </w:tcMar>
          </w:tcPr>
          <w:p>
            <w:pPr>
              <w:pStyle w:val="Compact"/>
            </w:pPr>
            <w:r>
              <w:rPr>
                <w:sz w:val="19"/>
                <w:szCs w:val="19"/>
                <w:lang w:val="es-ES"/>
              </w:rPr>
              <w:t xml:space="preserve">Acceso de la máquina a indicaciones durante la inferencia; </w:t>
            </w:r>
            <w:r>
              <w:rPr>
                <w:sz w:val="19"/>
                <w:szCs w:val="19"/>
                <w:lang w:val="es-ES"/>
              </w:rPr>
              <w:t xml:space="preserve"/>
            </w:r>
            <w:r>
              <w:rPr>
                <w:b/>
                <w:bCs/>
                <w:sz w:val="19"/>
                <w:szCs w:val="19"/>
                <w:lang w:val="es-ES"/>
              </w:rPr>
              <w:t xml:space="preserve">lado sin acceso </w:t>
            </w:r>
            <w:r>
              <w:rPr>
                <w:sz w:val="19"/>
                <w:szCs w:val="19"/>
                <w:lang w:val="es-ES"/>
              </w:rPr>
              <w:t xml:space="preserve"/>
            </w:r>
            <w:r>
              <w:rPr>
                <w:sz w:val="19"/>
                <w:szCs w:val="19"/>
                <w:lang w:val="es-ES"/>
              </w:rPr>
              <w:t xml:space="preserve">humano OHADJA</w:t>
            </w:r>
          </w:p>
        </w:tc>
      </w:tr>
      <w:tr>
        <w:trPr>
          <w:cantSplit/>
        </w:trPr>
        <w:tc>
          <w:tcPr>
            <w:tcW w:type="dxa" w:w="1872"/>
            <w:tcMar>
              <w:left w:type="dxa" w:w="80"/>
              <w:right w:type="dxa" w:w="80"/>
            </w:tcMar>
          </w:tcPr>
          <w:p>
            <w:pPr>
              <w:pStyle w:val="Compact"/>
            </w:pPr>
            <w:r>
              <w:rPr>
                <w:b/>
                <w:bCs/>
                <w:sz w:val="19"/>
                <w:szCs w:val="19"/>
                <w:lang w:val="es-ES"/>
              </w:rPr>
              <w:t xml:space="preserve">Anfitrión </w:t>
            </w:r>
            <w:r>
              <w:rPr>
                <w:sz w:val="19"/>
                <w:szCs w:val="19"/>
                <w:lang w:val="es-ES"/>
              </w:rPr>
              <w:t xml:space="preserve"/>
            </w:r>
            <w:r>
              <w:rPr>
                <w:sz w:val="19"/>
                <w:szCs w:val="19"/>
                <w:lang w:val="es-ES"/>
              </w:rPr>
              <w:t xml:space="preserve">(Hostinger)</w:t>
            </w:r>
          </w:p>
        </w:tc>
        <w:tc>
          <w:tcPr>
            <w:tcW w:type="dxa" w:w="1872"/>
            <w:tcMar>
              <w:left w:type="dxa" w:w="80"/>
              <w:right w:type="dxa" w:w="80"/>
            </w:tcMar>
          </w:tcPr>
          <w:p>
            <w:pPr>
              <w:pStyle w:val="Compact"/>
            </w:pPr>
            <w:r>
              <w:rPr>
                <w:sz w:val="19"/>
                <w:szCs w:val="19"/>
                <w:lang w:val="es-ES"/>
              </w:rPr>
              <w:t xml:space="preserve">Alojamiento físico</w:t>
            </w:r>
          </w:p>
        </w:tc>
        <w:tc>
          <w:tcPr>
            <w:tcW w:type="dxa" w:w="1872"/>
            <w:tcMar>
              <w:left w:type="dxa" w:w="80"/>
              <w:right w:type="dxa" w:w="80"/>
            </w:tcMar>
          </w:tcPr>
          <w:p>
            <w:pPr>
              <w:pStyle w:val="Compact"/>
            </w:pPr>
            <w:r>
              <w:rPr>
                <w:sz w:val="19"/>
                <w:szCs w:val="19"/>
                <w:lang w:val="es-ES"/>
              </w:rPr>
              <w:t xml:space="preserve">Centro de datos Francia</w:t>
            </w:r>
          </w:p>
        </w:tc>
        <w:tc>
          <w:tcPr>
            <w:tcW w:type="dxa" w:w="1872"/>
            <w:tcMar>
              <w:left w:type="dxa" w:w="80"/>
              <w:right w:type="dxa" w:w="80"/>
            </w:tcMar>
          </w:tcPr>
          <w:p>
            <w:pPr>
              <w:pStyle w:val="Compact"/>
            </w:pPr>
            <w:r>
              <w:rPr>
                <w:sz w:val="19"/>
                <w:szCs w:val="19"/>
                <w:lang w:val="es-ES"/>
              </w:rPr>
              <w:t xml:space="preserve">Acceso físico únicamente al centro de datos; Cifrado de disco según oferta del centro de datos.</w:t>
            </w:r>
          </w:p>
        </w:tc>
        <w:tc>
          <w:tcPr>
            <w:tcW w:type="dxa" w:w="1872"/>
            <w:tcMar>
              <w:left w:type="dxa" w:w="80"/>
              <w:right w:type="dxa" w:w="80"/>
            </w:tcMar>
          </w:tcPr>
          <w:p>
            <w:pPr>
              <w:pStyle w:val="Compact"/>
            </w:pPr>
            <w:r>
              <w:rPr>
                <w:b/>
                <w:bCs/>
                <w:sz w:val="19"/>
                <w:szCs w:val="19"/>
                <w:lang w:val="es-ES"/>
              </w:rPr>
              <w:t xml:space="preserve">No </w:t>
            </w:r>
            <w:r>
              <w:rPr>
                <w:sz w:val="19"/>
                <w:szCs w:val="19"/>
                <w:lang w:val="es-ES"/>
              </w:rPr>
              <w:t xml:space="preserve"/>
            </w:r>
            <w:r>
              <w:rPr>
                <w:sz w:val="19"/>
                <w:szCs w:val="19"/>
                <w:lang w:val="es-ES"/>
              </w:rPr>
              <w:t xml:space="preserve">(sin acceso lógico)</w:t>
            </w:r>
          </w:p>
        </w:tc>
      </w:tr>
      <w:tr>
        <w:trPr>
          <w:cantSplit/>
        </w:trPr>
        <w:tc>
          <w:tcPr>
            <w:tcW w:type="dxa" w:w="1872"/>
            <w:tcMar>
              <w:left w:type="dxa" w:w="80"/>
              <w:right w:type="dxa" w:w="80"/>
            </w:tcMar>
          </w:tcPr>
          <w:p>
            <w:pPr>
              <w:pStyle w:val="Compact"/>
            </w:pPr>
            <w:r>
              <w:rPr>
                <w:b/>
                <w:bCs/>
                <w:sz w:val="19"/>
                <w:szCs w:val="19"/>
                <w:lang w:val="es-ES"/>
              </w:rPr>
              <w:t xml:space="preserve">Copia de </w:t>
            </w:r>
            <w:r>
              <w:rPr>
                <w:sz w:val="19"/>
                <w:szCs w:val="19"/>
                <w:lang w:val="es-ES"/>
              </w:rPr>
              <w:t xml:space="preserve">seguridad </w:t>
            </w:r>
            <w:r>
              <w:rPr>
                <w:sz w:val="19"/>
                <w:szCs w:val="19"/>
                <w:lang w:val="es-ES"/>
              </w:rPr>
              <w:t xml:space="preserve">(Scaleway)</w:t>
            </w:r>
          </w:p>
        </w:tc>
        <w:tc>
          <w:tcPr>
            <w:tcW w:type="dxa" w:w="1872"/>
            <w:tcMar>
              <w:left w:type="dxa" w:w="80"/>
              <w:right w:type="dxa" w:w="80"/>
            </w:tcMar>
          </w:tcPr>
          <w:p>
            <w:pPr>
              <w:pStyle w:val="Compact"/>
            </w:pPr>
            <w:r>
              <w:rPr>
                <w:sz w:val="19"/>
                <w:szCs w:val="19"/>
                <w:lang w:val="es-ES"/>
              </w:rPr>
              <w:t xml:space="preserve">Almacenamiento de objetos cifrados</w:t>
            </w:r>
          </w:p>
        </w:tc>
        <w:tc>
          <w:tcPr>
            <w:tcW w:type="dxa" w:w="1872"/>
            <w:tcMar>
              <w:left w:type="dxa" w:w="80"/>
              <w:right w:type="dxa" w:w="80"/>
            </w:tcMar>
          </w:tcPr>
          <w:p>
            <w:pPr>
              <w:pStyle w:val="Compact"/>
            </w:pPr>
            <w:r>
              <w:rPr>
                <w:sz w:val="19"/>
                <w:szCs w:val="19"/>
                <w:lang w:val="es-ES"/>
              </w:rPr>
              <w:t xml:space="preserve">Francia (UE)</w:t>
            </w:r>
          </w:p>
        </w:tc>
        <w:tc>
          <w:tcPr>
            <w:tcW w:type="dxa" w:w="1872"/>
            <w:tcMar>
              <w:left w:type="dxa" w:w="80"/>
              <w:right w:type="dxa" w:w="80"/>
            </w:tcMar>
          </w:tcPr>
          <w:p>
            <w:pPr>
              <w:pStyle w:val="Compact"/>
            </w:pPr>
            <w:r>
              <w:rPr>
                <w:sz w:val="19"/>
                <w:szCs w:val="19"/>
                <w:lang w:val="es-ES"/>
              </w:rPr>
              <w:t xml:space="preserve">Datos cifrados con age </w:t>
            </w:r>
            <w:r>
              <w:rPr>
                <w:sz w:val="19"/>
                <w:szCs w:val="19"/>
                <w:lang w:val="es-ES"/>
              </w:rPr>
              <w:t xml:space="preserve"/>
            </w:r>
            <w:r>
              <w:rPr>
                <w:b/>
                <w:bCs/>
                <w:sz w:val="19"/>
                <w:szCs w:val="19"/>
                <w:lang w:val="es-ES"/>
              </w:rPr>
              <w:t xml:space="preserve">antes </w:t>
            </w:r>
            <w:r>
              <w:rPr>
                <w:sz w:val="19"/>
                <w:szCs w:val="19"/>
                <w:lang w:val="es-ES"/>
              </w:rPr>
              <w:t xml:space="preserve"/>
            </w:r>
            <w:r>
              <w:rPr>
                <w:sz w:val="19"/>
                <w:szCs w:val="19"/>
                <w:lang w:val="es-ES"/>
              </w:rPr>
              <w:t xml:space="preserve">del envío, claves fuera de su alcance</w:t>
            </w:r>
          </w:p>
        </w:tc>
        <w:tc>
          <w:tcPr>
            <w:tcW w:type="dxa" w:w="1872"/>
            <w:tcMar>
              <w:left w:type="dxa" w:w="80"/>
              <w:right w:type="dxa" w:w="80"/>
            </w:tcMar>
          </w:tcPr>
          <w:p>
            <w:pPr>
              <w:pStyle w:val="Compact"/>
            </w:pPr>
            <w:r>
              <w:rPr>
                <w:b/>
                <w:bCs/>
                <w:sz w:val="19"/>
                <w:szCs w:val="19"/>
                <w:lang w:val="es-ES"/>
              </w:rPr>
              <w:t xml:space="preserve">No </w:t>
            </w:r>
            <w:r>
              <w:rPr>
                <w:sz w:val="19"/>
                <w:szCs w:val="19"/>
                <w:lang w:val="es-ES"/>
              </w:rPr>
              <w:t xml:space="preserve"/>
            </w:r>
            <w:r>
              <w:rPr>
                <w:sz w:val="19"/>
                <w:szCs w:val="19"/>
                <w:lang w:val="es-ES"/>
              </w:rPr>
              <w:t xml:space="preserve">(datos ilegibles para el proveedor del servicio)</w:t>
            </w:r>
          </w:p>
        </w:tc>
      </w:tr>
      <w:tr>
        <w:trPr>
          <w:cantSplit/>
        </w:trPr>
        <w:tc>
          <w:tcPr>
            <w:tcW w:type="dxa" w:w="1872"/>
            <w:tcMar>
              <w:left w:type="dxa" w:w="80"/>
              <w:right w:type="dxa" w:w="80"/>
            </w:tcMar>
          </w:tcPr>
          <w:p>
            <w:pPr>
              <w:pStyle w:val="Compact"/>
            </w:pPr>
            <w:r>
              <w:rPr>
                <w:b/>
                <w:bCs/>
                <w:sz w:val="19"/>
                <w:szCs w:val="19"/>
                <w:lang w:val="es-ES"/>
              </w:rPr>
              <w:t xml:space="preserve">Transcripción de GPU </w:t>
            </w:r>
            <w:r>
              <w:rPr>
                <w:sz w:val="19"/>
                <w:szCs w:val="19"/>
                <w:lang w:val="es-ES"/>
              </w:rPr>
              <w:t xml:space="preserve"/>
            </w:r>
            <w:r>
              <w:rPr>
                <w:sz w:val="19"/>
                <w:szCs w:val="19"/>
                <w:lang w:val="es-ES"/>
              </w:rPr>
              <w:t xml:space="preserve">(GPU dedicada/Vast.ai si está habilitado)</w:t>
            </w:r>
          </w:p>
        </w:tc>
        <w:tc>
          <w:tcPr>
            <w:tcW w:type="dxa" w:w="1872"/>
            <w:tcMar>
              <w:left w:type="dxa" w:w="80"/>
              <w:right w:type="dxa" w:w="80"/>
            </w:tcMar>
          </w:tcPr>
          <w:p>
            <w:pPr>
              <w:pStyle w:val="Compact"/>
            </w:pPr>
            <w:r>
              <w:rPr>
                <w:sz w:val="19"/>
                <w:szCs w:val="19"/>
                <w:lang w:val="es-ES"/>
              </w:rPr>
              <w:t xml:space="preserve">Procesamiento automatizado</w:t>
            </w:r>
          </w:p>
        </w:tc>
        <w:tc>
          <w:tcPr>
            <w:tcW w:type="dxa" w:w="1872"/>
            <w:tcMar>
              <w:left w:type="dxa" w:w="80"/>
              <w:right w:type="dxa" w:w="80"/>
            </w:tcMar>
          </w:tcPr>
          <w:p>
            <w:pPr>
              <w:pStyle w:val="Compact"/>
            </w:pPr>
            <w:r>
              <w:rPr>
                <w:sz w:val="19"/>
                <w:szCs w:val="19"/>
                <w:lang w:val="es-ES"/>
              </w:rPr>
              <w:t xml:space="preserve">UE cuando sea necesario; fuera del EEE posible a través del mercado</w:t>
            </w:r>
          </w:p>
        </w:tc>
        <w:tc>
          <w:tcPr>
            <w:tcW w:type="dxa" w:w="1872"/>
            <w:tcMar>
              <w:left w:type="dxa" w:w="80"/>
              <w:right w:type="dxa" w:w="80"/>
            </w:tcMar>
          </w:tcPr>
          <w:p>
            <w:pPr>
              <w:pStyle w:val="Compact"/>
            </w:pPr>
            <w:r>
              <w:rPr>
                <w:sz w:val="19"/>
                <w:szCs w:val="19"/>
                <w:lang w:val="es-ES"/>
              </w:rPr>
              <w:t xml:space="preserve">Eliminación después del trabajo</w:t>
            </w:r>
          </w:p>
        </w:tc>
        <w:tc>
          <w:tcPr>
            <w:tcW w:type="dxa" w:w="1872"/>
            <w:tcMar>
              <w:left w:type="dxa" w:w="80"/>
              <w:right w:type="dxa" w:w="80"/>
            </w:tcMar>
          </w:tcPr>
          <w:p>
            <w:pPr>
              <w:pStyle w:val="Compact"/>
            </w:pPr>
            <w:r>
              <w:rPr>
                <w:b/>
                <w:bCs/>
                <w:sz w:val="19"/>
                <w:szCs w:val="19"/>
                <w:lang w:val="es-ES"/>
              </w:rPr>
              <w:t xml:space="preserve">No </w:t>
            </w:r>
            <w:r>
              <w:rPr>
                <w:sz w:val="19"/>
                <w:szCs w:val="19"/>
                <w:lang w:val="es-ES"/>
              </w:rPr>
              <w:t xml:space="preserve"/>
            </w:r>
            <w:r>
              <w:rPr>
                <w:sz w:val="19"/>
                <w:szCs w:val="19"/>
                <w:lang w:val="es-ES"/>
              </w:rPr>
              <w:t xml:space="preserve">(procesamiento automatizado, sin acceso humano)</w:t>
            </w:r>
          </w:p>
        </w:tc>
      </w:tr>
    </w:tbl>
    <w:bookmarkEnd w:id="70"/>
    <w:bookmarkStart w:id="71" w:name="Xa3064877aefcfc8385bf14f5b705943c6869bcf"/>
    <w:p>
      <w:pPr>
        <w:pStyle w:val="Heading3"/>
        <w:keepNext/>
        <w:keepLines/>
      </w:pPr>
      <w:r>
        <w:rPr>
          <w:color w:val="000000"/>
          <w:lang w:val="es-ES"/>
        </w:rPr>
        <w:t xml:space="preserve">3.2 Acceso desde fuera del EEE: exposición transparente</w:t>
      </w:r>
    </w:p>
    <w:p>
      <w:pPr>
        <w:pStyle w:val="FirstParagraph"/>
      </w:pPr>
      <w:r>
        <w:rPr>
          <w:lang w:val="es-ES"/>
        </w:rPr>
        <w:t xml:space="preserve">En la Opción A, sólo una categoría de flujos puede salir del EEE, y es </w:t>
      </w:r>
      <w:r>
        <w:rPr>
          <w:lang w:val="es-ES"/>
        </w:rPr>
        <w:t xml:space="preserve"/>
      </w:r>
      <w:r>
        <w:rPr>
          <w:b/>
          <w:bCs/>
          <w:lang w:val="es-ES"/>
        </w:rPr>
        <w:t xml:space="preserve">técnica (acceso de máquinas), no </w:t>
      </w:r>
      <w:r>
        <w:rPr>
          <w:lang w:val="es-ES"/>
        </w:rPr>
        <w:t xml:space="preserve"/>
      </w:r>
      <w:r>
        <w:rPr>
          <w:lang w:val="es-ES"/>
        </w:rPr>
        <w:t xml:space="preserve">humana:</w:t>
      </w:r>
    </w:p>
    <w:p>
      <w:pPr>
        <w:pStyle w:val="Compact"/>
        <w:numPr>
          <w:ilvl w:val="0"/>
          <w:numId w:val="1018"/>
        </w:numPr>
      </w:pPr>
      <w:r>
        <w:rPr>
          <w:b/>
          <w:bCs/>
          <w:lang w:val="es-ES"/>
        </w:rPr>
        <w:t xml:space="preserve">Flujos técnicos de IA en modo de emergencia. </w:t>
      </w:r>
      <w:r>
        <w:rPr>
          <w:lang w:val="es-ES"/>
        </w:rPr>
        <w:t xml:space="preserve"/>
      </w:r>
      <w:r>
        <w:rPr>
          <w:lang w:val="es-ES"/>
        </w:rPr>
        <w:t xml:space="preserve"/>
      </w:r>
      <w:r>
        <w:rPr>
          <w:lang w:val="es-ES"/>
        </w:rPr>
        <w:t xml:space="preserve"/>
      </w:r>
      <w:r>
        <w:rPr>
          <w:b/>
          <w:bCs/>
          <w:lang w:val="es-ES"/>
        </w:rPr>
        <w:t xml:space="preserve">El canal IA primario </w:t>
      </w:r>
      <w:r>
        <w:rPr>
          <w:lang w:val="es-ES"/>
        </w:rPr>
        <w:t xml:space="preserve"/>
      </w:r>
      <w:r>
        <w:rPr>
          <w:lang w:val="es-ES"/>
        </w:rPr>
        <w:t xml:space="preserve">(servidores vLLM controlados en Estrasburgo/París) </w:t>
      </w:r>
      <w:r>
        <w:rPr>
          <w:lang w:val="es-ES"/>
        </w:rPr>
        <w:t xml:space="preserve"/>
      </w:r>
      <w:r>
        <w:rPr>
          <w:b/>
          <w:bCs/>
          <w:lang w:val="es-ES"/>
        </w:rPr>
        <w:t xml:space="preserve">no genera ningún flujo fuera </w:t>
      </w:r>
      <w:r>
        <w:rPr>
          <w:lang w:val="es-ES"/>
        </w:rPr>
        <w:t xml:space="preserve">del EEE. Un flujo a </w:t>
      </w:r>
      <w:r>
        <w:rPr>
          <w:lang w:val="es-ES"/>
        </w:rPr>
        <w:t xml:space="preserve">los </w:t>
      </w:r>
      <w:r>
        <w:rPr>
          <w:b/>
          <w:bCs/>
          <w:lang w:val="es-ES"/>
        </w:rPr>
        <w:t xml:space="preserve">Estados </w:t>
      </w:r>
      <w:r>
        <w:rPr>
          <w:lang w:val="es-ES"/>
        </w:rPr>
        <w:t xml:space="preserve"/>
      </w:r>
      <w:r>
        <w:rPr>
          <w:lang w:val="es-ES"/>
        </w:rPr>
        <w:t xml:space="preserve">Unidos solo se produce a través </w:t>
      </w:r>
      <w:r>
        <w:rPr>
          <w:lang w:val="es-ES"/>
        </w:rPr>
        <w:t xml:space="preserve"/>
      </w:r>
      <w:r>
        <w:rPr>
          <w:b/>
          <w:bCs/>
          <w:lang w:val="es-ES"/>
        </w:rPr>
        <w:t xml:space="preserve">de la ruta de </w:t>
      </w:r>
      <w:r>
        <w:rPr>
          <w:lang w:val="es-ES"/>
        </w:rPr>
        <w:t xml:space="preserve"/>
      </w:r>
      <w:r>
        <w:rPr>
          <w:lang w:val="es-ES"/>
        </w:rPr>
        <w:t xml:space="preserve">emergencia OpenRouter (y proveedores modelo como Anthropic u OpenAI), en caso de que la ruta principal no esté disponible; esta ruta de emergencia puede ser </w:t>
      </w:r>
      <w:r>
        <w:rPr>
          <w:lang w:val="es-ES"/>
        </w:rPr>
        <w:t xml:space="preserve"/>
      </w:r>
      <w:r>
        <w:rPr>
          <w:b/>
          <w:bCs/>
          <w:lang w:val="es-ES"/>
        </w:rPr>
        <w:t xml:space="preserve">desactivada por la organización. La </w:t>
      </w:r>
      <w:r>
        <w:rPr>
          <w:lang w:val="es-ES"/>
        </w:rPr>
        <w:t xml:space="preserve">computación GPU a través de Vast.ai, cuando está habilitada, se basa en un mercado de EE. </w:t>
      </w:r>
      <w:r>
        <w:rPr>
          <w:lang w:val="es-ES"/>
        </w:rPr>
        <w:t xml:space="preserve"/>
      </w:r>
      <w:r>
        <w:rPr>
          <w:b/>
          <w:bCs/>
          <w:lang w:val="es-ES"/>
        </w:rPr>
        <w:t xml:space="preserve">UU. (las </w:t>
      </w:r>
      <w:r>
        <w:rPr>
          <w:lang w:val="es-ES"/>
        </w:rPr>
        <w:t xml:space="preserve"/>
      </w:r>
      <w:r>
        <w:rPr>
          <w:lang w:val="es-ES"/>
        </w:rPr>
        <w:t xml:space="preserve">máquinas se seleccionan en la UE cuando es necesario). Estos flujos están regulados (CCT, no entrenamiento («no-train»), minimización, no almacenamiento sostenible) y detallados </w:t>
      </w:r>
      <w:r>
        <w:rPr>
          <w:lang w:val="es-ES"/>
        </w:rPr>
        <w:t xml:space="preserve"/>
      </w:r>
      <w:r>
        <w:rPr>
          <w:b/>
          <w:bCs/>
          <w:lang w:val="es-ES"/>
        </w:rPr>
        <w:t xml:space="preserve">en el documento </w:t>
      </w:r>
      <w:r>
        <w:rPr>
          <w:lang w:val="es-ES"/>
        </w:rPr>
        <w:t xml:space="preserve">OHA-RGPD-04. El perfil “UE estricto” (solo ruta principal / UE LLM o autohospedado + UE GPU) permite eliminarlos.</w:t>
      </w:r>
    </w:p>
    <w:p>
      <w:pPr>
        <w:pStyle w:val="FirstParagraph"/>
      </w:pPr>
      <w:r>
        <w:rPr>
          <w:b/>
          <w:bCs/>
          <w:lang w:val="es-ES"/>
        </w:rPr>
        <w:t xml:space="preserve">Acceso a la administración humana: Francia/UE únicamente. </w:t>
      </w:r>
      <w:r>
        <w:rPr>
          <w:lang w:val="es-ES"/>
        </w:rPr>
        <w:t xml:space="preserve"/>
      </w:r>
      <w:r>
        <w:rPr>
          <w:lang w:val="es-ES"/>
        </w:rPr>
        <w:t xml:space="preserve">La administración y el soporte de la plataforma son realizados por OHADJA (establecido en </w:t>
      </w:r>
      <w:r>
        <w:rPr>
          <w:lang w:val="es-ES"/>
        </w:rPr>
        <w:t xml:space="preserve"/>
      </w:r>
      <w:r>
        <w:rPr>
          <w:b/>
          <w:bCs/>
          <w:lang w:val="es-ES"/>
        </w:rPr>
        <w:t xml:space="preserve">París) exclusivamente desde Francia/Unión Europea </w:t>
      </w:r>
      <w:r>
        <w:rPr>
          <w:lang w:val="es-ES"/>
        </w:rPr>
        <w:t xml:space="preserve"/>
      </w:r>
      <w:r>
        <w:rPr>
          <w:lang w:val="es-ES"/>
        </w:rPr>
        <w:t xml:space="preserve">(compromiso contractual, ver OHA-RGPD-04). No se produce ningún acceso humano a los datos de producción desde un tercer país. El grupo fundador también ejerce una actividad comercial como revendedor, incluido Mónaco (AMBASSADIA SARL), pero esto </w:t>
      </w:r>
      <w:r>
        <w:rPr>
          <w:lang w:val="es-ES"/>
        </w:rPr>
        <w:t xml:space="preserve"/>
      </w:r>
      <w:r>
        <w:rPr>
          <w:b/>
          <w:bCs/>
          <w:lang w:val="es-ES"/>
        </w:rPr>
        <w:t xml:space="preserve">no proporciona ningún acceso a los datos: </w:t>
      </w:r>
      <w:r>
        <w:rPr>
          <w:lang w:val="es-ES"/>
        </w:rPr>
        <w:t xml:space="preserve"/>
      </w:r>
      <w:r>
        <w:rPr>
          <w:lang w:val="es-ES"/>
        </w:rPr>
        <w:t xml:space="preserve">el tema es tratado y cerrado por el compromiso de acceso Francia/UE.</w:t>
      </w:r>
    </w:p>
    <w:p>
      <w:pPr>
        <w:pStyle w:val="BodyText"/>
      </w:pPr>
      <w:r>
        <w:rPr>
          <w:lang w:val="es-ES"/>
        </w:rPr>
        <w:t xml:space="preserve">En </w:t>
      </w:r>
      <w:r>
        <w:rPr>
          <w:lang w:val="es-ES"/>
        </w:rPr>
        <w:t xml:space="preserve"/>
      </w:r>
      <w:r>
        <w:rPr>
          <w:b/>
          <w:bCs/>
          <w:lang w:val="es-ES"/>
        </w:rPr>
        <w:t xml:space="preserve">la Opción B aislada, </w:t>
      </w:r>
      <w:r>
        <w:rPr>
          <w:lang w:val="es-ES"/>
        </w:rPr>
        <w:t xml:space="preserve">ninguno de estos accesos existe: ni el flujo de IA saliente ni el acceso de administración externo impuesto.</w:t>
      </w:r>
    </w:p>
    <w:bookmarkEnd w:id="71"/>
    <w:bookmarkEnd w:id="72"/>
    <w:bookmarkStart w:id="76" w:name="X8b1f3ba40315acea0d3beb20e77272cc7a657cf"/>
    <w:p>
      <w:pPr>
        <w:pStyle w:val="Heading2"/>
        <w:keepNext/>
        <w:keepLines/>
      </w:pPr>
      <w:r>
        <w:rPr>
          <w:color w:val="000000"/>
          <w:lang w:val="es-ES"/>
        </w:rPr>
        <w:t xml:space="preserve">4. Recorrido de un extremo a otro de un archivo de audio (Opción A)</w:t>
      </w:r>
    </w:p>
    <w:p>
      <w:pPr>
        <w:pStyle w:val="FirstParagraph"/>
        <w:keepNext/>
      </w:pPr>
      <w:r>
        <w:drawing>
          <wp:inline>
            <wp:extent cx="5334000" cy="1105323"/>
            <wp:effectExtent b="0" l="0" r="0" t="0"/>
            <wp:docPr descr="Parcours d'un fichier audio" title="" id="74" name="Picture"/>
            <a:graphic>
              <a:graphicData uri="http://schemas.openxmlformats.org/drawingml/2006/picture">
                <pic:pic>
                  <pic:nvPicPr>
                    <pic:cNvPr descr="img/parcours-audio.png" id="75" name="Picture"/>
                    <pic:cNvPicPr>
                      <a:picLocks noChangeArrowheads="1" noChangeAspect="1"/>
                    </pic:cNvPicPr>
                  </pic:nvPicPr>
                  <pic:blipFill>
                    <a:blip r:embed="rId73"/>
                    <a:stretch>
                      <a:fillRect/>
                    </a:stretch>
                  </pic:blipFill>
                  <pic:spPr bwMode="auto">
                    <a:xfrm>
                      <a:off x="0" y="0"/>
                      <a:ext cx="5334000" cy="1105323"/>
                    </a:xfrm>
                    <a:prstGeom prst="rect">
                      <a:avLst/>
                    </a:prstGeom>
                    <a:noFill/>
                    <a:ln w="9525">
                      <a:noFill/>
                      <a:headEnd/>
                      <a:tailEnd/>
                    </a:ln>
                  </pic:spPr>
                </pic:pic>
              </a:graphicData>
            </a:graphic>
          </wp:inline>
        </w:drawing>
      </w:r>
    </w:p>
    <w:p>
      <w:pPr>
        <w:pStyle w:val="BodyText"/>
        <w:keepLines/>
      </w:pPr>
      <w:r>
        <w:rPr>
          <w:i/>
          <w:iCs/>
          <w:lang w:val="es-ES"/>
        </w:rPr>
        <w:t xml:space="preserve">Figura 1: Procesamiento de un archivo de audio, desde la carga hasta la copia de seguridad cifrada de Scaleway, en siete pasos (versión Visio .vsdx reimplementada).</w:t>
      </w:r>
    </w:p>
    <w:p>
      <w:pPr>
        <w:pStyle w:val="BodyText"/>
      </w:pPr>
      <w:r>
        <w:rPr>
          <w:b/>
          <w:bCs/>
          <w:lang w:val="es-ES"/>
        </w:rPr>
        <w:t xml:space="preserve">Versión de texto:</w:t>
      </w:r>
    </w:p>
    <w:p>
      <w:pPr>
        <w:pStyle w:val="SourceCode"/>
      </w:pPr>
      <w:r>
        <w:rPr>
          <w:rStyle w:val="VerbatimChar"/>
          <w:rFonts w:ascii="Courier New" w:hAnsi="Courier New" w:eastAsia="Courier New" w:cs="Courier New"/>
          <w:sz w:val="17"/>
          <w:szCs w:val="17"/>
        </w:rPr>
        <w:t xml:space="preserve">[1] USUARIO (Cliente)</w:t>
        <w:br/>
        <w:t xml:space="preserve">  | carga HTTPS (TLS 1.2+)</w:t>
        <w:br/>
        <w:t xml:space="preserve">  v</w:t>
        <w:br/>
        <w:t xml:space="preserve">[2] NGINX (proxy inverso, 443) — servidor de producción, FRANCIA</w:t>
        <w:br/>
        <w:t xml:space="preserve">  v</w:t>
        <w:br/>
        <w:t xml:space="preserve">[3] APLICACIÓN LARAVEL</w:t>
        <w:br/>
        <w:t xml:space="preserve">  |-- ClamAV: análisis antivirus ANTES de escribir</w:t>
        <w:br/>
        <w:t xml:space="preserve">  |-- escritura en servidor de producción (almacenamiento en reposo, §1)</w:t>
        <w:br/>
        <w:t xml:space="preserve">  |-- estado del archivo: "pending"</w:t>
        <w:br/>
        <w:t xml:space="preserve">  v</w:t>
        <w:br/>
        <w:t xml:space="preserve">[4] WORKER DE TRANSCRIPCIÓN (GPU dedicada UE)</w:t>
        <w:br/>
        <w:t xml:space="preserve">  | recupera tarea (URL firmada temporal, 30 min)</w:t>
        <w:br/>
        <w:t xml:space="preserve">  |-- whisperX: transcripción</w:t>
        <w:br/>
        <w:t xml:space="preserve">  |-- pyannote: diarización posicional (Speaker N)</w:t>
        <w:br/>
        <w:t xml:space="preserve">  |-- embeddings de voz en RAM -&gt; DESTRUIDOS al finalizar tarea</w:t>
        <w:br/>
        <w:t xml:space="preserve">  | POST /complete (segmentos JSON, TLS)</w:t>
        <w:br/>
        <w:t xml:space="preserve">  v</w:t>
        <w:br/>
        <w:t xml:space="preserve">[5] ALMACENAMIENTO (PostgreSQL, esquema de organización, producción FRANCIA)</w:t>
        <w:br/>
        <w:t xml:space="preserve">  |-- (opcional) TRATAMIENTO IA:</w:t>
        <w:br/>
        <w:t xml:space="preserve">  |   fuentes seleccionadas -&gt; VÍA PRINCIPAL: servidores vLLM UE</w:t>
        <w:br/>
        <w:t xml:space="preserve">  |     (Strasbourg / Paris; pesos abiertos; sin terceros)</w:t>
        <w:br/>
        <w:t xml:space="preserve">  |   [respaldo desactivable: OpenRouter -&gt; proveedor LLM, EE. UU. posible]</w:t>
        <w:br/>
        <w:t xml:space="preserve">  |   no-train; minimización; TLS</w:t>
        <w:br/>
        <w:t xml:space="preserve">  |   &lt;- respuesta -&gt; tabla ai_generations (dentro del tenant)</w:t>
        <w:br/>
        <w:t xml:space="preserve">  v</w:t>
        <w:br/>
        <w:t xml:space="preserve">[6] COPIA DE SEGURIDAD DIARIA</w:t>
        <w:br/>
        <w:t xml:space="preserve">  |-- cifrado age (X25519 + ChaCha20-Poly1305) ANTES de salir</w:t>
        <w:br/>
        <w:t xml:space="preserve">  | rclone -&gt; Scaleway (Francia, UE)</w:t>
        <w:br/>
        <w:t xml:space="preserve">  v</w:t>
        <w:br/>
        <w:t xml:space="preserve">[7] CICLO DE VIDA</w:t>
        <w:br/>
        <w:t xml:space="preserve">  |-- conservación según política configurada por el Cliente</w:t>
        <w:br/>
        <w:t xml:space="preserve">  |-- supresión (art. 17) o caducidad -&gt; purga + certificado</w:t>
        <w:br/>
        <w:t xml:space="preserve">  \-- copias de seguridad purgadas en 90 días</w:t>
      </w:r>
    </w:p>
    <w:p>
      <w:pPr>
        <w:pStyle w:val="FirstParagraph"/>
      </w:pPr>
      <w:r>
        <w:rPr>
          <w:lang w:val="es-ES"/>
        </w:rPr>
        <w:t xml:space="preserve">En </w:t>
      </w:r>
      <w:r>
        <w:rPr>
          <w:lang w:val="es-ES"/>
        </w:rPr>
        <w:t xml:space="preserve"/>
      </w:r>
      <w:r>
        <w:rPr>
          <w:b/>
          <w:bCs/>
          <w:lang w:val="es-ES"/>
        </w:rPr>
        <w:t xml:space="preserve">la Opción B </w:t>
      </w:r>
      <w:r>
        <w:rPr>
          <w:lang w:val="es-ES"/>
        </w:rPr>
        <w:t xml:space="preserve">aislada, los pasos [4], la parte de explotación de IA de [5] y el paso [6] se ejecutan </w:t>
      </w:r>
      <w:r>
        <w:rPr>
          <w:lang w:val="es-ES"/>
        </w:rPr>
        <w:t xml:space="preserve"/>
      </w:r>
      <w:r>
        <w:rPr>
          <w:b/>
          <w:bCs/>
          <w:lang w:val="es-ES"/>
        </w:rPr>
        <w:t xml:space="preserve">en la infraestructura del Cliente </w:t>
      </w:r>
      <w:r>
        <w:rPr>
          <w:lang w:val="es-ES"/>
        </w:rPr>
        <w:t xml:space="preserve"/>
      </w:r>
      <w:r>
        <w:rPr>
          <w:lang w:val="es-ES"/>
        </w:rPr>
        <w:t xml:space="preserve">(trabajador de GPU local, LLM autohospedado, copias de seguridad </w:t>
      </w:r>
      <w:r>
        <w:rPr>
          <w:lang w:val="es-ES"/>
        </w:rPr>
        <w:t xml:space="preserve"/>
      </w:r>
      <w:r>
        <w:rPr>
          <w:b/>
          <w:bCs/>
          <w:lang w:val="es-ES"/>
        </w:rPr>
        <w:t xml:space="preserve">internas): ningún dato sale del entorno del </w:t>
      </w:r>
      <w:r>
        <w:rPr>
          <w:lang w:val="es-ES"/>
        </w:rPr>
        <w:t xml:space="preserve">Cliente.</w:t>
      </w:r>
    </w:p>
    <w:p>
      <w:pPr>
        <w:pStyle w:val="BlockText"/>
      </w:pPr>
      <w:r>
        <w:rPr>
          <w:lang w:val="es-ES"/>
        </w:rPr>
        <w:t xml:space="preserve">El sinóptico final se presentará en formato Visio (.vsdx) durante la fase de implementación, con base en este diagrama.</w:t>
      </w:r>
    </w:p>
    <w:p>
      <w:r>
        <w:pict>
          <v:rect style="width:0;height:1.5pt" o:hralign="center" o:hrstd="t" o:hr="t"/>
        </w:pict>
      </w:r>
    </w:p>
    <w:p>
      <w:pPr>
        <w:pStyle w:val="FirstParagraph"/>
      </w:pPr>
      <w:r>
        <w:rPr>
          <w:i/>
          <w:iCs/>
          <w:lang w:val="es-ES"/>
        </w:rPr>
        <w:t xml:space="preserve">Documento de trabajo establecido por OHADJA — para ser validado por su asesor legal / DPO antes de la firma.</w:t>
      </w:r>
    </w:p>
    <w:p>
      <w:r>
        <w:br w:type="page"/>
      </w:r>
    </w:p>
    <w:bookmarkEnd w:id="76"/>
    <w:bookmarkEnd w:id="77"/>
    <w:bookmarkStart w:id="91" w:name="X1fcf1353751910428496754448e8c603dd55582"/>
    <w:p>
      <w:pPr>
        <w:pStyle w:val="Heading1"/>
        <w:keepNext/>
        <w:keepLines/>
      </w:pPr>
      <w:r>
        <w:rPr>
          <w:color w:val="000000"/>
          <w:lang w:val="es-ES"/>
        </w:rPr>
        <w:t xml:space="preserve">Lista de subencargados del tratamiento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Referencia</w:t>
            </w:r>
          </w:p>
        </w:tc>
        <w:tc>
          <w:tcPr/>
          <w:p>
            <w:pPr>
              <w:pStyle w:val="Compact"/>
            </w:pPr>
            <w:r>
              <w:rPr>
                <w:lang w:val="es-ES"/>
              </w:rPr>
              <w:t xml:space="preserve">OHA-RGPD-03</w:t>
            </w:r>
          </w:p>
        </w:tc>
      </w:tr>
      <w:tr>
        <w:trPr>
          <w:cantSplit/>
        </w:trPr>
        <w:tc>
          <w:tcPr/>
          <w:p>
            <w:pPr>
              <w:pStyle w:val="Compact"/>
            </w:pPr>
            <w:r>
              <w:rPr>
                <w:lang w:val="es-ES"/>
              </w:rPr>
              <w:t xml:space="preserve">Propósito</w:t>
            </w:r>
          </w:p>
        </w:tc>
        <w:tc>
          <w:tcPr/>
          <w:p>
            <w:pPr>
              <w:pStyle w:val="Compact"/>
            </w:pPr>
            <w:r>
              <w:rPr>
                <w:lang w:val="es-ES"/>
              </w:rPr>
              <w:t xml:space="preserve">Relación y caracterización de subencargados del tratamiento (art. 28.2 y 28.4 RGPD)</w:t>
            </w:r>
          </w:p>
        </w:tc>
      </w:tr>
      <w:tr>
        <w:trPr>
          <w:cantSplit/>
        </w:trPr>
        <w:tc>
          <w:tcPr/>
          <w:p>
            <w:pPr>
              <w:pStyle w:val="Compact"/>
            </w:pPr>
            <w:r>
              <w:rPr>
                <w:lang w:val="es-ES"/>
              </w:rPr>
              <w:t xml:space="preserve">Versión</w:t>
            </w:r>
          </w:p>
        </w:tc>
        <w:tc>
          <w:tcPr/>
          <w:p>
            <w:pPr>
              <w:pStyle w:val="Compact"/>
            </w:pPr>
            <w:r>
              <w:rPr>
                <w:lang w:val="es-ES"/>
              </w:rPr>
              <w:t xml:space="preserve">1.0</w:t>
            </w:r>
          </w:p>
        </w:tc>
      </w:tr>
      <w:tr>
        <w:trPr>
          <w:cantSplit/>
        </w:trPr>
        <w:tc>
          <w:tcPr/>
          <w:p>
            <w:pPr>
              <w:pStyle w:val="Compact"/>
            </w:pPr>
            <w:r>
              <w:rPr>
                <w:lang w:val="es-ES"/>
              </w:rPr>
              <w:t xml:space="preserve">Fecha</w:t>
            </w:r>
          </w:p>
        </w:tc>
        <w:tc>
          <w:tcPr/>
          <w:p>
            <w:pPr>
              <w:pStyle w:val="Compact"/>
            </w:pPr>
            <w:r>
              <w:rPr>
                <w:lang w:val="es-ES"/>
              </w:rPr>
              <w:t xml:space="preserve">2026-07-24</w:t>
            </w:r>
          </w:p>
        </w:tc>
      </w:tr>
      <w:tr>
        <w:trPr>
          <w:cantSplit/>
        </w:trPr>
        <w:tc>
          <w:tcPr/>
          <w:p>
            <w:pPr>
              <w:pStyle w:val="Compact"/>
            </w:pPr>
            <w:r>
              <w:rPr>
                <w:lang w:val="es-ES"/>
              </w:rPr>
              <w:t xml:space="preserve">Redactor</w:t>
            </w:r>
          </w:p>
        </w:tc>
        <w:tc>
          <w:tcPr/>
          <w:p>
            <w:pPr>
              <w:pStyle w:val="Compact"/>
            </w:pPr>
            <w:r>
              <w:rPr>
                <w:lang w:val="es-ES"/>
              </w:rPr>
              <w:t xml:space="preserve">OHADJA</w:t>
            </w:r>
          </w:p>
        </w:tc>
      </w:tr>
      <w:tr>
        <w:trPr>
          <w:cantSplit/>
        </w:trPr>
        <w:tc>
          <w:tcPr/>
          <w:p>
            <w:pPr>
              <w:pStyle w:val="Compact"/>
            </w:pPr>
            <w:r>
              <w:rPr>
                <w:lang w:val="es-ES"/>
              </w:rPr>
              <w:t xml:space="preserve">Destinatario</w:t>
            </w:r>
          </w:p>
        </w:tc>
        <w:tc>
          <w:tcPr/>
          <w:p>
            <w:pPr>
              <w:pStyle w:val="Compact"/>
            </w:pPr>
            <w:r>
              <w:rPr>
                <w:lang w:val="es-ES"/>
              </w:rPr>
              <w:t xml:space="preserve">Organización del cliente (documento estándar)</w:t>
            </w:r>
          </w:p>
        </w:tc>
      </w:tr>
      <w:tr>
        <w:trPr>
          <w:cantSplit/>
        </w:trPr>
        <w:tc>
          <w:tcPr/>
          <w:p>
            <w:pPr>
              <w:pStyle w:val="Compact"/>
            </w:pPr>
            <w:r>
              <w:rPr>
                <w:lang w:val="es-ES"/>
              </w:rPr>
              <w:t xml:space="preserve">Clasificación</w:t>
            </w:r>
          </w:p>
        </w:tc>
        <w:tc>
          <w:tcPr/>
          <w:p>
            <w:pPr>
              <w:pStyle w:val="Compact"/>
            </w:pPr>
            <w:r>
              <w:rPr>
                <w:lang w:val="es-ES"/>
              </w:rPr>
              <w:t xml:space="preserve">Público: documento estándar, especificado durante cada contratación.</w:t>
            </w:r>
          </w:p>
        </w:tc>
      </w:tr>
    </w:tbl>
    <w:bookmarkStart w:id="78" w:name="X1ed5dcafce5c18c99fc0c2e8a88a30fabdbe403"/>
    <w:p>
      <w:pPr>
        <w:pStyle w:val="Heading2"/>
        <w:keepNext/>
        <w:keepLines/>
      </w:pPr>
      <w:r>
        <w:rPr>
          <w:color w:val="000000"/>
          <w:lang w:val="es-ES"/>
        </w:rPr>
        <w:t xml:space="preserve">1. Propósito</w:t>
      </w:r>
    </w:p>
    <w:p>
      <w:pPr>
        <w:pStyle w:val="FirstParagraph"/>
      </w:pPr>
      <w:r>
        <w:rPr>
          <w:lang w:val="es-ES"/>
        </w:rPr>
        <w:t xml:space="preserve">Este documento enumera, de forma completa y actualizada al 24-07-2026, el subencargados del tratamiento que utiliza OHADJA para la ejecución del servicio TranscribIA. Para cada uno se especifica lo siguiente: el país de establecimiento, la función, las operaciones realizadas, los lugares de procesamiento </w:t>
      </w:r>
      <w:r>
        <w:rPr>
          <w:lang w:val="es-ES"/>
        </w:rPr>
        <w:t xml:space="preserve"/>
      </w:r>
      <w:r>
        <w:rPr>
          <w:b/>
          <w:bCs/>
          <w:lang w:val="es-ES"/>
        </w:rPr>
        <w:t xml:space="preserve"/>
      </w:r>
      <w:r>
        <w:rPr>
          <w:lang w:val="es-ES"/>
        </w:rPr>
        <w:t xml:space="preserve"/>
      </w:r>
      <w:r>
        <w:rPr>
          <w:lang w:val="es-ES"/>
        </w:rPr>
        <w:t xml:space="preserve">y almacenamiento, el acceso humano a los datos y las garantías contractuales.</w:t>
      </w:r>
    </w:p>
    <w:p>
      <w:pPr>
        <w:pStyle w:val="BodyText"/>
      </w:pPr>
      <w:r>
        <w:rPr>
          <w:lang w:val="es-ES"/>
        </w:rPr>
        <w:t xml:space="preserve">La siguiente lista es para la </w:t>
      </w:r>
      <w:r>
        <w:rPr>
          <w:b/>
          <w:bCs/>
          <w:lang w:val="es-ES"/>
        </w:rPr>
        <w:t xml:space="preserve">Opción A (SaaS). </w:t>
      </w:r>
      <w:r>
        <w:rPr>
          <w:lang w:val="es-ES"/>
        </w:rPr>
        <w:t xml:space="preserve">En </w:t>
      </w:r>
      <w:r>
        <w:rPr>
          <w:lang w:val="es-ES"/>
        </w:rPr>
        <w:t xml:space="preserve">la </w:t>
      </w:r>
      <w:r>
        <w:rPr>
          <w:b/>
          <w:bCs/>
          <w:lang w:val="es-ES"/>
        </w:rPr>
        <w:t xml:space="preserve">Opción B </w:t>
      </w:r>
      <w:r>
        <w:rPr>
          <w:lang w:val="es-ES"/>
        </w:rPr>
        <w:t xml:space="preserve">aislada, no existe </w:t>
      </w:r>
      <w:r>
        <w:rPr>
          <w:lang w:val="es-ES"/>
        </w:rPr>
        <w:t xml:space="preserve"/>
      </w:r>
      <w:r>
        <w:rPr>
          <w:b/>
          <w:bCs/>
          <w:lang w:val="es-ES"/>
        </w:rPr>
        <w:t xml:space="preserve"/>
      </w:r>
      <w:r>
        <w:rPr>
          <w:lang w:val="es-ES"/>
        </w:rPr>
        <w:t xml:space="preserve"/>
      </w:r>
      <w:r>
        <w:rPr>
          <w:lang w:val="es-ES"/>
        </w:rPr>
        <w:t xml:space="preserve">subencargado del tratamiento (sección 4).</w:t>
      </w:r>
    </w:p>
    <w:p>
      <w:pPr>
        <w:pStyle w:val="BlockText"/>
      </w:pPr>
      <w:r>
        <w:rPr>
          <w:b/>
          <w:bCs/>
          <w:lang w:val="es-ES"/>
        </w:rPr>
        <w:t xml:space="preserve">Confirmación solicitada por el cliente. </w:t>
      </w:r>
      <w:r>
        <w:rPr>
          <w:lang w:val="es-ES"/>
        </w:rPr>
        <w:t xml:space="preserve"/>
      </w:r>
      <w:r>
        <w:rPr>
          <w:b/>
          <w:bCs/>
          <w:lang w:val="es-ES"/>
        </w:rPr>
        <w:t xml:space="preserve">Los servidores </w:t>
      </w:r>
      <w:r>
        <w:rPr>
          <w:lang w:val="es-ES"/>
        </w:rPr>
        <w:t xml:space="preserve"/>
      </w:r>
      <w:r>
        <w:rPr>
          <w:lang w:val="es-ES"/>
        </w:rPr>
        <w:t xml:space="preserve"/>
      </w:r>
      <w:r>
        <w:rPr>
          <w:b/>
          <w:bCs/>
          <w:lang w:val="es-ES"/>
        </w:rPr>
        <w:t xml:space="preserve">HOSTINGER, </w:t>
      </w:r>
      <w:r>
        <w:rPr>
          <w:lang w:val="es-ES"/>
        </w:rPr>
        <w:t xml:space="preserve"/>
      </w:r>
      <w:r>
        <w:rPr>
          <w:lang w:val="es-ES"/>
        </w:rPr>
        <w:t xml:space="preserve"/>
      </w:r>
      <w:r>
        <w:rPr>
          <w:b/>
          <w:bCs/>
          <w:lang w:val="es-ES"/>
        </w:rPr>
        <w:t xml:space="preserve">SCALEWAY, LLM vLLM en la UE (Estrasburgo/París), </w:t>
      </w:r>
      <w:r>
        <w:rPr>
          <w:lang w:val="es-ES"/>
        </w:rPr>
        <w:t xml:space="preserve"/>
      </w:r>
      <w:r>
        <w:rPr>
          <w:lang w:val="es-ES"/>
        </w:rPr>
        <w:t xml:space="preserve">OPENROUTER </w:t>
      </w:r>
      <w:r>
        <w:rPr>
          <w:b/>
          <w:bCs/>
          <w:lang w:val="es-ES"/>
        </w:rPr>
        <w:t xml:space="preserve">(solo ruta de respaldo) y el servidor </w:t>
      </w:r>
      <w:r>
        <w:rPr>
          <w:lang w:val="es-ES"/>
        </w:rPr>
        <w:t xml:space="preserve"/>
      </w:r>
      <w:r>
        <w:rPr>
          <w:lang w:val="es-ES"/>
        </w:rPr>
        <w:t xml:space="preserve">de </w:t>
      </w:r>
      <w:r>
        <w:rPr>
          <w:lang w:val="es-ES"/>
        </w:rPr>
        <w:t xml:space="preserve"/>
      </w:r>
      <w:r>
        <w:rPr>
          <w:b/>
          <w:bCs/>
          <w:lang w:val="es-ES"/>
        </w:rPr>
        <w:t xml:space="preserve">transcripción GPU están confirmados </w:t>
      </w:r>
      <w:r>
        <w:rPr>
          <w:lang w:val="es-ES"/>
        </w:rPr>
        <w:t xml:space="preserve"/>
      </w:r>
      <w:r>
        <w:rPr>
          <w:lang w:val="es-ES"/>
        </w:rPr>
        <w:t xml:space="preserve">para la oferta SaaS a partir del 24 de julio de 2026. BACKBLAZE: </w:t>
      </w:r>
      <w:r>
        <w:rPr>
          <w:lang w:val="es-ES"/>
        </w:rPr>
        <w:t xml:space="preserve"/>
      </w:r>
      <w:r>
        <w:rPr>
          <w:b/>
          <w:bCs/>
          <w:lang w:val="es-ES"/>
        </w:rPr>
        <w:t xml:space="preserve">no utilizado (el destino de </w:t>
      </w:r>
      <w:r>
        <w:rPr>
          <w:lang w:val="es-ES"/>
        </w:rPr>
        <w:t xml:space="preserve"/>
      </w:r>
      <w:r>
        <w:rPr>
          <w:lang w:val="es-ES"/>
        </w:rPr>
        <w:t xml:space="preserve">la copia de seguridad realmente configurado en producción es Scaleway). Precisión de la arquitectura (decisión del 24 de julio de 2026): la inferencia de IA se basa en el canal </w:t>
      </w:r>
      <w:r>
        <w:rPr>
          <w:lang w:val="es-ES"/>
        </w:rPr>
        <w:t xml:space="preserve"/>
      </w:r>
      <w:r>
        <w:rPr>
          <w:b/>
          <w:bCs/>
          <w:lang w:val="es-ES"/>
        </w:rPr>
        <w:t xml:space="preserve">principal en </w:t>
      </w:r>
      <w:r>
        <w:rPr>
          <w:lang w:val="es-ES"/>
        </w:rPr>
        <w:t xml:space="preserve">servidores </w:t>
      </w:r>
      <w:r>
        <w:rPr>
          <w:lang w:val="es-ES"/>
        </w:rPr>
        <w:t xml:space="preserve">vLLM </w:t>
      </w:r>
      <w:r>
        <w:rPr>
          <w:lang w:val="es-ES"/>
        </w:rPr>
        <w:t xml:space="preserve"/>
      </w:r>
      <w:r>
        <w:rPr>
          <w:b/>
          <w:bCs/>
          <w:lang w:val="es-ES"/>
        </w:rPr>
        <w:t xml:space="preserve">controlados en la UE (modelos </w:t>
      </w:r>
      <w:r>
        <w:rPr>
          <w:lang w:val="es-ES"/>
        </w:rPr>
        <w:t xml:space="preserve">de </w:t>
      </w:r>
      <w:r>
        <w:rPr>
          <w:lang w:val="es-ES"/>
        </w:rPr>
        <w:t xml:space="preserve">peso abierto, §2.4), OpenRouter </w:t>
      </w:r>
      <w:r>
        <w:rPr>
          <w:lang w:val="es-ES"/>
        </w:rPr>
        <w:t xml:space="preserve"/>
      </w:r>
      <w:r>
        <w:rPr>
          <w:b/>
          <w:bCs/>
          <w:lang w:val="es-ES"/>
        </w:rPr>
        <w:t xml:space="preserve">y los proveedores de modelos solo intervienen en el canal de respaldo (conmutación por error), que se puede desactivar </w:t>
      </w:r>
      <w:r>
        <w:rPr>
          <w:lang w:val="es-ES"/>
        </w:rPr>
        <w:t xml:space="preserve"/>
      </w:r>
      <w:r>
        <w:rPr>
          <w:lang w:val="es-ES"/>
        </w:rPr>
        <w:t xml:space="preserve">(§2.5 y §2.6).</w:t>
      </w:r>
    </w:p>
    <w:bookmarkEnd w:id="78"/>
    <w:bookmarkStart w:id="87" w:name="X7d7f3d4ba56fafba29532d1f9b5368d2f9d3cb0"/>
    <w:p>
      <w:pPr>
        <w:pStyle w:val="Heading2"/>
        <w:keepNext/>
        <w:keepLines/>
      </w:pPr>
      <w:r>
        <w:rPr>
          <w:color w:val="000000"/>
          <w:lang w:val="es-ES"/>
        </w:rPr>
        <w:t xml:space="preserve">2. Subencargados del tratamiento: Opción A (SaaS)</w:t>
      </w:r>
    </w:p>
    <w:bookmarkStart w:id="79" w:name="X081dbe31af525cb2a235c0a1bf0fc12e9f8c06e"/>
    <w:p>
      <w:pPr>
        <w:pStyle w:val="Heading3"/>
        <w:keepNext/>
        <w:keepLines/>
      </w:pPr>
      <w:r>
        <w:rPr>
          <w:color w:val="000000"/>
          <w:lang w:val="es-ES"/>
        </w:rPr>
        <w:t xml:space="preserve">2.1 Alojamiento — Hostinger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entidad</w:t>
            </w:r>
          </w:p>
        </w:tc>
        <w:tc>
          <w:tcPr/>
          <w:p>
            <w:pPr>
              <w:pStyle w:val="Compact"/>
            </w:pPr>
            <w:r>
              <w:rPr>
                <w:lang w:val="es-ES"/>
              </w:rPr>
              <w:t xml:space="preserve">Hostinger (operaciones en la UE)</w:t>
            </w:r>
          </w:p>
        </w:tc>
      </w:tr>
      <w:tr>
        <w:trPr>
          <w:cantSplit/>
        </w:trPr>
        <w:tc>
          <w:tcPr/>
          <w:p>
            <w:pPr>
              <w:pStyle w:val="Compact"/>
            </w:pPr>
            <w:r>
              <w:rPr>
                <w:lang w:val="es-ES"/>
              </w:rPr>
              <w:t xml:space="preserve">País de establecimiento</w:t>
            </w:r>
          </w:p>
        </w:tc>
        <w:tc>
          <w:tcPr/>
          <w:p>
            <w:pPr>
              <w:pStyle w:val="Compact"/>
            </w:pPr>
            <w:r>
              <w:rPr>
                <w:lang w:val="es-ES"/>
              </w:rPr>
              <w:t xml:space="preserve">Lituania (UE)</w:t>
            </w:r>
          </w:p>
        </w:tc>
      </w:tr>
      <w:tr>
        <w:trPr>
          <w:cantSplit/>
        </w:trPr>
        <w:tc>
          <w:tcPr/>
          <w:p>
            <w:pPr>
              <w:pStyle w:val="Compact"/>
            </w:pPr>
            <w:r>
              <w:rPr>
                <w:lang w:val="es-ES"/>
              </w:rPr>
              <w:t xml:space="preserve">Rol</w:t>
            </w:r>
          </w:p>
        </w:tc>
        <w:tc>
          <w:tcPr/>
          <w:p>
            <w:pPr>
              <w:pStyle w:val="Compact"/>
            </w:pPr>
            <w:r>
              <w:rPr>
                <w:lang w:val="es-ES"/>
              </w:rPr>
              <w:t xml:space="preserve">Alojamiento de servidores de producción</w:t>
            </w:r>
          </w:p>
        </w:tc>
      </w:tr>
      <w:tr>
        <w:trPr>
          <w:cantSplit/>
        </w:trPr>
        <w:tc>
          <w:tcPr/>
          <w:p>
            <w:pPr>
              <w:pStyle w:val="Compact"/>
            </w:pPr>
            <w:r>
              <w:rPr>
                <w:lang w:val="es-ES"/>
              </w:rPr>
              <w:t xml:space="preserve">Operaciones realizadas</w:t>
            </w:r>
          </w:p>
        </w:tc>
        <w:tc>
          <w:tcPr/>
          <w:p>
            <w:pPr>
              <w:pStyle w:val="Compact"/>
            </w:pPr>
            <w:r>
              <w:rPr>
                <w:lang w:val="es-ES"/>
              </w:rPr>
              <w:t xml:space="preserve">Provisión de infraestructura de servidor (KVM), red, disponibilidad.</w:t>
            </w:r>
          </w:p>
        </w:tc>
      </w:tr>
      <w:tr>
        <w:trPr>
          <w:cantSplit/>
        </w:trPr>
        <w:tc>
          <w:tcPr/>
          <w:p>
            <w:pPr>
              <w:pStyle w:val="Compact"/>
            </w:pPr>
            <w:r>
              <w:rPr>
                <w:lang w:val="es-ES"/>
              </w:rPr>
              <w:t xml:space="preserve">Ubicación de procesamiento</w:t>
            </w:r>
          </w:p>
        </w:tc>
        <w:tc>
          <w:tcPr/>
          <w:p>
            <w:pPr>
              <w:pStyle w:val="Compact"/>
            </w:pPr>
            <w:r>
              <w:rPr>
                <w:lang w:val="es-ES"/>
              </w:rPr>
              <w:t xml:space="preserve">Centro de datos </w:t>
            </w:r>
            <w:r>
              <w:rPr>
                <w:lang w:val="es-ES"/>
              </w:rPr>
              <w:t xml:space="preserve"/>
            </w:r>
            <w:r>
              <w:rPr>
                <w:b/>
                <w:bCs/>
                <w:lang w:val="es-ES"/>
              </w:rPr>
              <w:t xml:space="preserve">Francia</w:t>
            </w:r>
          </w:p>
        </w:tc>
      </w:tr>
      <w:tr>
        <w:trPr>
          <w:cantSplit/>
        </w:trPr>
        <w:tc>
          <w:tcPr/>
          <w:p>
            <w:pPr>
              <w:pStyle w:val="Compact"/>
            </w:pPr>
            <w:r>
              <w:rPr>
                <w:lang w:val="es-ES"/>
              </w:rPr>
              <w:t xml:space="preserve">Ubicación de almacenamiento</w:t>
            </w:r>
          </w:p>
        </w:tc>
        <w:tc>
          <w:tcPr/>
          <w:p>
            <w:pPr>
              <w:pStyle w:val="Compact"/>
            </w:pPr>
            <w:r>
              <w:rPr>
                <w:lang w:val="es-ES"/>
              </w:rPr>
              <w:t xml:space="preserve">Centro de datos </w:t>
            </w:r>
            <w:r>
              <w:rPr>
                <w:lang w:val="es-ES"/>
              </w:rPr>
              <w:t xml:space="preserve"/>
            </w:r>
            <w:r>
              <w:rPr>
                <w:b/>
                <w:bCs/>
                <w:lang w:val="es-ES"/>
              </w:rPr>
              <w:t xml:space="preserve">Francia</w:t>
            </w:r>
          </w:p>
        </w:tc>
      </w:tr>
      <w:tr>
        <w:trPr>
          <w:cantSplit/>
        </w:trPr>
        <w:tc>
          <w:tcPr/>
          <w:p>
            <w:pPr>
              <w:pStyle w:val="Compact"/>
            </w:pPr>
            <w:r>
              <w:rPr>
                <w:lang w:val="es-ES"/>
              </w:rPr>
              <w:t xml:space="preserve">Acceso humano a los datos</w:t>
            </w:r>
          </w:p>
        </w:tc>
        <w:tc>
          <w:tcPr/>
          <w:p>
            <w:pPr>
              <w:pStyle w:val="Compact"/>
            </w:pPr>
            <w:r>
              <w:rPr>
                <w:b/>
                <w:bCs/>
                <w:lang w:val="es-ES"/>
              </w:rPr>
              <w:t xml:space="preserve">No: </w:t>
            </w:r>
            <w:r>
              <w:rPr>
                <w:lang w:val="es-ES"/>
              </w:rPr>
              <w:t xml:space="preserve"/>
            </w:r>
            <w:r>
              <w:rPr>
                <w:lang w:val="es-ES"/>
              </w:rPr>
              <w:t xml:space="preserve">acceso físico únicamente al centro de datos, sin acceso lógico; cifrado de disco según la oferta del centro de datos (actualización LUKS/gocryptfs planificada)</w:t>
            </w:r>
          </w:p>
        </w:tc>
      </w:tr>
      <w:tr>
        <w:trPr>
          <w:cantSplit/>
        </w:trPr>
        <w:tc>
          <w:tcPr/>
          <w:p>
            <w:pPr>
              <w:pStyle w:val="Compact"/>
            </w:pPr>
            <w:r>
              <w:rPr>
                <w:lang w:val="es-ES"/>
              </w:rPr>
              <w:t xml:space="preserve">Garantías contractuales</w:t>
            </w:r>
          </w:p>
        </w:tc>
        <w:tc>
          <w:tcPr/>
          <w:p>
            <w:pPr>
              <w:pStyle w:val="Compact"/>
            </w:pPr>
            <w:r>
              <w:rPr>
                <w:lang w:val="es-ES"/>
              </w:rPr>
              <w:t xml:space="preserve">Contrato de servicios, cláusulas de subcontratación, compromisos RGPD</w:t>
            </w:r>
          </w:p>
        </w:tc>
      </w:tr>
    </w:tbl>
    <w:bookmarkEnd w:id="79"/>
    <w:bookmarkStart w:id="80" w:name="X2447a6290f02c28099d63de2637d6318aba6aab"/>
    <w:p>
      <w:pPr>
        <w:pStyle w:val="Heading3"/>
        <w:keepNext/>
        <w:keepLines/>
      </w:pPr>
      <w:r>
        <w:rPr>
          <w:color w:val="000000"/>
          <w:lang w:val="es-ES"/>
        </w:rPr>
        <w:t xml:space="preserve">2.2 Copia de seguridad externa: Scaleway</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entidad</w:t>
            </w:r>
          </w:p>
        </w:tc>
        <w:tc>
          <w:tcPr/>
          <w:p>
            <w:pPr>
              <w:pStyle w:val="Compact"/>
            </w:pPr>
            <w:r>
              <w:rPr>
                <w:lang w:val="es-ES"/>
              </w:rPr>
              <w:t xml:space="preserve">Scaleway</w:t>
            </w:r>
          </w:p>
        </w:tc>
      </w:tr>
      <w:tr>
        <w:trPr>
          <w:cantSplit/>
        </w:trPr>
        <w:tc>
          <w:tcPr/>
          <w:p>
            <w:pPr>
              <w:pStyle w:val="Compact"/>
            </w:pPr>
            <w:r>
              <w:rPr>
                <w:lang w:val="es-ES"/>
              </w:rPr>
              <w:t xml:space="preserve">País de establecimiento</w:t>
            </w:r>
          </w:p>
        </w:tc>
        <w:tc>
          <w:tcPr/>
          <w:p>
            <w:pPr>
              <w:pStyle w:val="Compact"/>
            </w:pPr>
            <w:r>
              <w:rPr>
                <w:lang w:val="es-ES"/>
              </w:rPr>
              <w:t xml:space="preserve">Francia (UE)</w:t>
            </w:r>
          </w:p>
        </w:tc>
      </w:tr>
      <w:tr>
        <w:trPr>
          <w:cantSplit/>
        </w:trPr>
        <w:tc>
          <w:tcPr/>
          <w:p>
            <w:pPr>
              <w:pStyle w:val="Compact"/>
            </w:pPr>
            <w:r>
              <w:rPr>
                <w:lang w:val="es-ES"/>
              </w:rPr>
              <w:t xml:space="preserve">Rol</w:t>
            </w:r>
          </w:p>
        </w:tc>
        <w:tc>
          <w:tcPr/>
          <w:p>
            <w:pPr>
              <w:pStyle w:val="Compact"/>
            </w:pPr>
            <w:r>
              <w:rPr>
                <w:lang w:val="es-ES"/>
              </w:rPr>
              <w:t xml:space="preserve">Almacenamiento de copias de seguridad cifradas</w:t>
            </w:r>
          </w:p>
        </w:tc>
      </w:tr>
      <w:tr>
        <w:trPr>
          <w:cantSplit/>
        </w:trPr>
        <w:tc>
          <w:tcPr/>
          <w:p>
            <w:pPr>
              <w:pStyle w:val="Compact"/>
            </w:pPr>
            <w:r>
              <w:rPr>
                <w:lang w:val="es-ES"/>
              </w:rPr>
              <w:t xml:space="preserve">Operaciones realizadas</w:t>
            </w:r>
          </w:p>
        </w:tc>
        <w:tc>
          <w:tcPr/>
          <w:p>
            <w:pPr>
              <w:pStyle w:val="Compact"/>
            </w:pPr>
            <w:r>
              <w:rPr>
                <w:lang w:val="es-ES"/>
              </w:rPr>
              <w:t xml:space="preserve">Almacenamiento de objetos de copias de seguridad subcontratadas</w:t>
            </w:r>
          </w:p>
        </w:tc>
      </w:tr>
      <w:tr>
        <w:trPr>
          <w:cantSplit/>
        </w:trPr>
        <w:tc>
          <w:tcPr/>
          <w:p>
            <w:pPr>
              <w:pStyle w:val="Compact"/>
            </w:pPr>
            <w:r>
              <w:rPr>
                <w:lang w:val="es-ES"/>
              </w:rPr>
              <w:t xml:space="preserve">Ubicación de procesamiento/almacenamiento</w:t>
            </w:r>
          </w:p>
        </w:tc>
        <w:tc>
          <w:tcPr/>
          <w:p>
            <w:pPr>
              <w:pStyle w:val="Compact"/>
            </w:pPr>
            <w:r>
              <w:rPr>
                <w:b/>
                <w:bCs/>
                <w:lang w:val="es-ES"/>
              </w:rPr>
              <w:t xml:space="preserve">Francia (región de la UE)</w:t>
            </w:r>
          </w:p>
        </w:tc>
      </w:tr>
      <w:tr>
        <w:trPr>
          <w:cantSplit/>
        </w:trPr>
        <w:tc>
          <w:tcPr/>
          <w:p>
            <w:pPr>
              <w:pStyle w:val="Compact"/>
            </w:pPr>
            <w:r>
              <w:rPr>
                <w:lang w:val="es-ES"/>
              </w:rPr>
              <w:t xml:space="preserve">Acceso humano a los datos</w:t>
            </w:r>
          </w:p>
        </w:tc>
        <w:tc>
          <w:tcPr/>
          <w:p>
            <w:pPr>
              <w:pStyle w:val="Compact"/>
            </w:pPr>
            <w:r>
              <w:rPr>
                <w:b/>
                <w:bCs/>
                <w:lang w:val="es-ES"/>
              </w:rPr>
              <w:t xml:space="preserve">No: </w:t>
            </w:r>
            <w:r>
              <w:rPr>
                <w:lang w:val="es-ES"/>
              </w:rPr>
              <w:t xml:space="preserve"/>
            </w:r>
            <w:r>
              <w:rPr>
                <w:lang w:val="es-ES"/>
              </w:rPr>
              <w:t xml:space="preserve">datos cifrados con age antes </w:t>
            </w:r>
            <w:r>
              <w:rPr>
                <w:lang w:val="es-ES"/>
              </w:rPr>
              <w:t xml:space="preserve">de </w:t>
            </w:r>
            <w:r>
              <w:rPr>
                <w:b/>
                <w:bCs/>
                <w:lang w:val="es-ES"/>
              </w:rPr>
              <w:t xml:space="preserve">la </w:t>
            </w:r>
            <w:r>
              <w:rPr>
                <w:lang w:val="es-ES"/>
              </w:rPr>
              <w:t xml:space="preserve"/>
            </w:r>
            <w:r>
              <w:rPr>
                <w:lang w:val="es-ES"/>
              </w:rPr>
              <w:t xml:space="preserve">subcontratación; claves en poder de OHADJA (en la UE). El proveedor de servicios sólo posee bloques cifrados ilegibles</w:t>
            </w:r>
          </w:p>
        </w:tc>
      </w:tr>
      <w:tr>
        <w:trPr>
          <w:cantSplit/>
        </w:trPr>
        <w:tc>
          <w:tcPr/>
          <w:p>
            <w:pPr>
              <w:pStyle w:val="Compact"/>
            </w:pPr>
            <w:r>
              <w:rPr>
                <w:lang w:val="es-ES"/>
              </w:rPr>
              <w:t xml:space="preserve">Garantías contractuales</w:t>
            </w:r>
          </w:p>
        </w:tc>
        <w:tc>
          <w:tcPr/>
          <w:p>
            <w:pPr>
              <w:pStyle w:val="Compact"/>
            </w:pPr>
            <w:r>
              <w:rPr>
                <w:lang w:val="es-ES"/>
              </w:rPr>
              <w:t xml:space="preserve">Contrato de servicios, compromisos RGPD (proveedor de servicios establecido y alojado en Francia)</w:t>
            </w:r>
          </w:p>
        </w:tc>
      </w:tr>
    </w:tbl>
    <w:p>
      <w:pPr>
        <w:pStyle w:val="BlockText"/>
      </w:pPr>
      <w:r>
        <w:rPr>
          <w:b/>
          <w:bCs/>
          <w:lang w:val="es-ES"/>
        </w:rPr>
        <w:t xml:space="preserve">Nota. </w:t>
      </w:r>
      <w:r>
        <w:rPr>
          <w:lang w:val="es-ES"/>
        </w:rPr>
        <w:t xml:space="preserve"/>
      </w:r>
      <w:r>
        <w:rPr>
          <w:lang w:val="es-ES"/>
        </w:rPr>
        <w:t xml:space="preserve">El destino de la copia de seguridad realmente configurado en producción es Scaleway </w:t>
      </w:r>
      <w:r>
        <w:rPr>
          <w:lang w:val="es-ES"/>
        </w:rPr>
        <w:t xml:space="preserve"/>
      </w:r>
      <w:r>
        <w:rPr>
          <w:b/>
          <w:bCs/>
          <w:lang w:val="es-ES"/>
        </w:rPr>
        <w:t xml:space="preserve">(Francia), verificado </w:t>
      </w:r>
      <w:r>
        <w:rPr>
          <w:lang w:val="es-ES"/>
        </w:rPr>
        <w:t xml:space="preserve">en el entorno de producción el 24 de julio de 2026. Backblaze, una vez considerado como una alternativa, no se utiliza. </w:t>
      </w:r>
      <w:r>
        <w:rPr>
          <w:lang w:val="es-ES"/>
        </w:rPr>
        <w:t xml:space="preserve"/>
      </w:r>
      <w:r>
        <w:rPr>
          <w:b/>
          <w:bCs/>
          <w:lang w:val="es-ES"/>
        </w:rPr>
        <w:t xml:space="preserve">Por lo tanto, la </w:t>
      </w:r>
      <w:r>
        <w:rPr>
          <w:lang w:val="es-ES"/>
        </w:rPr>
        <w:t xml:space="preserve">cadena de copia de seguridad se realiza íntegramente en la UE y los datos también se cifran antes de su salida y son ilegibles para el proveedor de servicios.</w:t>
      </w:r>
    </w:p>
    <w:bookmarkEnd w:id="80"/>
    <w:bookmarkStart w:id="81" w:name="X5eda3f95e6ae0a3f98e9e21cefd17b111bd1d7f"/>
    <w:p>
      <w:pPr>
        <w:pStyle w:val="Heading3"/>
        <w:keepNext/>
        <w:keepLines/>
      </w:pPr>
      <w:r>
        <w:rPr>
          <w:color w:val="000000"/>
          <w:lang w:val="es-ES"/>
        </w:rPr>
        <w:t xml:space="preserve">2.3 Transcripción de GPU: GPU dedicada/Vast.ai (si está habilitado)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entidad</w:t>
            </w:r>
          </w:p>
        </w:tc>
        <w:tc>
          <w:tcPr/>
          <w:p>
            <w:pPr>
              <w:pStyle w:val="Compact"/>
            </w:pPr>
            <w:r>
              <w:rPr>
                <w:lang w:val="es-ES"/>
              </w:rPr>
              <w:t xml:space="preserve">Servidor GPU dedicado; Vast.ai cuando está habilitado</w:t>
            </w:r>
          </w:p>
        </w:tc>
      </w:tr>
      <w:tr>
        <w:trPr>
          <w:cantSplit/>
        </w:trPr>
        <w:tc>
          <w:tcPr/>
          <w:p>
            <w:pPr>
              <w:pStyle w:val="Compact"/>
            </w:pPr>
            <w:r>
              <w:rPr>
                <w:lang w:val="es-ES"/>
              </w:rPr>
              <w:t xml:space="preserve">País de establecimiento</w:t>
            </w:r>
          </w:p>
        </w:tc>
        <w:tc>
          <w:tcPr/>
          <w:p>
            <w:pPr>
              <w:pStyle w:val="Compact"/>
            </w:pPr>
            <w:r>
              <w:rPr>
                <w:lang w:val="es-ES"/>
              </w:rPr>
              <w:t xml:space="preserve">GPU dedicada: UE; Vast.ai: EE. UU. (mercado)</w:t>
            </w:r>
          </w:p>
        </w:tc>
      </w:tr>
      <w:tr>
        <w:trPr>
          <w:cantSplit/>
        </w:trPr>
        <w:tc>
          <w:tcPr/>
          <w:p>
            <w:pPr>
              <w:pStyle w:val="Compact"/>
            </w:pPr>
            <w:r>
              <w:rPr>
                <w:lang w:val="es-ES"/>
              </w:rPr>
              <w:t xml:space="preserve">Rol</w:t>
            </w:r>
          </w:p>
        </w:tc>
        <w:tc>
          <w:tcPr/>
          <w:p>
            <w:pPr>
              <w:pStyle w:val="Compact"/>
            </w:pPr>
            <w:r>
              <w:rPr>
                <w:lang w:val="es-ES"/>
              </w:rPr>
              <w:t xml:space="preserve">Transcripción (whisperX) y diarización (pyannote)</w:t>
            </w:r>
          </w:p>
        </w:tc>
      </w:tr>
      <w:tr>
        <w:trPr>
          <w:cantSplit/>
        </w:trPr>
        <w:tc>
          <w:tcPr/>
          <w:p>
            <w:pPr>
              <w:pStyle w:val="Compact"/>
            </w:pPr>
            <w:r>
              <w:rPr>
                <w:lang w:val="es-ES"/>
              </w:rPr>
              <w:t xml:space="preserve">Operaciones realizadas</w:t>
            </w:r>
          </w:p>
        </w:tc>
        <w:tc>
          <w:tcPr/>
          <w:p>
            <w:pPr>
              <w:pStyle w:val="Compact"/>
            </w:pPr>
            <w:r>
              <w:rPr>
                <w:lang w:val="es-ES"/>
              </w:rPr>
              <w:t xml:space="preserve">Transcripción automática, diarización posicional, cuando corresponda correlación de voz efímera</w:t>
            </w:r>
          </w:p>
        </w:tc>
      </w:tr>
      <w:tr>
        <w:trPr>
          <w:cantSplit/>
        </w:trPr>
        <w:tc>
          <w:tcPr/>
          <w:p>
            <w:pPr>
              <w:pStyle w:val="Compact"/>
            </w:pPr>
            <w:r>
              <w:rPr>
                <w:lang w:val="es-ES"/>
              </w:rPr>
              <w:t xml:space="preserve">Ubicación de procesamiento</w:t>
            </w:r>
          </w:p>
        </w:tc>
        <w:tc>
          <w:tcPr/>
          <w:p>
            <w:pPr>
              <w:pStyle w:val="Compact"/>
            </w:pPr>
            <w:r>
              <w:rPr>
                <w:lang w:val="es-ES"/>
              </w:rPr>
              <w:t xml:space="preserve">UE cuando lo requiera el cliente (máquinas seleccionadas en UE)</w:t>
            </w:r>
          </w:p>
        </w:tc>
      </w:tr>
      <w:tr>
        <w:trPr>
          <w:cantSplit/>
        </w:trPr>
        <w:tc>
          <w:tcPr/>
          <w:p>
            <w:pPr>
              <w:pStyle w:val="Compact"/>
            </w:pPr>
            <w:r>
              <w:rPr>
                <w:lang w:val="es-ES"/>
              </w:rPr>
              <w:t xml:space="preserve">Ubicación de almacenamiento</w:t>
            </w:r>
          </w:p>
        </w:tc>
        <w:tc>
          <w:tcPr/>
          <w:p>
            <w:pPr>
              <w:pStyle w:val="Compact"/>
            </w:pPr>
            <w:r>
              <w:rPr>
                <w:lang w:val="es-ES"/>
              </w:rPr>
              <w:t xml:space="preserve">Sin almacenamiento duradero: datos eliminados después del trabajo</w:t>
            </w:r>
          </w:p>
        </w:tc>
      </w:tr>
      <w:tr>
        <w:trPr>
          <w:cantSplit/>
        </w:trPr>
        <w:tc>
          <w:tcPr/>
          <w:p>
            <w:pPr>
              <w:pStyle w:val="Compact"/>
            </w:pPr>
            <w:r>
              <w:rPr>
                <w:lang w:val="es-ES"/>
              </w:rPr>
              <w:t xml:space="preserve">Acceso humano a los datos</w:t>
            </w:r>
          </w:p>
        </w:tc>
        <w:tc>
          <w:tcPr/>
          <w:p>
            <w:pPr>
              <w:pStyle w:val="Compact"/>
            </w:pPr>
            <w:r>
              <w:rPr>
                <w:b/>
                <w:bCs/>
                <w:lang w:val="es-ES"/>
              </w:rPr>
              <w:t xml:space="preserve">No: </w:t>
            </w:r>
            <w:r>
              <w:rPr>
                <w:lang w:val="es-ES"/>
              </w:rPr>
              <w:t xml:space="preserve"/>
            </w:r>
            <w:r>
              <w:rPr>
                <w:lang w:val="es-ES"/>
              </w:rPr>
              <w:t xml:space="preserve">procesamiento automatizado; eliminación al final del trabajo</w:t>
            </w:r>
          </w:p>
        </w:tc>
      </w:tr>
      <w:tr>
        <w:trPr>
          <w:cantSplit/>
        </w:trPr>
        <w:tc>
          <w:tcPr/>
          <w:p>
            <w:pPr>
              <w:pStyle w:val="Compact"/>
            </w:pPr>
            <w:r>
              <w:rPr>
                <w:lang w:val="es-ES"/>
              </w:rPr>
              <w:t xml:space="preserve">Garantías contractuales</w:t>
            </w:r>
          </w:p>
        </w:tc>
        <w:tc>
          <w:tcPr/>
          <w:p>
            <w:pPr>
              <w:pStyle w:val="Compact"/>
            </w:pPr>
            <w:r>
              <w:rPr>
                <w:lang w:val="es-ES"/>
              </w:rPr>
              <w:t xml:space="preserve">Contrato/condiciones del proveedor; selección de recursos de la UE cuando sea necesario; CCT o garantías equivalentes si fuera de la UE</w:t>
            </w:r>
          </w:p>
        </w:tc>
      </w:tr>
    </w:tbl>
    <w:bookmarkEnd w:id="81"/>
    <w:bookmarkStart w:id="82" w:name="X0b150814d8678abee802aa800d15a6e2f5b57ee"/>
    <w:p>
      <w:pPr>
        <w:pStyle w:val="Heading3"/>
        <w:keepNext/>
        <w:keepLines/>
      </w:pPr>
      <w:r>
        <w:rPr>
          <w:color w:val="000000"/>
          <w:lang w:val="es-ES"/>
        </w:rPr>
        <w:t xml:space="preserve">2.4 Inferencia de IA: servidores vLLM controlados (canal principal)</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entidad</w:t>
            </w:r>
          </w:p>
        </w:tc>
        <w:tc>
          <w:tcPr/>
          <w:p>
            <w:pPr>
              <w:pStyle w:val="Compact"/>
            </w:pPr>
            <w:r>
              <w:rPr>
                <w:lang w:val="es-ES"/>
              </w:rPr>
              <w:t xml:space="preserve">OHADJA (servidores GPU dominados)</w:t>
            </w:r>
          </w:p>
        </w:tc>
      </w:tr>
      <w:tr>
        <w:trPr>
          <w:cantSplit/>
        </w:trPr>
        <w:tc>
          <w:tcPr/>
          <w:p>
            <w:pPr>
              <w:pStyle w:val="Compact"/>
            </w:pPr>
            <w:r>
              <w:rPr>
                <w:lang w:val="es-ES"/>
              </w:rPr>
              <w:t xml:space="preserve">País de establecimiento</w:t>
            </w:r>
          </w:p>
        </w:tc>
        <w:tc>
          <w:tcPr/>
          <w:p>
            <w:pPr>
              <w:pStyle w:val="Compact"/>
            </w:pPr>
            <w:r>
              <w:rPr>
                <w:lang w:val="es-ES"/>
              </w:rPr>
              <w:t xml:space="preserve">Francia / UE</w:t>
            </w:r>
          </w:p>
        </w:tc>
      </w:tr>
      <w:tr>
        <w:trPr>
          <w:cantSplit/>
        </w:trPr>
        <w:tc>
          <w:tcPr/>
          <w:p>
            <w:pPr>
              <w:pStyle w:val="Compact"/>
            </w:pPr>
            <w:r>
              <w:rPr>
                <w:lang w:val="es-ES"/>
              </w:rPr>
              <w:t xml:space="preserve">Rol</w:t>
            </w:r>
          </w:p>
        </w:tc>
        <w:tc>
          <w:tcPr/>
          <w:p>
            <w:pPr>
              <w:pStyle w:val="Compact"/>
            </w:pPr>
            <w:r>
              <w:rPr>
                <w:b/>
                <w:bCs/>
                <w:lang w:val="es-ES"/>
              </w:rPr>
              <w:t xml:space="preserve">Ruta principal </w:t>
            </w:r>
            <w:r>
              <w:rPr>
                <w:lang w:val="es-ES"/>
              </w:rPr>
              <w:t xml:space="preserve"/>
            </w:r>
            <w:r>
              <w:rPr>
                <w:lang w:val="es-ES"/>
              </w:rPr>
              <w:t xml:space="preserve">de inferencia del modelo de lenguaje (funciones de IA)</w:t>
            </w:r>
          </w:p>
        </w:tc>
      </w:tr>
      <w:tr>
        <w:trPr>
          <w:cantSplit/>
        </w:trPr>
        <w:tc>
          <w:tcPr/>
          <w:p>
            <w:pPr>
              <w:pStyle w:val="Compact"/>
            </w:pPr>
            <w:r>
              <w:rPr>
                <w:lang w:val="es-ES"/>
              </w:rPr>
              <w:t xml:space="preserve">Operaciones realizadas</w:t>
            </w:r>
          </w:p>
        </w:tc>
        <w:tc>
          <w:tcPr/>
          <w:p>
            <w:pPr>
              <w:pStyle w:val="Compact"/>
            </w:pPr>
            <w:r>
              <w:rPr>
                <w:lang w:val="es-ES"/>
              </w:rPr>
              <w:t xml:space="preserve">Inferencia de modelos </w:t>
            </w:r>
            <w:r>
              <w:rPr>
                <w:lang w:val="es-ES"/>
              </w:rPr>
              <w:t xml:space="preserve"/>
            </w:r>
            <w:r>
              <w:rPr>
                <w:b/>
                <w:bCs/>
                <w:lang w:val="es-ES"/>
              </w:rPr>
              <w:t xml:space="preserve">de pesos abiertos </w:t>
            </w:r>
            <w:r>
              <w:rPr>
                <w:lang w:val="es-ES"/>
              </w:rPr>
              <w:t xml:space="preserve"/>
            </w:r>
            <w:r>
              <w:rPr>
                <w:lang w:val="es-ES"/>
              </w:rPr>
              <w:t xml:space="preserve">(Qwen 3.6 o Mistral [versiones por confirmar]) vía vLLM</w:t>
            </w:r>
          </w:p>
        </w:tc>
      </w:tr>
      <w:tr>
        <w:trPr>
          <w:cantSplit/>
        </w:trPr>
        <w:tc>
          <w:tcPr/>
          <w:p>
            <w:pPr>
              <w:pStyle w:val="Compact"/>
            </w:pPr>
            <w:r>
              <w:rPr>
                <w:lang w:val="es-ES"/>
              </w:rPr>
              <w:t xml:space="preserve">Ubicación de procesamiento</w:t>
            </w:r>
          </w:p>
        </w:tc>
        <w:tc>
          <w:tcPr/>
          <w:p>
            <w:pPr>
              <w:pStyle w:val="Compact"/>
            </w:pPr>
            <w:r>
              <w:rPr>
                <w:b/>
                <w:bCs/>
                <w:lang w:val="es-ES"/>
              </w:rPr>
              <w:t xml:space="preserve">UE: principalmente Estrasburgo y París (o </w:t>
            </w:r>
            <w:r>
              <w:rPr>
                <w:lang w:val="es-ES"/>
              </w:rPr>
              <w:t xml:space="preserve"/>
            </w:r>
            <w:r>
              <w:rPr>
                <w:lang w:val="es-ES"/>
              </w:rPr>
              <w:t xml:space="preserve">infraestructura del cliente en la opción B)</w:t>
            </w:r>
          </w:p>
        </w:tc>
      </w:tr>
      <w:tr>
        <w:trPr>
          <w:cantSplit/>
        </w:trPr>
        <w:tc>
          <w:tcPr/>
          <w:p>
            <w:pPr>
              <w:pStyle w:val="Compact"/>
            </w:pPr>
            <w:r>
              <w:rPr>
                <w:lang w:val="es-ES"/>
              </w:rPr>
              <w:t xml:space="preserve">Ubicación de almacenamiento</w:t>
            </w:r>
          </w:p>
        </w:tc>
        <w:tc>
          <w:tcPr/>
          <w:p>
            <w:pPr>
              <w:pStyle w:val="Compact"/>
            </w:pPr>
            <w:r>
              <w:rPr>
                <w:lang w:val="es-ES"/>
              </w:rPr>
              <w:t xml:space="preserve">Sin almacenamiento duradero; </w:t>
            </w:r>
            <w:r>
              <w:rPr>
                <w:lang w:val="es-ES"/>
              </w:rPr>
              <w:t xml:space="preserve"/>
            </w:r>
            <w:r>
              <w:rPr>
                <w:b/>
                <w:bCs/>
                <w:lang w:val="es-ES"/>
              </w:rPr>
              <w:t xml:space="preserve">sin transmisión a un proveedor externo</w:t>
            </w:r>
          </w:p>
        </w:tc>
      </w:tr>
      <w:tr>
        <w:trPr>
          <w:cantSplit/>
        </w:trPr>
        <w:tc>
          <w:tcPr/>
          <w:p>
            <w:pPr>
              <w:pStyle w:val="Compact"/>
            </w:pPr>
            <w:r>
              <w:rPr>
                <w:lang w:val="es-ES"/>
              </w:rPr>
              <w:t xml:space="preserve">Acceso humano a los datos</w:t>
            </w:r>
          </w:p>
        </w:tc>
        <w:tc>
          <w:tcPr/>
          <w:p>
            <w:pPr>
              <w:pStyle w:val="Compact"/>
            </w:pPr>
            <w:r>
              <w:rPr>
                <w:b/>
                <w:bCs/>
                <w:lang w:val="es-ES"/>
              </w:rPr>
              <w:t xml:space="preserve">No: </w:t>
            </w:r>
            <w:r>
              <w:rPr>
                <w:lang w:val="es-ES"/>
              </w:rPr>
              <w:t xml:space="preserve"/>
            </w:r>
            <w:r>
              <w:rPr>
                <w:lang w:val="es-ES"/>
              </w:rPr>
              <w:t xml:space="preserve">procesamiento automatizado en servidores controlados</w:t>
            </w:r>
          </w:p>
        </w:tc>
      </w:tr>
      <w:tr>
        <w:trPr>
          <w:cantSplit/>
        </w:trPr>
        <w:tc>
          <w:tcPr/>
          <w:p>
            <w:pPr>
              <w:pStyle w:val="Compact"/>
            </w:pPr>
            <w:r>
              <w:rPr>
                <w:lang w:val="es-ES"/>
              </w:rPr>
              <w:t xml:space="preserve">Garantías contractuales</w:t>
            </w:r>
          </w:p>
        </w:tc>
        <w:tc>
          <w:tcPr/>
          <w:p>
            <w:pPr>
              <w:pStyle w:val="Compact"/>
            </w:pPr>
            <w:r>
              <w:rPr>
                <w:lang w:val="es-ES"/>
              </w:rPr>
              <w:t xml:space="preserve">Servidores bajo control de OHADJA; sin entrenamiento («no-train»); DPA</w:t>
            </w:r>
          </w:p>
        </w:tc>
      </w:tr>
    </w:tbl>
    <w:p>
      <w:pPr>
        <w:pStyle w:val="BlockText"/>
      </w:pPr>
      <w:r>
        <w:rPr>
          <w:lang w:val="es-ES"/>
        </w:rPr>
        <w:t xml:space="preserve">La ruta principal no implica </w:t>
      </w:r>
      <w:r>
        <w:rPr>
          <w:lang w:val="es-ES"/>
        </w:rPr>
        <w:t xml:space="preserve"/>
      </w:r>
      <w:r>
        <w:rPr>
          <w:b/>
          <w:bCs/>
          <w:lang w:val="es-ES"/>
        </w:rPr>
        <w:t xml:space="preserve">ninguna inferencia o transferencia de </w:t>
      </w:r>
      <w:r>
        <w:rPr>
          <w:lang w:val="es-ES"/>
        </w:rPr>
        <w:t xml:space="preserve"/>
      </w:r>
      <w:r>
        <w:rPr>
          <w:lang w:val="es-ES"/>
        </w:rPr>
        <w:t xml:space="preserve">terceros fuera del EEE. Dependiendo de su método de alojamiento, estos servidores GPU pueden depender de los recursos de un host de la UE debidamente </w:t>
      </w:r>
      <w:r>
        <w:rPr>
          <w:lang w:val="es-ES"/>
        </w:rPr>
        <w:t xml:space="preserve">supervisado: </w:t>
      </w:r>
      <w:r>
        <w:rPr>
          <w:b/>
          <w:bCs/>
          <w:lang w:val="es-ES"/>
        </w:rPr>
        <w:t xml:space="preserve">[POR CONFIRMAR: host de servidores vLLM </w:t>
      </w:r>
      <w:r>
        <w:rPr>
          <w:lang w:val="es-ES"/>
        </w:rPr>
        <w:t xml:space="preserve">GPU].</w:t>
      </w:r>
    </w:p>
    <w:bookmarkEnd w:id="82"/>
    <w:bookmarkStart w:id="83" w:name="Xe24c5cb2d6d45e1fe077f14e9da0e604d7d99b4"/>
    <w:p>
      <w:pPr>
        <w:pStyle w:val="Heading3"/>
        <w:keepNext/>
        <w:keepLines/>
      </w:pPr>
      <w:r>
        <w:rPr>
          <w:color w:val="000000"/>
          <w:lang w:val="es-ES"/>
        </w:rPr>
        <w:t xml:space="preserve">2.5 Puerta de enlace AI de respaldo: OpenRouter</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entidad</w:t>
            </w:r>
          </w:p>
        </w:tc>
        <w:tc>
          <w:tcPr/>
          <w:p>
            <w:pPr>
              <w:pStyle w:val="Compact"/>
            </w:pPr>
            <w:r>
              <w:rPr>
                <w:lang w:val="es-ES"/>
              </w:rPr>
              <w:t xml:space="preserve">OpenRouter Inc.</w:t>
            </w:r>
          </w:p>
        </w:tc>
      </w:tr>
      <w:tr>
        <w:trPr>
          <w:cantSplit/>
        </w:trPr>
        <w:tc>
          <w:tcPr/>
          <w:p>
            <w:pPr>
              <w:pStyle w:val="Compact"/>
            </w:pPr>
            <w:r>
              <w:rPr>
                <w:lang w:val="es-ES"/>
              </w:rPr>
              <w:t xml:space="preserve">País de establecimiento</w:t>
            </w:r>
          </w:p>
        </w:tc>
        <w:tc>
          <w:tcPr/>
          <w:p>
            <w:pPr>
              <w:pStyle w:val="Compact"/>
            </w:pPr>
            <w:r>
              <w:rPr>
                <w:lang w:val="es-ES"/>
              </w:rPr>
              <w:t xml:space="preserve">Estados Unidos</w:t>
            </w:r>
          </w:p>
        </w:tc>
      </w:tr>
      <w:tr>
        <w:trPr>
          <w:cantSplit/>
        </w:trPr>
        <w:tc>
          <w:tcPr/>
          <w:p>
            <w:pPr>
              <w:pStyle w:val="Compact"/>
            </w:pPr>
            <w:r>
              <w:rPr>
                <w:lang w:val="es-ES"/>
              </w:rPr>
              <w:t xml:space="preserve">Rol</w:t>
            </w:r>
          </w:p>
        </w:tc>
        <w:tc>
          <w:tcPr/>
          <w:p>
            <w:pPr>
              <w:pStyle w:val="Compact"/>
            </w:pPr>
            <w:r>
              <w:rPr>
                <w:lang w:val="es-ES"/>
              </w:rPr>
              <w:t xml:space="preserve">Gateway de acceso al modelo de lenguaje </w:t>
            </w:r>
            <w:r>
              <w:rPr>
                <w:lang w:val="es-ES"/>
              </w:rPr>
              <w:t xml:space="preserve">de </w:t>
            </w:r>
            <w:r>
              <w:rPr>
                <w:b/>
                <w:bCs/>
                <w:lang w:val="es-ES"/>
              </w:rPr>
              <w:t xml:space="preserve">conmutación por error únicamente, </w:t>
            </w:r>
            <w:r>
              <w:rPr>
                <w:lang w:val="es-ES"/>
              </w:rPr>
              <w:t xml:space="preserve">desactivable por organización</w:t>
            </w:r>
          </w:p>
        </w:tc>
      </w:tr>
      <w:tr>
        <w:trPr>
          <w:cantSplit/>
        </w:trPr>
        <w:tc>
          <w:tcPr/>
          <w:p>
            <w:pPr>
              <w:pStyle w:val="Compact"/>
            </w:pPr>
            <w:r>
              <w:rPr>
                <w:lang w:val="es-ES"/>
              </w:rPr>
              <w:t xml:space="preserve">Operaciones realizadas</w:t>
            </w:r>
          </w:p>
        </w:tc>
        <w:tc>
          <w:tcPr/>
          <w:p>
            <w:pPr>
              <w:pStyle w:val="Compact"/>
            </w:pPr>
            <w:r>
              <w:rPr>
                <w:lang w:val="es-ES"/>
              </w:rPr>
              <w:t xml:space="preserve">Enrutamiento de solicitudes de inferencia en caso de indisponibilidad del canal primario</w:t>
            </w:r>
          </w:p>
        </w:tc>
      </w:tr>
      <w:tr>
        <w:trPr>
          <w:cantSplit/>
        </w:trPr>
        <w:tc>
          <w:tcPr/>
          <w:p>
            <w:pPr>
              <w:pStyle w:val="Compact"/>
            </w:pPr>
            <w:r>
              <w:rPr>
                <w:lang w:val="es-ES"/>
              </w:rPr>
              <w:t xml:space="preserve">Ubicación de procesamiento</w:t>
            </w:r>
          </w:p>
        </w:tc>
        <w:tc>
          <w:tcPr/>
          <w:p>
            <w:pPr>
              <w:pStyle w:val="Compact"/>
            </w:pPr>
            <w:r>
              <w:rPr>
                <w:lang w:val="es-ES"/>
              </w:rPr>
              <w:t xml:space="preserve">Ruta a EE. UU. posible según el modelo</w:t>
            </w:r>
          </w:p>
        </w:tc>
      </w:tr>
      <w:tr>
        <w:trPr>
          <w:cantSplit/>
        </w:trPr>
        <w:tc>
          <w:tcPr/>
          <w:p>
            <w:pPr>
              <w:pStyle w:val="Compact"/>
            </w:pPr>
            <w:r>
              <w:rPr>
                <w:lang w:val="es-ES"/>
              </w:rPr>
              <w:t xml:space="preserve">Ubicación de almacenamiento</w:t>
            </w:r>
          </w:p>
        </w:tc>
        <w:tc>
          <w:tcPr/>
          <w:p>
            <w:pPr>
              <w:pStyle w:val="Compact"/>
            </w:pPr>
            <w:r>
              <w:rPr>
                <w:lang w:val="es-ES"/>
              </w:rPr>
              <w:t xml:space="preserve">Sin almacenamiento duradero; sin entrenamiento («no-train») habilitado</w:t>
            </w:r>
          </w:p>
        </w:tc>
      </w:tr>
      <w:tr>
        <w:trPr>
          <w:cantSplit/>
        </w:trPr>
        <w:tc>
          <w:tcPr/>
          <w:p>
            <w:pPr>
              <w:pStyle w:val="Compact"/>
            </w:pPr>
            <w:r>
              <w:rPr>
                <w:lang w:val="es-ES"/>
              </w:rPr>
              <w:t xml:space="preserve">Acceso humano a los datos</w:t>
            </w:r>
          </w:p>
        </w:tc>
        <w:tc>
          <w:tcPr/>
          <w:p>
            <w:pPr>
              <w:pStyle w:val="Compact"/>
            </w:pPr>
            <w:r>
              <w:rPr>
                <w:b/>
                <w:bCs/>
                <w:lang w:val="es-ES"/>
              </w:rPr>
              <w:t xml:space="preserve">No: </w:t>
            </w:r>
            <w:r>
              <w:rPr>
                <w:lang w:val="es-ES"/>
              </w:rPr>
              <w:t xml:space="preserve"/>
            </w:r>
            <w:r>
              <w:rPr>
                <w:lang w:val="es-ES"/>
              </w:rPr>
              <w:t xml:space="preserve">acceso técnico automatizado; indicaciones = datos seleccionados por el cliente, minimizados</w:t>
            </w:r>
          </w:p>
        </w:tc>
      </w:tr>
      <w:tr>
        <w:trPr>
          <w:cantSplit/>
        </w:trPr>
        <w:tc>
          <w:tcPr/>
          <w:p>
            <w:pPr>
              <w:pStyle w:val="Compact"/>
            </w:pPr>
            <w:r>
              <w:rPr>
                <w:lang w:val="es-ES"/>
              </w:rPr>
              <w:t xml:space="preserve">Garantías contractuales</w:t>
            </w:r>
          </w:p>
        </w:tc>
        <w:tc>
          <w:tcPr/>
          <w:p>
            <w:pPr>
              <w:pStyle w:val="Compact"/>
            </w:pPr>
            <w:r>
              <w:rPr>
                <w:lang w:val="es-ES"/>
              </w:rPr>
              <w:t xml:space="preserve">Condiciones del proveedor, bandera de no entrenamiento («no-train»), CCT si corresponde, medidas adicionales (ver OHA-RGPD-04)</w:t>
            </w:r>
          </w:p>
        </w:tc>
      </w:tr>
    </w:tbl>
    <w:bookmarkEnd w:id="83"/>
    <w:bookmarkStart w:id="84" w:name="X7a9d209f5e73c542f519287662e80a7a58cad7d"/>
    <w:p>
      <w:pPr>
        <w:pStyle w:val="Heading3"/>
        <w:keepNext/>
        <w:keepLines/>
      </w:pPr>
      <w:r>
        <w:rPr>
          <w:color w:val="000000"/>
          <w:lang w:val="es-ES"/>
        </w:rPr>
        <w:t xml:space="preserve">2.6 Proveedores de modelos a través de OpenRouter (ruta alternativa) — Anthropic, OpenAI…</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entidad</w:t>
            </w:r>
          </w:p>
        </w:tc>
        <w:tc>
          <w:tcPr/>
          <w:p>
            <w:pPr>
              <w:pStyle w:val="Compact"/>
            </w:pPr>
            <w:r>
              <w:rPr>
                <w:lang w:val="es-ES"/>
              </w:rPr>
              <w:t xml:space="preserve">Proveedores de modelos configurados (Anthropic, OpenAI…)</w:t>
            </w:r>
          </w:p>
        </w:tc>
      </w:tr>
      <w:tr>
        <w:trPr>
          <w:cantSplit/>
        </w:trPr>
        <w:tc>
          <w:tcPr/>
          <w:p>
            <w:pPr>
              <w:pStyle w:val="Compact"/>
            </w:pPr>
            <w:r>
              <w:rPr>
                <w:lang w:val="es-ES"/>
              </w:rPr>
              <w:t xml:space="preserve">País de establecimiento</w:t>
            </w:r>
          </w:p>
        </w:tc>
        <w:tc>
          <w:tcPr/>
          <w:p>
            <w:pPr>
              <w:pStyle w:val="Compact"/>
            </w:pPr>
            <w:r>
              <w:rPr>
                <w:lang w:val="es-ES"/>
              </w:rPr>
              <w:t xml:space="preserve">Estados Unidos</w:t>
            </w:r>
          </w:p>
        </w:tc>
      </w:tr>
      <w:tr>
        <w:trPr>
          <w:cantSplit/>
        </w:trPr>
        <w:tc>
          <w:tcPr/>
          <w:p>
            <w:pPr>
              <w:pStyle w:val="Compact"/>
            </w:pPr>
            <w:r>
              <w:rPr>
                <w:lang w:val="es-ES"/>
              </w:rPr>
              <w:t xml:space="preserve">Rol</w:t>
            </w:r>
          </w:p>
        </w:tc>
        <w:tc>
          <w:tcPr/>
          <w:p>
            <w:pPr>
              <w:pStyle w:val="Compact"/>
            </w:pPr>
            <w:r>
              <w:rPr>
                <w:lang w:val="es-ES"/>
              </w:rPr>
              <w:t xml:space="preserve">Inferencia de modelos de lenguaje </w:t>
            </w:r>
            <w:r>
              <w:rPr>
                <w:lang w:val="es-ES"/>
              </w:rPr>
              <w:t xml:space="preserve"/>
            </w:r>
            <w:r>
              <w:rPr>
                <w:b/>
                <w:bCs/>
                <w:lang w:val="es-ES"/>
              </w:rPr>
              <w:t xml:space="preserve">solo como alternativa</w:t>
            </w:r>
          </w:p>
        </w:tc>
      </w:tr>
      <w:tr>
        <w:trPr>
          <w:cantSplit/>
        </w:trPr>
        <w:tc>
          <w:tcPr/>
          <w:p>
            <w:pPr>
              <w:pStyle w:val="Compact"/>
            </w:pPr>
            <w:r>
              <w:rPr>
                <w:lang w:val="es-ES"/>
              </w:rPr>
              <w:t xml:space="preserve">Operaciones realizadas</w:t>
            </w:r>
          </w:p>
        </w:tc>
        <w:tc>
          <w:tcPr/>
          <w:p>
            <w:pPr>
              <w:pStyle w:val="Compact"/>
            </w:pPr>
            <w:r>
              <w:rPr>
                <w:lang w:val="es-ES"/>
              </w:rPr>
              <w:t xml:space="preserve">Generación de texto (corrección, resumen, informe, análisis) basándose únicamente en las solicitudes del cliente, en caso de cambio a copia de seguridad.</w:t>
            </w:r>
          </w:p>
        </w:tc>
      </w:tr>
      <w:tr>
        <w:trPr>
          <w:cantSplit/>
        </w:trPr>
        <w:tc>
          <w:tcPr/>
          <w:p>
            <w:pPr>
              <w:pStyle w:val="Compact"/>
            </w:pPr>
            <w:r>
              <w:rPr>
                <w:lang w:val="es-ES"/>
              </w:rPr>
              <w:t xml:space="preserve">Ubicación de procesamiento</w:t>
            </w:r>
          </w:p>
        </w:tc>
        <w:tc>
          <w:tcPr/>
          <w:p>
            <w:pPr>
              <w:pStyle w:val="Compact"/>
            </w:pPr>
            <w:r>
              <w:rPr>
                <w:lang w:val="es-ES"/>
              </w:rPr>
              <w:t xml:space="preserve">EE.UU./UE según modelo</w:t>
            </w:r>
          </w:p>
        </w:tc>
      </w:tr>
      <w:tr>
        <w:trPr>
          <w:cantSplit/>
        </w:trPr>
        <w:tc>
          <w:tcPr/>
          <w:p>
            <w:pPr>
              <w:pStyle w:val="Compact"/>
            </w:pPr>
            <w:r>
              <w:rPr>
                <w:lang w:val="es-ES"/>
              </w:rPr>
              <w:t xml:space="preserve">Ubicación de almacenamiento</w:t>
            </w:r>
          </w:p>
        </w:tc>
        <w:tc>
          <w:tcPr/>
          <w:p>
            <w:pPr>
              <w:pStyle w:val="Compact"/>
            </w:pPr>
            <w:r>
              <w:rPr>
                <w:lang w:val="es-ES"/>
              </w:rPr>
              <w:t xml:space="preserve">Retención limitada según DPA del proveedor; sin entrenamiento de datos</w:t>
            </w:r>
          </w:p>
        </w:tc>
      </w:tr>
      <w:tr>
        <w:trPr>
          <w:cantSplit/>
        </w:trPr>
        <w:tc>
          <w:tcPr/>
          <w:p>
            <w:pPr>
              <w:pStyle w:val="Compact"/>
            </w:pPr>
            <w:r>
              <w:rPr>
                <w:lang w:val="es-ES"/>
              </w:rPr>
              <w:t xml:space="preserve">Acceso humano a los datos</w:t>
            </w:r>
          </w:p>
        </w:tc>
        <w:tc>
          <w:tcPr/>
          <w:p>
            <w:pPr>
              <w:pStyle w:val="Compact"/>
            </w:pPr>
            <w:r>
              <w:rPr>
                <w:lang w:val="es-ES"/>
              </w:rPr>
              <w:t xml:space="preserve">Supervisado por la DPA del proveedor; sin acceso humano en el lado OHADJA</w:t>
            </w:r>
          </w:p>
        </w:tc>
      </w:tr>
      <w:tr>
        <w:trPr>
          <w:cantSplit/>
        </w:trPr>
        <w:tc>
          <w:tcPr/>
          <w:p>
            <w:pPr>
              <w:pStyle w:val="Compact"/>
            </w:pPr>
            <w:r>
              <w:rPr>
                <w:lang w:val="es-ES"/>
              </w:rPr>
              <w:t xml:space="preserve">Garantías contractuales</w:t>
            </w:r>
          </w:p>
        </w:tc>
        <w:tc>
          <w:tcPr/>
          <w:p>
            <w:pPr>
              <w:pStyle w:val="Compact"/>
            </w:pPr>
            <w:r>
              <w:rPr>
                <w:lang w:val="es-ES"/>
              </w:rPr>
              <w:t xml:space="preserve">DPA del proveedor, sin entrenamiento («no-train»), CCT si corresponde; retención exacta [PARA SER COMPLETADO por el proveedor]</w:t>
            </w:r>
          </w:p>
        </w:tc>
      </w:tr>
    </w:tbl>
    <w:bookmarkEnd w:id="84"/>
    <w:bookmarkStart w:id="85" w:name="X739d67500347b1e3573abccc1a95744451fddf3"/>
    <w:p>
      <w:pPr>
        <w:pStyle w:val="Heading3"/>
        <w:keepNext/>
        <w:keepLines/>
      </w:pPr>
      <w:r>
        <w:rPr>
          <w:color w:val="000000"/>
          <w:lang w:val="es-ES"/>
        </w:rPr>
        <w:t xml:space="preserve">2.7 Correo electrónico transaccional (si está activado)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entidad</w:t>
            </w:r>
          </w:p>
        </w:tc>
        <w:tc>
          <w:tcPr/>
          <w:p>
            <w:pPr>
              <w:pStyle w:val="Compact"/>
            </w:pPr>
            <w:r>
              <w:rPr>
                <w:lang w:val="es-ES"/>
              </w:rPr>
              <w:t xml:space="preserve">Proveedor de servicios de correo electrónico transaccional</w:t>
            </w:r>
          </w:p>
        </w:tc>
      </w:tr>
      <w:tr>
        <w:trPr>
          <w:cantSplit/>
        </w:trPr>
        <w:tc>
          <w:tcPr/>
          <w:p>
            <w:pPr>
              <w:pStyle w:val="Compact"/>
            </w:pPr>
            <w:r>
              <w:rPr>
                <w:lang w:val="es-ES"/>
              </w:rPr>
              <w:t xml:space="preserve">País de establecimiento</w:t>
            </w:r>
          </w:p>
        </w:tc>
        <w:tc>
          <w:tcPr/>
          <w:p>
            <w:pPr>
              <w:pStyle w:val="Compact"/>
            </w:pPr>
            <w:r>
              <w:rPr>
                <w:lang w:val="es-ES"/>
              </w:rPr>
              <w:t xml:space="preserve">[PARA CONFIRMAR]</w:t>
            </w:r>
          </w:p>
        </w:tc>
      </w:tr>
      <w:tr>
        <w:trPr>
          <w:cantSplit/>
        </w:trPr>
        <w:tc>
          <w:tcPr/>
          <w:p>
            <w:pPr>
              <w:pStyle w:val="Compact"/>
            </w:pPr>
            <w:r>
              <w:rPr>
                <w:lang w:val="es-ES"/>
              </w:rPr>
              <w:t xml:space="preserve">Rol</w:t>
            </w:r>
          </w:p>
        </w:tc>
        <w:tc>
          <w:tcPr/>
          <w:p>
            <w:pPr>
              <w:pStyle w:val="Compact"/>
            </w:pPr>
            <w:r>
              <w:rPr>
                <w:lang w:val="es-ES"/>
              </w:rPr>
              <w:t xml:space="preserve">Envío de correos electrónicos de servicio (invitaciones, reseteos, notificaciones técnicas)</w:t>
            </w:r>
          </w:p>
        </w:tc>
      </w:tr>
      <w:tr>
        <w:trPr>
          <w:cantSplit/>
        </w:trPr>
        <w:tc>
          <w:tcPr/>
          <w:p>
            <w:pPr>
              <w:pStyle w:val="Compact"/>
            </w:pPr>
            <w:r>
              <w:rPr>
                <w:lang w:val="es-ES"/>
              </w:rPr>
              <w:t xml:space="preserve">Operaciones realizadas</w:t>
            </w:r>
          </w:p>
        </w:tc>
        <w:tc>
          <w:tcPr/>
          <w:p>
            <w:pPr>
              <w:pStyle w:val="Compact"/>
            </w:pPr>
            <w:r>
              <w:rPr>
                <w:lang w:val="es-ES"/>
              </w:rPr>
              <w:t xml:space="preserve">Enrutamiento de correos electrónicos de servicio</w:t>
            </w:r>
          </w:p>
        </w:tc>
      </w:tr>
      <w:tr>
        <w:trPr>
          <w:cantSplit/>
        </w:trPr>
        <w:tc>
          <w:tcPr/>
          <w:p>
            <w:pPr>
              <w:pStyle w:val="Compact"/>
            </w:pPr>
            <w:r>
              <w:rPr>
                <w:lang w:val="es-ES"/>
              </w:rPr>
              <w:t xml:space="preserve">Ubicación de procesamiento/almacenamiento</w:t>
            </w:r>
          </w:p>
        </w:tc>
        <w:tc>
          <w:tcPr/>
          <w:p>
            <w:pPr>
              <w:pStyle w:val="Compact"/>
            </w:pPr>
            <w:r>
              <w:rPr>
                <w:lang w:val="es-ES"/>
              </w:rPr>
              <w:t xml:space="preserve">[POR CONFIRMAR – Preferiblemente UE]</w:t>
            </w:r>
          </w:p>
        </w:tc>
      </w:tr>
      <w:tr>
        <w:trPr>
          <w:cantSplit/>
        </w:trPr>
        <w:tc>
          <w:tcPr/>
          <w:p>
            <w:pPr>
              <w:pStyle w:val="Compact"/>
            </w:pPr>
            <w:r>
              <w:rPr>
                <w:lang w:val="es-ES"/>
              </w:rPr>
              <w:t xml:space="preserve">Acceso humano a los datos</w:t>
            </w:r>
          </w:p>
        </w:tc>
        <w:tc>
          <w:tcPr/>
          <w:p>
            <w:pPr>
              <w:pStyle w:val="Compact"/>
            </w:pPr>
            <w:r>
              <w:rPr>
                <w:b/>
                <w:bCs/>
                <w:lang w:val="es-ES"/>
              </w:rPr>
              <w:t xml:space="preserve">No</w:t>
            </w:r>
          </w:p>
        </w:tc>
      </w:tr>
      <w:tr>
        <w:trPr>
          <w:cantSplit/>
        </w:trPr>
        <w:tc>
          <w:tcPr/>
          <w:p>
            <w:pPr>
              <w:pStyle w:val="Compact"/>
            </w:pPr>
            <w:r>
              <w:rPr>
                <w:lang w:val="es-ES"/>
              </w:rPr>
              <w:t xml:space="preserve">Garantías contractuales</w:t>
            </w:r>
          </w:p>
        </w:tc>
        <w:tc>
          <w:tcPr/>
          <w:p>
            <w:pPr>
              <w:pStyle w:val="Compact"/>
            </w:pPr>
            <w:r>
              <w:rPr>
                <w:lang w:val="es-ES"/>
              </w:rPr>
              <w:t xml:space="preserve">Contrato de servicio, proveedor DPA, CCT si está fuera de la UE — [POR CONFIRMAR]</w:t>
            </w:r>
          </w:p>
        </w:tc>
      </w:tr>
    </w:tbl>
    <w:bookmarkEnd w:id="85"/>
    <w:bookmarkStart w:id="86" w:name="X2a3999304a2b98c303cb3c8bf84bf7852a985ad"/>
    <w:p>
      <w:pPr>
        <w:pStyle w:val="Heading3"/>
        <w:keepNext/>
        <w:keepLines/>
      </w:pPr>
      <w:r>
        <w:rPr>
          <w:color w:val="000000"/>
          <w:lang w:val="es-ES"/>
        </w:rPr>
        <w:t xml:space="preserve">2.8 Supervisión y supervisión de seguridad</w:t>
      </w:r>
    </w:p>
    <w:p>
      <w:pPr>
        <w:pStyle w:val="FirstParagraph"/>
      </w:pPr>
      <w:r>
        <w:rPr>
          <w:lang w:val="es-ES"/>
        </w:rPr>
        <w:t xml:space="preserve">La supervisión técnica (cola, disco, certificados, dependencias) y la supervisión de seguridad las proporciona </w:t>
      </w:r>
      <w:r>
        <w:rPr>
          <w:lang w:val="es-ES"/>
        </w:rPr>
        <w:t xml:space="preserve">directamente </w:t>
      </w:r>
      <w:r>
        <w:rPr>
          <w:b/>
          <w:bCs/>
          <w:lang w:val="es-ES"/>
        </w:rPr>
        <w:t xml:space="preserve">OHADJA, sin un </w:t>
      </w:r>
      <w:r>
        <w:rPr>
          <w:lang w:val="es-ES"/>
        </w:rPr>
        <w:t xml:space="preserve">proveedor externo. En esta capacidad no interviene ningún subencargado del tratamiento.</w:t>
      </w:r>
    </w:p>
    <w:bookmarkEnd w:id="86"/>
    <w:bookmarkEnd w:id="87"/>
    <w:bookmarkStart w:id="88" w:name="X0a7a632d6fa131b667612b4790ffc99111a837a"/>
    <w:p>
      <w:pPr>
        <w:pStyle w:val="Heading2"/>
        <w:keepNext/>
        <w:keepLines/>
      </w:pPr>
      <w:r>
        <w:rPr>
          <w:color w:val="000000"/>
          <w:lang w:val="es-ES"/>
        </w:rPr>
        <w:t xml:space="preserve">3. Cuadro resumen: Opción A</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s-ES"/>
              </w:rPr>
              <w:t xml:space="preserve">Encargado del tratamiento</w:t>
            </w:r>
          </w:p>
        </w:tc>
        <w:tc>
          <w:tcPr>
            <w:tcW w:type="dxa" w:w="1872"/>
            <w:tcMar>
              <w:left w:type="dxa" w:w="80"/>
              <w:right w:type="dxa" w:w="80"/>
            </w:tcMar>
          </w:tcPr>
          <w:p>
            <w:pPr>
              <w:pStyle w:val="Compact"/>
            </w:pPr>
            <w:r>
              <w:rPr>
                <w:sz w:val="19"/>
                <w:szCs w:val="19"/>
                <w:lang w:val="es-ES"/>
              </w:rPr>
              <w:t xml:space="preserve">País de establecimiento</w:t>
            </w:r>
          </w:p>
        </w:tc>
        <w:tc>
          <w:tcPr>
            <w:tcW w:type="dxa" w:w="1872"/>
            <w:tcMar>
              <w:left w:type="dxa" w:w="80"/>
              <w:right w:type="dxa" w:w="80"/>
            </w:tcMar>
          </w:tcPr>
          <w:p>
            <w:pPr>
              <w:pStyle w:val="Compact"/>
            </w:pPr>
            <w:r>
              <w:rPr>
                <w:sz w:val="19"/>
                <w:szCs w:val="19"/>
                <w:lang w:val="es-ES"/>
              </w:rPr>
              <w:t xml:space="preserve">Rol</w:t>
            </w:r>
          </w:p>
        </w:tc>
        <w:tc>
          <w:tcPr>
            <w:tcW w:type="dxa" w:w="1872"/>
            <w:tcMar>
              <w:left w:type="dxa" w:w="80"/>
              <w:right w:type="dxa" w:w="80"/>
            </w:tcMar>
          </w:tcPr>
          <w:p>
            <w:pPr>
              <w:pStyle w:val="Compact"/>
            </w:pPr>
            <w:r>
              <w:rPr>
                <w:sz w:val="19"/>
                <w:szCs w:val="19"/>
                <w:lang w:val="es-ES"/>
              </w:rPr>
              <w:t xml:space="preserve">Procesamiento/almacenamiento</w:t>
            </w:r>
          </w:p>
        </w:tc>
        <w:tc>
          <w:tcPr>
            <w:tcW w:type="dxa" w:w="1872"/>
            <w:tcMar>
              <w:left w:type="dxa" w:w="80"/>
              <w:right w:type="dxa" w:w="80"/>
            </w:tcMar>
          </w:tcPr>
          <w:p>
            <w:pPr>
              <w:pStyle w:val="Compact"/>
            </w:pPr>
            <w:r>
              <w:rPr>
                <w:sz w:val="19"/>
                <w:szCs w:val="19"/>
                <w:lang w:val="es-ES"/>
              </w:rPr>
              <w:t xml:space="preserve">Acceso humano</w:t>
            </w:r>
          </w:p>
        </w:tc>
      </w:tr>
      <w:tr>
        <w:trPr>
          <w:cantSplit/>
        </w:trPr>
        <w:tc>
          <w:tcPr>
            <w:tcW w:type="dxa" w:w="1872"/>
            <w:tcMar>
              <w:left w:type="dxa" w:w="80"/>
              <w:right w:type="dxa" w:w="80"/>
            </w:tcMar>
          </w:tcPr>
          <w:p>
            <w:pPr>
              <w:pStyle w:val="Compact"/>
            </w:pPr>
            <w:r>
              <w:rPr>
                <w:sz w:val="19"/>
                <w:szCs w:val="19"/>
                <w:lang w:val="es-ES"/>
              </w:rPr>
              <w:t xml:space="preserve">Hostinger</w:t>
            </w:r>
          </w:p>
        </w:tc>
        <w:tc>
          <w:tcPr>
            <w:tcW w:type="dxa" w:w="1872"/>
            <w:tcMar>
              <w:left w:type="dxa" w:w="80"/>
              <w:right w:type="dxa" w:w="80"/>
            </w:tcMar>
          </w:tcPr>
          <w:p>
            <w:pPr>
              <w:pStyle w:val="Compact"/>
            </w:pPr>
            <w:r>
              <w:rPr>
                <w:sz w:val="19"/>
                <w:szCs w:val="19"/>
                <w:lang w:val="es-ES"/>
              </w:rPr>
              <w:t xml:space="preserve">Lituania (UE)</w:t>
            </w:r>
          </w:p>
        </w:tc>
        <w:tc>
          <w:tcPr>
            <w:tcW w:type="dxa" w:w="1872"/>
            <w:tcMar>
              <w:left w:type="dxa" w:w="80"/>
              <w:right w:type="dxa" w:w="80"/>
            </w:tcMar>
          </w:tcPr>
          <w:p>
            <w:pPr>
              <w:pStyle w:val="Compact"/>
            </w:pPr>
            <w:r>
              <w:rPr>
                <w:sz w:val="19"/>
                <w:szCs w:val="19"/>
                <w:lang w:val="es-ES"/>
              </w:rPr>
              <w:t xml:space="preserve">Alojamiento</w:t>
            </w:r>
          </w:p>
        </w:tc>
        <w:tc>
          <w:tcPr>
            <w:tcW w:type="dxa" w:w="1872"/>
            <w:tcMar>
              <w:left w:type="dxa" w:w="80"/>
              <w:right w:type="dxa" w:w="80"/>
            </w:tcMar>
          </w:tcPr>
          <w:p>
            <w:pPr>
              <w:pStyle w:val="Compact"/>
            </w:pPr>
            <w:r>
              <w:rPr>
                <w:sz w:val="19"/>
                <w:szCs w:val="19"/>
                <w:lang w:val="es-ES"/>
              </w:rPr>
              <w:t xml:space="preserve">Francia / Francia</w:t>
            </w:r>
          </w:p>
        </w:tc>
        <w:tc>
          <w:tcPr>
            <w:tcW w:type="dxa" w:w="1872"/>
            <w:tcMar>
              <w:left w:type="dxa" w:w="80"/>
              <w:right w:type="dxa" w:w="80"/>
            </w:tcMar>
          </w:tcPr>
          <w:p>
            <w:pPr>
              <w:pStyle w:val="Compact"/>
            </w:pPr>
            <w:r>
              <w:rPr>
                <w:sz w:val="19"/>
                <w:szCs w:val="19"/>
                <w:lang w:val="es-ES"/>
              </w:rPr>
              <w:t xml:space="preserve">No</w:t>
            </w:r>
          </w:p>
        </w:tc>
      </w:tr>
      <w:tr>
        <w:trPr>
          <w:cantSplit/>
        </w:trPr>
        <w:tc>
          <w:tcPr>
            <w:tcW w:type="dxa" w:w="1872"/>
            <w:tcMar>
              <w:left w:type="dxa" w:w="80"/>
              <w:right w:type="dxa" w:w="80"/>
            </w:tcMar>
          </w:tcPr>
          <w:p>
            <w:pPr>
              <w:pStyle w:val="Compact"/>
            </w:pPr>
            <w:r>
              <w:rPr>
                <w:sz w:val="19"/>
                <w:szCs w:val="19"/>
                <w:lang w:val="es-ES"/>
              </w:rPr>
              <w:t xml:space="preserve">Scaleway</w:t>
            </w:r>
          </w:p>
        </w:tc>
        <w:tc>
          <w:tcPr>
            <w:tcW w:type="dxa" w:w="1872"/>
            <w:tcMar>
              <w:left w:type="dxa" w:w="80"/>
              <w:right w:type="dxa" w:w="80"/>
            </w:tcMar>
          </w:tcPr>
          <w:p>
            <w:pPr>
              <w:pStyle w:val="Compact"/>
            </w:pPr>
            <w:r>
              <w:rPr>
                <w:sz w:val="19"/>
                <w:szCs w:val="19"/>
                <w:lang w:val="es-ES"/>
              </w:rPr>
              <w:t xml:space="preserve">Francia (UE)</w:t>
            </w:r>
          </w:p>
        </w:tc>
        <w:tc>
          <w:tcPr>
            <w:tcW w:type="dxa" w:w="1872"/>
            <w:tcMar>
              <w:left w:type="dxa" w:w="80"/>
              <w:right w:type="dxa" w:w="80"/>
            </w:tcMar>
          </w:tcPr>
          <w:p>
            <w:pPr>
              <w:pStyle w:val="Compact"/>
            </w:pPr>
            <w:r>
              <w:rPr>
                <w:sz w:val="19"/>
                <w:szCs w:val="19"/>
                <w:lang w:val="es-ES"/>
              </w:rPr>
              <w:t xml:space="preserve">Copia de seguridad cifrada</w:t>
            </w:r>
          </w:p>
        </w:tc>
        <w:tc>
          <w:tcPr>
            <w:tcW w:type="dxa" w:w="1872"/>
            <w:tcMar>
              <w:left w:type="dxa" w:w="80"/>
              <w:right w:type="dxa" w:w="80"/>
            </w:tcMar>
          </w:tcPr>
          <w:p>
            <w:pPr>
              <w:pStyle w:val="Compact"/>
            </w:pPr>
            <w:r>
              <w:rPr>
                <w:sz w:val="19"/>
                <w:szCs w:val="19"/>
                <w:lang w:val="es-ES"/>
              </w:rPr>
              <w:t xml:space="preserve">Francia (UE)</w:t>
            </w:r>
          </w:p>
        </w:tc>
        <w:tc>
          <w:tcPr>
            <w:tcW w:type="dxa" w:w="1872"/>
            <w:tcMar>
              <w:left w:type="dxa" w:w="80"/>
              <w:right w:type="dxa" w:w="80"/>
            </w:tcMar>
          </w:tcPr>
          <w:p>
            <w:pPr>
              <w:pStyle w:val="Compact"/>
            </w:pPr>
            <w:r>
              <w:rPr>
                <w:sz w:val="19"/>
                <w:szCs w:val="19"/>
                <w:lang w:val="es-ES"/>
              </w:rPr>
              <w:t xml:space="preserve">No (cifrado antes de enviar)</w:t>
            </w:r>
          </w:p>
        </w:tc>
      </w:tr>
      <w:tr>
        <w:trPr>
          <w:cantSplit/>
        </w:trPr>
        <w:tc>
          <w:tcPr>
            <w:tcW w:type="dxa" w:w="1872"/>
            <w:tcMar>
              <w:left w:type="dxa" w:w="80"/>
              <w:right w:type="dxa" w:w="80"/>
            </w:tcMar>
          </w:tcPr>
          <w:p>
            <w:pPr>
              <w:pStyle w:val="Compact"/>
            </w:pPr>
            <w:r>
              <w:rPr>
                <w:sz w:val="19"/>
                <w:szCs w:val="19"/>
                <w:lang w:val="es-ES"/>
              </w:rPr>
              <w:t xml:space="preserve">GPU dedicada / Vast.ai</w:t>
            </w:r>
          </w:p>
        </w:tc>
        <w:tc>
          <w:tcPr>
            <w:tcW w:type="dxa" w:w="1872"/>
            <w:tcMar>
              <w:left w:type="dxa" w:w="80"/>
              <w:right w:type="dxa" w:w="80"/>
            </w:tcMar>
          </w:tcPr>
          <w:p>
            <w:pPr>
              <w:pStyle w:val="Compact"/>
            </w:pPr>
            <w:r>
              <w:rPr>
                <w:sz w:val="19"/>
                <w:szCs w:val="19"/>
                <w:lang w:val="es-ES"/>
              </w:rPr>
              <w:t xml:space="preserve">UE / EE. UU. (mercado)</w:t>
            </w:r>
          </w:p>
        </w:tc>
        <w:tc>
          <w:tcPr>
            <w:tcW w:type="dxa" w:w="1872"/>
            <w:tcMar>
              <w:left w:type="dxa" w:w="80"/>
              <w:right w:type="dxa" w:w="80"/>
            </w:tcMar>
          </w:tcPr>
          <w:p>
            <w:pPr>
              <w:pStyle w:val="Compact"/>
            </w:pPr>
            <w:r>
              <w:rPr>
                <w:sz w:val="19"/>
                <w:szCs w:val="19"/>
                <w:lang w:val="es-ES"/>
              </w:rPr>
              <w:t xml:space="preserve">Transcripción, diarización</w:t>
            </w:r>
          </w:p>
        </w:tc>
        <w:tc>
          <w:tcPr>
            <w:tcW w:type="dxa" w:w="1872"/>
            <w:tcMar>
              <w:left w:type="dxa" w:w="80"/>
              <w:right w:type="dxa" w:w="80"/>
            </w:tcMar>
          </w:tcPr>
          <w:p>
            <w:pPr>
              <w:pStyle w:val="Compact"/>
            </w:pPr>
            <w:r>
              <w:rPr>
                <w:sz w:val="19"/>
                <w:szCs w:val="19"/>
                <w:lang w:val="es-ES"/>
              </w:rPr>
              <w:t xml:space="preserve">UE cuando sea necesario/sin almacenamiento duradero</w:t>
            </w:r>
          </w:p>
        </w:tc>
        <w:tc>
          <w:tcPr>
            <w:tcW w:type="dxa" w:w="1872"/>
            <w:tcMar>
              <w:left w:type="dxa" w:w="80"/>
              <w:right w:type="dxa" w:w="80"/>
            </w:tcMar>
          </w:tcPr>
          <w:p>
            <w:pPr>
              <w:pStyle w:val="Compact"/>
            </w:pPr>
            <w:r>
              <w:rPr>
                <w:sz w:val="19"/>
                <w:szCs w:val="19"/>
                <w:lang w:val="es-ES"/>
              </w:rPr>
              <w:t xml:space="preserve">No</w:t>
            </w:r>
          </w:p>
        </w:tc>
      </w:tr>
      <w:tr>
        <w:trPr>
          <w:cantSplit/>
        </w:trPr>
        <w:tc>
          <w:tcPr>
            <w:tcW w:type="dxa" w:w="1872"/>
            <w:tcMar>
              <w:left w:type="dxa" w:w="80"/>
              <w:right w:type="dxa" w:w="80"/>
            </w:tcMar>
          </w:tcPr>
          <w:p>
            <w:pPr>
              <w:pStyle w:val="Compact"/>
            </w:pPr>
            <w:r>
              <w:rPr>
                <w:b/>
                <w:bCs/>
                <w:sz w:val="19"/>
                <w:szCs w:val="19"/>
                <w:lang w:val="es-ES"/>
              </w:rPr>
              <w:t xml:space="preserve">Servidores vLLM dominados</w:t>
            </w:r>
          </w:p>
        </w:tc>
        <w:tc>
          <w:tcPr>
            <w:tcW w:type="dxa" w:w="1872"/>
            <w:tcMar>
              <w:left w:type="dxa" w:w="80"/>
              <w:right w:type="dxa" w:w="80"/>
            </w:tcMar>
          </w:tcPr>
          <w:p>
            <w:pPr>
              <w:pStyle w:val="Compact"/>
            </w:pPr>
            <w:r>
              <w:rPr>
                <w:sz w:val="19"/>
                <w:szCs w:val="19"/>
                <w:lang w:val="es-ES"/>
              </w:rPr>
              <w:t xml:space="preserve">Francia / UE</w:t>
            </w:r>
          </w:p>
        </w:tc>
        <w:tc>
          <w:tcPr>
            <w:tcW w:type="dxa" w:w="1872"/>
            <w:tcMar>
              <w:left w:type="dxa" w:w="80"/>
              <w:right w:type="dxa" w:w="80"/>
            </w:tcMar>
          </w:tcPr>
          <w:p>
            <w:pPr>
              <w:pStyle w:val="Compact"/>
            </w:pPr>
            <w:r>
              <w:rPr>
                <w:b/>
                <w:bCs/>
                <w:sz w:val="19"/>
                <w:szCs w:val="19"/>
                <w:lang w:val="es-ES"/>
              </w:rPr>
              <w:t xml:space="preserve">Inferencia de IA: vía principal</w:t>
            </w:r>
          </w:p>
        </w:tc>
        <w:tc>
          <w:tcPr>
            <w:tcW w:type="dxa" w:w="1872"/>
            <w:tcMar>
              <w:left w:type="dxa" w:w="80"/>
              <w:right w:type="dxa" w:w="80"/>
            </w:tcMar>
          </w:tcPr>
          <w:p>
            <w:pPr>
              <w:pStyle w:val="Compact"/>
            </w:pPr>
            <w:r>
              <w:rPr>
                <w:sz w:val="19"/>
                <w:szCs w:val="19"/>
                <w:lang w:val="es-ES"/>
              </w:rPr>
              <w:t xml:space="preserve">UE (Estrasburgo / París) / sin almacenamiento sostenible</w:t>
            </w:r>
          </w:p>
        </w:tc>
        <w:tc>
          <w:tcPr>
            <w:tcW w:type="dxa" w:w="1872"/>
            <w:tcMar>
              <w:left w:type="dxa" w:w="80"/>
              <w:right w:type="dxa" w:w="80"/>
            </w:tcMar>
          </w:tcPr>
          <w:p>
            <w:pPr>
              <w:pStyle w:val="Compact"/>
            </w:pPr>
            <w:r>
              <w:rPr>
                <w:sz w:val="19"/>
                <w:szCs w:val="19"/>
                <w:lang w:val="es-ES"/>
              </w:rPr>
              <w:t xml:space="preserve">No</w:t>
            </w:r>
          </w:p>
        </w:tc>
      </w:tr>
      <w:tr>
        <w:trPr>
          <w:cantSplit/>
        </w:trPr>
        <w:tc>
          <w:tcPr>
            <w:tcW w:type="dxa" w:w="1872"/>
            <w:tcMar>
              <w:left w:type="dxa" w:w="80"/>
              <w:right w:type="dxa" w:w="80"/>
            </w:tcMar>
          </w:tcPr>
          <w:p>
            <w:pPr>
              <w:pStyle w:val="Compact"/>
            </w:pPr>
            <w:r>
              <w:rPr>
                <w:sz w:val="19"/>
                <w:szCs w:val="19"/>
                <w:lang w:val="es-ES"/>
              </w:rPr>
              <w:t xml:space="preserve">OpenRouter</w:t>
            </w:r>
          </w:p>
        </w:tc>
        <w:tc>
          <w:tcPr>
            <w:tcW w:type="dxa" w:w="1872"/>
            <w:tcMar>
              <w:left w:type="dxa" w:w="80"/>
              <w:right w:type="dxa" w:w="80"/>
            </w:tcMar>
          </w:tcPr>
          <w:p>
            <w:pPr>
              <w:pStyle w:val="Compact"/>
            </w:pPr>
            <w:r>
              <w:rPr>
                <w:sz w:val="19"/>
                <w:szCs w:val="19"/>
                <w:lang w:val="es-ES"/>
              </w:rPr>
              <w:t xml:space="preserve">Estados Unidos</w:t>
            </w:r>
          </w:p>
        </w:tc>
        <w:tc>
          <w:tcPr>
            <w:tcW w:type="dxa" w:w="1872"/>
            <w:tcMar>
              <w:left w:type="dxa" w:w="80"/>
              <w:right w:type="dxa" w:w="80"/>
            </w:tcMar>
          </w:tcPr>
          <w:p>
            <w:pPr>
              <w:pStyle w:val="Compact"/>
            </w:pPr>
            <w:r>
              <w:rPr>
                <w:sz w:val="19"/>
                <w:szCs w:val="19"/>
                <w:lang w:val="es-ES"/>
              </w:rPr>
              <w:t xml:space="preserve">Puerta de enlace </w:t>
            </w:r>
            <w:r>
              <w:rPr>
                <w:sz w:val="19"/>
                <w:szCs w:val="19"/>
                <w:lang w:val="es-ES"/>
              </w:rPr>
              <w:t xml:space="preserve"/>
            </w:r>
            <w:r>
              <w:rPr>
                <w:b/>
                <w:bCs/>
                <w:sz w:val="19"/>
                <w:szCs w:val="19"/>
                <w:lang w:val="es-ES"/>
              </w:rPr>
              <w:t xml:space="preserve">AI: conmutación por error, desactivable</w:t>
            </w:r>
          </w:p>
        </w:tc>
        <w:tc>
          <w:tcPr>
            <w:tcW w:type="dxa" w:w="1872"/>
            <w:tcMar>
              <w:left w:type="dxa" w:w="80"/>
              <w:right w:type="dxa" w:w="80"/>
            </w:tcMar>
          </w:tcPr>
          <w:p>
            <w:pPr>
              <w:pStyle w:val="Compact"/>
            </w:pPr>
            <w:r>
              <w:rPr>
                <w:sz w:val="19"/>
                <w:szCs w:val="19"/>
                <w:lang w:val="es-ES"/>
              </w:rPr>
              <w:t xml:space="preserve">Ruta a EE. UU. posible/sin almacenamiento duradero</w:t>
            </w:r>
          </w:p>
        </w:tc>
        <w:tc>
          <w:tcPr>
            <w:tcW w:type="dxa" w:w="1872"/>
            <w:tcMar>
              <w:left w:type="dxa" w:w="80"/>
              <w:right w:type="dxa" w:w="80"/>
            </w:tcMar>
          </w:tcPr>
          <w:p>
            <w:pPr>
              <w:pStyle w:val="Compact"/>
            </w:pPr>
            <w:r>
              <w:rPr>
                <w:sz w:val="19"/>
                <w:szCs w:val="19"/>
                <w:lang w:val="es-ES"/>
              </w:rPr>
              <w:t xml:space="preserve">No</w:t>
            </w:r>
          </w:p>
        </w:tc>
      </w:tr>
      <w:tr>
        <w:trPr>
          <w:cantSplit/>
        </w:trPr>
        <w:tc>
          <w:tcPr>
            <w:tcW w:type="dxa" w:w="1872"/>
            <w:tcMar>
              <w:left w:type="dxa" w:w="80"/>
              <w:right w:type="dxa" w:w="80"/>
            </w:tcMar>
          </w:tcPr>
          <w:p>
            <w:pPr>
              <w:pStyle w:val="Compact"/>
            </w:pPr>
            <w:r>
              <w:rPr>
                <w:sz w:val="19"/>
                <w:szCs w:val="19"/>
                <w:lang w:val="es-ES"/>
              </w:rPr>
              <w:t xml:space="preserve">Proveedores de modelos</w:t>
            </w:r>
          </w:p>
        </w:tc>
        <w:tc>
          <w:tcPr>
            <w:tcW w:type="dxa" w:w="1872"/>
            <w:tcMar>
              <w:left w:type="dxa" w:w="80"/>
              <w:right w:type="dxa" w:w="80"/>
            </w:tcMar>
          </w:tcPr>
          <w:p>
            <w:pPr>
              <w:pStyle w:val="Compact"/>
            </w:pPr>
            <w:r>
              <w:rPr>
                <w:sz w:val="19"/>
                <w:szCs w:val="19"/>
                <w:lang w:val="es-ES"/>
              </w:rPr>
              <w:t xml:space="preserve">Estados Unidos</w:t>
            </w:r>
          </w:p>
        </w:tc>
        <w:tc>
          <w:tcPr>
            <w:tcW w:type="dxa" w:w="1872"/>
            <w:tcMar>
              <w:left w:type="dxa" w:w="80"/>
              <w:right w:type="dxa" w:w="80"/>
            </w:tcMar>
          </w:tcPr>
          <w:p>
            <w:pPr>
              <w:pStyle w:val="Compact"/>
            </w:pPr>
            <w:r>
              <w:rPr>
                <w:sz w:val="19"/>
                <w:szCs w:val="19"/>
                <w:lang w:val="es-ES"/>
              </w:rPr>
              <w:t xml:space="preserve">Inferencia LLM: </w:t>
            </w:r>
            <w:r>
              <w:rPr>
                <w:sz w:val="19"/>
                <w:szCs w:val="19"/>
                <w:lang w:val="es-ES"/>
              </w:rPr>
              <w:t xml:space="preserve"/>
            </w:r>
            <w:r>
              <w:rPr>
                <w:b/>
                <w:bCs/>
                <w:sz w:val="19"/>
                <w:szCs w:val="19"/>
                <w:lang w:val="es-ES"/>
              </w:rPr>
              <w:t xml:space="preserve">solo copia de seguridad</w:t>
            </w:r>
          </w:p>
        </w:tc>
        <w:tc>
          <w:tcPr>
            <w:tcW w:type="dxa" w:w="1872"/>
            <w:tcMar>
              <w:left w:type="dxa" w:w="80"/>
              <w:right w:type="dxa" w:w="80"/>
            </w:tcMar>
          </w:tcPr>
          <w:p>
            <w:pPr>
              <w:pStyle w:val="Compact"/>
            </w:pPr>
            <w:r>
              <w:rPr>
                <w:sz w:val="19"/>
                <w:szCs w:val="19"/>
                <w:lang w:val="es-ES"/>
              </w:rPr>
              <w:t xml:space="preserve">EE. UU./UE según el modelo/retención limitada</w:t>
            </w:r>
          </w:p>
        </w:tc>
        <w:tc>
          <w:tcPr>
            <w:tcW w:type="dxa" w:w="1872"/>
            <w:tcMar>
              <w:left w:type="dxa" w:w="80"/>
              <w:right w:type="dxa" w:w="80"/>
            </w:tcMar>
          </w:tcPr>
          <w:p>
            <w:pPr>
              <w:pStyle w:val="Compact"/>
            </w:pPr>
            <w:r>
              <w:rPr>
                <w:sz w:val="19"/>
                <w:szCs w:val="19"/>
                <w:lang w:val="es-ES"/>
              </w:rPr>
              <w:t xml:space="preserve">No (lado OHADJA)</w:t>
            </w:r>
          </w:p>
        </w:tc>
      </w:tr>
      <w:tr>
        <w:trPr>
          <w:cantSplit/>
        </w:trPr>
        <w:tc>
          <w:tcPr>
            <w:tcW w:type="dxa" w:w="1872"/>
            <w:tcMar>
              <w:left w:type="dxa" w:w="80"/>
              <w:right w:type="dxa" w:w="80"/>
            </w:tcMar>
          </w:tcPr>
          <w:p>
            <w:pPr>
              <w:pStyle w:val="Compact"/>
            </w:pPr>
            <w:r>
              <w:rPr>
                <w:sz w:val="19"/>
                <w:szCs w:val="19"/>
                <w:lang w:val="es-ES"/>
              </w:rPr>
              <w:t xml:space="preserve">Correo electrónico transaccional (si está habilitado)</w:t>
            </w:r>
          </w:p>
        </w:tc>
        <w:tc>
          <w:tcPr>
            <w:tcW w:type="dxa" w:w="1872"/>
            <w:tcMar>
              <w:left w:type="dxa" w:w="80"/>
              <w:right w:type="dxa" w:w="80"/>
            </w:tcMar>
          </w:tcPr>
          <w:p>
            <w:pPr>
              <w:pStyle w:val="Compact"/>
            </w:pPr>
            <w:r>
              <w:rPr>
                <w:sz w:val="19"/>
                <w:szCs w:val="19"/>
                <w:lang w:val="es-ES"/>
              </w:rPr>
              <w:t xml:space="preserve">[PARA CONFIRMAR]</w:t>
            </w:r>
          </w:p>
        </w:tc>
        <w:tc>
          <w:tcPr>
            <w:tcW w:type="dxa" w:w="1872"/>
            <w:tcMar>
              <w:left w:type="dxa" w:w="80"/>
              <w:right w:type="dxa" w:w="80"/>
            </w:tcMar>
          </w:tcPr>
          <w:p>
            <w:pPr>
              <w:pStyle w:val="Compact"/>
            </w:pPr>
            <w:r>
              <w:rPr>
                <w:sz w:val="19"/>
                <w:szCs w:val="19"/>
                <w:lang w:val="es-ES"/>
              </w:rPr>
              <w:t xml:space="preserve">Correos electrónicos de servicio</w:t>
            </w:r>
          </w:p>
        </w:tc>
        <w:tc>
          <w:tcPr>
            <w:tcW w:type="dxa" w:w="1872"/>
            <w:tcMar>
              <w:left w:type="dxa" w:w="80"/>
              <w:right w:type="dxa" w:w="80"/>
            </w:tcMar>
          </w:tcPr>
          <w:p>
            <w:pPr>
              <w:pStyle w:val="Compact"/>
            </w:pPr>
            <w:r>
              <w:rPr>
                <w:sz w:val="19"/>
                <w:szCs w:val="19"/>
                <w:lang w:val="es-ES"/>
              </w:rPr>
              <w:t xml:space="preserve">[PARA CONFIRMAR]</w:t>
            </w:r>
          </w:p>
        </w:tc>
        <w:tc>
          <w:tcPr>
            <w:tcW w:type="dxa" w:w="1872"/>
            <w:tcMar>
              <w:left w:type="dxa" w:w="80"/>
              <w:right w:type="dxa" w:w="80"/>
            </w:tcMar>
          </w:tcPr>
          <w:p>
            <w:pPr>
              <w:pStyle w:val="Compact"/>
            </w:pPr>
            <w:r>
              <w:rPr>
                <w:sz w:val="19"/>
                <w:szCs w:val="19"/>
                <w:lang w:val="es-ES"/>
              </w:rPr>
              <w:t xml:space="preserve">No</w:t>
            </w:r>
          </w:p>
        </w:tc>
      </w:tr>
    </w:tbl>
    <w:bookmarkEnd w:id="88"/>
    <w:bookmarkStart w:id="89" w:name="X08845a517ee1e7974c0c5d43964a3ce7be5e432"/>
    <w:p>
      <w:pPr>
        <w:pStyle w:val="Heading2"/>
        <w:keepNext/>
        <w:keepLines/>
      </w:pPr>
      <w:r>
        <w:rPr>
          <w:color w:val="000000"/>
          <w:lang w:val="es-ES"/>
        </w:rPr>
        <w:t xml:space="preserve">4. Opción B: variaciones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Opción variante B</w:t>
            </w:r>
          </w:p>
        </w:tc>
        <w:tc>
          <w:tcPr/>
          <w:p>
            <w:pPr>
              <w:pStyle w:val="Compact"/>
            </w:pPr>
            <w:r>
              <w:rPr>
                <w:lang w:val="es-ES"/>
              </w:rPr>
              <w:t xml:space="preserve">Subencargados del tratamiento</w:t>
            </w:r>
          </w:p>
        </w:tc>
      </w:tr>
      <w:tr>
        <w:trPr>
          <w:cantSplit/>
        </w:trPr>
        <w:tc>
          <w:tcPr/>
          <w:p>
            <w:pPr>
              <w:pStyle w:val="Compact"/>
            </w:pPr>
            <w:r>
              <w:rPr>
                <w:b/>
                <w:bCs/>
                <w:lang w:val="es-ES"/>
              </w:rPr>
              <w:t xml:space="preserve">Aislado en las instalaciones </w:t>
            </w:r>
            <w:r>
              <w:rPr>
                <w:lang w:val="es-ES"/>
              </w:rPr>
              <w:t xml:space="preserve"/>
            </w:r>
            <w:r>
              <w:rPr>
                <w:lang w:val="es-ES"/>
              </w:rPr>
              <w:t xml:space="preserve">(nube cero)</w:t>
            </w:r>
          </w:p>
        </w:tc>
        <w:tc>
          <w:tcPr/>
          <w:p>
            <w:pPr>
              <w:pStyle w:val="Compact"/>
            </w:pPr>
            <w:r>
              <w:rPr>
                <w:b/>
                <w:bCs/>
                <w:lang w:val="es-ES"/>
              </w:rPr>
              <w:t xml:space="preserve">Ninguno. </w:t>
            </w:r>
            <w:r>
              <w:rPr>
                <w:lang w:val="es-ES"/>
              </w:rPr>
              <w:t xml:space="preserve"/>
            </w:r>
            <w:r>
              <w:rPr>
                <w:lang w:val="es-ES"/>
              </w:rPr>
              <w:t xml:space="preserve">La aplicación, la base, el trabajador de GPU de transcripción y el LLM autohospedado se ejecutan en el Cliente. No se requiere flujo de salida para el funcionamiento nominal</w:t>
            </w:r>
          </w:p>
        </w:tc>
      </w:tr>
      <w:tr>
        <w:trPr>
          <w:cantSplit/>
        </w:trPr>
        <w:tc>
          <w:tcPr/>
          <w:p>
            <w:pPr>
              <w:pStyle w:val="Compact"/>
            </w:pPr>
            <w:r>
              <w:rPr>
                <w:b/>
                <w:bCs/>
                <w:lang w:val="es-ES"/>
              </w:rPr>
              <w:t xml:space="preserve">Local con IA en la nube opcional</w:t>
            </w:r>
          </w:p>
        </w:tc>
        <w:tc>
          <w:tcPr/>
          <w:p>
            <w:pPr>
              <w:pStyle w:val="Compact"/>
            </w:pPr>
            <w:r>
              <w:rPr>
                <w:lang w:val="es-ES"/>
              </w:rPr>
              <w:t xml:space="preserve">Lista reducida: solo proveedores de IA habilitados por el Cliente (OpenRouter + proveedor de plantillas), si el Cliente elige utilizar un LLM en la nube en lugar de uno autohospedado. El alojamiento, la copia de seguridad y la transcripción siguen siendo internos</w:t>
            </w:r>
          </w:p>
        </w:tc>
      </w:tr>
    </w:tbl>
    <w:bookmarkEnd w:id="89"/>
    <w:bookmarkStart w:id="90" w:name="X30e8a8b53a585b3c4babd4e4f4bf9ffca2de72e"/>
    <w:p>
      <w:pPr>
        <w:pStyle w:val="Heading2"/>
        <w:keepNext/>
        <w:keepLines/>
      </w:pPr>
      <w:r>
        <w:rPr>
          <w:color w:val="000000"/>
          <w:lang w:val="es-ES"/>
        </w:rPr>
        <w:t xml:space="preserve">5. Procedimiento de evolución de listas</w:t>
      </w:r>
    </w:p>
    <w:p>
      <w:pPr>
        <w:pStyle w:val="FirstParagraph"/>
      </w:pPr>
      <w:r>
        <w:rPr>
          <w:lang w:val="es-ES"/>
        </w:rPr>
        <w:t xml:space="preserve">De conformidad con el §6 de la DPA (art. 28.2 RGPD):</w:t>
      </w:r>
    </w:p>
    <w:p>
      <w:pPr>
        <w:pStyle w:val="Compact"/>
        <w:numPr>
          <w:ilvl w:val="0"/>
          <w:numId w:val="1019"/>
        </w:numPr>
      </w:pPr>
      <w:r>
        <w:rPr>
          <w:lang w:val="es-ES"/>
        </w:rPr>
        <w:t xml:space="preserve">OHADJA informa al Cliente de cualquier </w:t>
      </w:r>
      <w:r>
        <w:rPr>
          <w:lang w:val="es-ES"/>
        </w:rPr>
        <w:t xml:space="preserve"/>
      </w:r>
      <w:r>
        <w:rPr>
          <w:b/>
          <w:bCs/>
          <w:lang w:val="es-ES"/>
        </w:rPr>
        <w:t xml:space="preserve">incorporación o </w:t>
      </w:r>
      <w:r>
        <w:rPr>
          <w:lang w:val="es-ES"/>
        </w:rPr>
        <w:t xml:space="preserve">sustitución </w:t>
      </w:r>
      <w:r>
        <w:rPr>
          <w:lang w:val="es-ES"/>
        </w:rPr>
        <w:t xml:space="preserve">de subencargado del tratamiento al </w:t>
      </w:r>
      <w:r>
        <w:rPr>
          <w:lang w:val="es-ES"/>
        </w:rPr>
        <w:t xml:space="preserve"/>
      </w:r>
      <w:r>
        <w:rPr>
          <w:b/>
          <w:bCs/>
          <w:lang w:val="es-ES"/>
        </w:rPr>
        <w:t xml:space="preserve">menos treinta (30) días naturales </w:t>
      </w:r>
      <w:r>
        <w:rPr>
          <w:lang w:val="es-ES"/>
        </w:rPr>
        <w:t xml:space="preserve"/>
      </w:r>
      <w:r>
        <w:rPr>
          <w:lang w:val="es-ES"/>
        </w:rPr>
        <w:t xml:space="preserve">antes de su implementación, mediante un medio escrito que permita conservar prueba de ello.</w:t>
      </w:r>
    </w:p>
    <w:p>
      <w:pPr>
        <w:pStyle w:val="Compact"/>
        <w:numPr>
          <w:ilvl w:val="0"/>
          <w:numId w:val="1019"/>
        </w:numPr>
      </w:pPr>
      <w:r>
        <w:rPr>
          <w:lang w:val="es-ES"/>
        </w:rPr>
        <w:t xml:space="preserve">El Cliente podrá presentar una </w:t>
      </w:r>
      <w:r>
        <w:rPr>
          <w:lang w:val="es-ES"/>
        </w:rPr>
        <w:t xml:space="preserve"/>
      </w:r>
      <w:r>
        <w:rPr>
          <w:b/>
          <w:bCs/>
          <w:lang w:val="es-ES"/>
        </w:rPr>
        <w:t xml:space="preserve">objeción por escrito, motivada y razonable </w:t>
      </w:r>
      <w:r>
        <w:rPr>
          <w:lang w:val="es-ES"/>
        </w:rPr>
        <w:t xml:space="preserve"/>
      </w:r>
      <w:r>
        <w:rPr>
          <w:lang w:val="es-ES"/>
        </w:rPr>
        <w:t xml:space="preserve">dentro de este plazo de 30 días.</w:t>
      </w:r>
    </w:p>
    <w:p>
      <w:pPr>
        <w:pStyle w:val="Compact"/>
        <w:numPr>
          <w:ilvl w:val="0"/>
          <w:numId w:val="1019"/>
        </w:numPr>
      </w:pPr>
      <w:r>
        <w:rPr>
          <w:lang w:val="es-ES"/>
        </w:rPr>
        <w:t xml:space="preserve">En caso de oposición, las partes se consultarán de buena fe; A falta de solución, el Cliente podrá rescindir la parte correspondiente del servicio según las condiciones del contrato principal.</w:t>
      </w:r>
    </w:p>
    <w:p>
      <w:r>
        <w:pict>
          <v:rect style="width:0;height:1.5pt" o:hralign="center" o:hrstd="t" o:hr="t"/>
        </w:pict>
      </w:r>
    </w:p>
    <w:p>
      <w:pPr>
        <w:pStyle w:val="FirstParagraph"/>
      </w:pPr>
      <w:r>
        <w:rPr>
          <w:i/>
          <w:iCs/>
          <w:lang w:val="es-ES"/>
        </w:rPr>
        <w:t xml:space="preserve">Documento de trabajo establecido por OHADJA — para ser validado por su asesor legal / DPO antes de la firma.</w:t>
      </w:r>
    </w:p>
    <w:p>
      <w:r>
        <w:br w:type="page"/>
      </w:r>
    </w:p>
    <w:bookmarkEnd w:id="90"/>
    <w:bookmarkEnd w:id="91"/>
    <w:bookmarkStart w:id="102" w:name="Xb435d4e7743c18b26c55236ab6aa53f804247e6"/>
    <w:p>
      <w:pPr>
        <w:pStyle w:val="Heading1"/>
        <w:keepNext/>
        <w:keepLines/>
      </w:pPr>
      <w:r>
        <w:rPr>
          <w:color w:val="000000"/>
          <w:lang w:val="es-ES"/>
        </w:rPr>
        <w:t xml:space="preserve">Transferencias y acceso fuera del EEE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Referencia</w:t>
            </w:r>
          </w:p>
        </w:tc>
        <w:tc>
          <w:tcPr/>
          <w:p>
            <w:pPr>
              <w:pStyle w:val="Compact"/>
            </w:pPr>
            <w:r>
              <w:rPr>
                <w:lang w:val="es-ES"/>
              </w:rPr>
              <w:t xml:space="preserve">OHA-RGPD-04</w:t>
            </w:r>
          </w:p>
        </w:tc>
      </w:tr>
      <w:tr>
        <w:trPr>
          <w:cantSplit/>
        </w:trPr>
        <w:tc>
          <w:tcPr/>
          <w:p>
            <w:pPr>
              <w:pStyle w:val="Compact"/>
            </w:pPr>
            <w:r>
              <w:rPr>
                <w:lang w:val="es-ES"/>
              </w:rPr>
              <w:t xml:space="preserve">Propósito</w:t>
            </w:r>
          </w:p>
        </w:tc>
        <w:tc>
          <w:tcPr/>
          <w:p>
            <w:pPr>
              <w:pStyle w:val="Compact"/>
            </w:pPr>
            <w:r>
              <w:rPr>
                <w:lang w:val="es-ES"/>
              </w:rPr>
              <w:t xml:space="preserve">Transferencias internacionales y acceso fuera del EEE: entidades, datos, mecanismos, medidas</w:t>
            </w:r>
          </w:p>
        </w:tc>
      </w:tr>
      <w:tr>
        <w:trPr>
          <w:cantSplit/>
        </w:trPr>
        <w:tc>
          <w:tcPr/>
          <w:p>
            <w:pPr>
              <w:pStyle w:val="Compact"/>
            </w:pPr>
            <w:r>
              <w:rPr>
                <w:lang w:val="es-ES"/>
              </w:rPr>
              <w:t xml:space="preserve">Versión</w:t>
            </w:r>
          </w:p>
        </w:tc>
        <w:tc>
          <w:tcPr/>
          <w:p>
            <w:pPr>
              <w:pStyle w:val="Compact"/>
            </w:pPr>
            <w:r>
              <w:rPr>
                <w:lang w:val="es-ES"/>
              </w:rPr>
              <w:t xml:space="preserve">1.0</w:t>
            </w:r>
          </w:p>
        </w:tc>
      </w:tr>
      <w:tr>
        <w:trPr>
          <w:cantSplit/>
        </w:trPr>
        <w:tc>
          <w:tcPr/>
          <w:p>
            <w:pPr>
              <w:pStyle w:val="Compact"/>
            </w:pPr>
            <w:r>
              <w:rPr>
                <w:lang w:val="es-ES"/>
              </w:rPr>
              <w:t xml:space="preserve">Fecha</w:t>
            </w:r>
          </w:p>
        </w:tc>
        <w:tc>
          <w:tcPr/>
          <w:p>
            <w:pPr>
              <w:pStyle w:val="Compact"/>
            </w:pPr>
            <w:r>
              <w:rPr>
                <w:lang w:val="es-ES"/>
              </w:rPr>
              <w:t xml:space="preserve">2026-07-24</w:t>
            </w:r>
          </w:p>
        </w:tc>
      </w:tr>
      <w:tr>
        <w:trPr>
          <w:cantSplit/>
        </w:trPr>
        <w:tc>
          <w:tcPr/>
          <w:p>
            <w:pPr>
              <w:pStyle w:val="Compact"/>
            </w:pPr>
            <w:r>
              <w:rPr>
                <w:lang w:val="es-ES"/>
              </w:rPr>
              <w:t xml:space="preserve">Redactor</w:t>
            </w:r>
          </w:p>
        </w:tc>
        <w:tc>
          <w:tcPr/>
          <w:p>
            <w:pPr>
              <w:pStyle w:val="Compact"/>
            </w:pPr>
            <w:r>
              <w:rPr>
                <w:lang w:val="es-ES"/>
              </w:rPr>
              <w:t xml:space="preserve">OHADJA</w:t>
            </w:r>
          </w:p>
        </w:tc>
      </w:tr>
      <w:tr>
        <w:trPr>
          <w:cantSplit/>
        </w:trPr>
        <w:tc>
          <w:tcPr/>
          <w:p>
            <w:pPr>
              <w:pStyle w:val="Compact"/>
            </w:pPr>
            <w:r>
              <w:rPr>
                <w:lang w:val="es-ES"/>
              </w:rPr>
              <w:t xml:space="preserve">Destinatario</w:t>
            </w:r>
          </w:p>
        </w:tc>
        <w:tc>
          <w:tcPr/>
          <w:p>
            <w:pPr>
              <w:pStyle w:val="Compact"/>
            </w:pPr>
            <w:r>
              <w:rPr>
                <w:lang w:val="es-ES"/>
              </w:rPr>
              <w:t xml:space="preserve">Organización del cliente (documento estándar)</w:t>
            </w:r>
          </w:p>
        </w:tc>
      </w:tr>
      <w:tr>
        <w:trPr>
          <w:cantSplit/>
        </w:trPr>
        <w:tc>
          <w:tcPr/>
          <w:p>
            <w:pPr>
              <w:pStyle w:val="Compact"/>
            </w:pPr>
            <w:r>
              <w:rPr>
                <w:lang w:val="es-ES"/>
              </w:rPr>
              <w:t xml:space="preserve">Clasificación</w:t>
            </w:r>
          </w:p>
        </w:tc>
        <w:tc>
          <w:tcPr/>
          <w:p>
            <w:pPr>
              <w:pStyle w:val="Compact"/>
            </w:pPr>
            <w:r>
              <w:rPr>
                <w:lang w:val="es-ES"/>
              </w:rPr>
              <w:t xml:space="preserve">Público: documento estándar, especificado durante cada contratación.</w:t>
            </w:r>
          </w:p>
        </w:tc>
      </w:tr>
    </w:tbl>
    <w:bookmarkStart w:id="92" w:name="Xa89a5fc162ec66b9f66741ff8b73c0ba0340e32"/>
    <w:p>
      <w:pPr>
        <w:pStyle w:val="Heading2"/>
        <w:keepNext/>
        <w:keepLines/>
      </w:pPr>
      <w:r>
        <w:rPr>
          <w:color w:val="000000"/>
          <w:lang w:val="es-ES"/>
        </w:rPr>
        <w:t xml:space="preserve">1. Objeto y principio de transparencia</w:t>
      </w:r>
    </w:p>
    <w:p>
      <w:pPr>
        <w:pStyle w:val="FirstParagraph"/>
      </w:pPr>
      <w:r>
        <w:rPr>
          <w:lang w:val="es-ES"/>
        </w:rPr>
        <w:t xml:space="preserve">Este documento enumera, sin ocultamiento, todas las transferencias y accesos a datos susceptibles de salir del Espacio Económico Europeo (EEE) en el marco de TranscribIA, y detalla los mecanismos legales y medidas técnicas implementadas para regularlas bajo el Capítulo V de RGPD.</w:t>
      </w:r>
    </w:p>
    <w:p>
      <w:pPr>
        <w:pStyle w:val="BodyText"/>
      </w:pPr>
      <w:r>
        <w:rPr>
          <w:lang w:val="es-ES"/>
        </w:rPr>
        <w:t xml:space="preserve">Punto de método: el almacenamiento principal, las copias de seguridad (Scaleway, Francia) y la inferencia de IA en el canal primario (servidores vLLM controlados en la UE, principalmente Estrasburgo y París) permanecen en la </w:t>
      </w:r>
      <w:r>
        <w:rPr>
          <w:lang w:val="es-ES"/>
        </w:rPr>
        <w:t xml:space="preserve"/>
      </w:r>
      <w:r>
        <w:rPr>
          <w:b/>
          <w:bCs/>
          <w:lang w:val="es-ES"/>
        </w:rPr>
        <w:t xml:space="preserve">UE, sin ninguna transferencia. </w:t>
      </w:r>
      <w:r>
        <w:rPr>
          <w:lang w:val="es-ES"/>
        </w:rPr>
        <w:t xml:space="preserve">Por lo tanto, las situaciones “fuera del EEE” se limitan a los </w:t>
      </w:r>
      <w:r>
        <w:rPr>
          <w:lang w:val="es-ES"/>
        </w:rPr>
        <w:t xml:space="preserve"/>
      </w:r>
      <w:r>
        <w:rPr>
          <w:b/>
          <w:bCs/>
          <w:lang w:val="es-ES"/>
        </w:rPr>
        <w:t xml:space="preserve">flujos técnicos (acceso a las máquinas) </w:t>
      </w:r>
      <w:r>
        <w:rPr>
          <w:lang w:val="es-ES"/>
        </w:rPr>
        <w:t xml:space="preserve"/>
      </w:r>
      <w:r>
        <w:rPr>
          <w:lang w:val="es-ES"/>
        </w:rPr>
        <w:t xml:space="preserve">en la Opción A:</w:t>
      </w:r>
    </w:p>
    <w:p>
      <w:pPr>
        <w:pStyle w:val="Compact"/>
        <w:numPr>
          <w:ilvl w:val="0"/>
          <w:numId w:val="1020"/>
        </w:numPr>
      </w:pPr>
      <w:r>
        <w:rPr>
          <w:lang w:val="es-ES"/>
        </w:rPr>
        <w:t xml:space="preserve">la </w:t>
      </w:r>
      <w:r>
        <w:rPr>
          <w:lang w:val="es-ES"/>
        </w:rPr>
        <w:t xml:space="preserve"/>
      </w:r>
      <w:r>
        <w:rPr>
          <w:b/>
          <w:bCs/>
          <w:lang w:val="es-ES"/>
        </w:rPr>
        <w:t xml:space="preserve">ruta de emergencia </w:t>
      </w:r>
      <w:r>
        <w:rPr>
          <w:lang w:val="es-ES"/>
        </w:rPr>
        <w:t xml:space="preserve"/>
      </w:r>
      <w:r>
        <w:rPr>
          <w:lang w:val="es-ES"/>
        </w:rPr>
        <w:t xml:space="preserve">de IA (OpenRouter y proveedores de modelo americano), que sólo interviene en caso de indisponibilidad de la ruta primaria y puede </w:t>
      </w:r>
      <w:r>
        <w:rPr>
          <w:lang w:val="es-ES"/>
        </w:rPr>
        <w:t xml:space="preserve">ser </w:t>
      </w:r>
      <w:r>
        <w:rPr>
          <w:b/>
          <w:bCs/>
          <w:lang w:val="es-ES"/>
        </w:rPr>
        <w:t xml:space="preserve">desactivada por la </w:t>
      </w:r>
      <w:r>
        <w:rPr>
          <w:lang w:val="es-ES"/>
        </w:rPr>
        <w:t xml:space="preserve"/>
      </w:r>
      <w:r>
        <w:rPr>
          <w:lang w:val="es-ES"/>
        </w:rPr>
        <w:t xml:space="preserve">organización;</w:t>
      </w:r>
    </w:p>
    <w:p>
      <w:pPr>
        <w:pStyle w:val="Compact"/>
        <w:numPr>
          <w:ilvl w:val="0"/>
          <w:numId w:val="1020"/>
        </w:numPr>
      </w:pPr>
      <w:r>
        <w:rPr>
          <w:lang w:val="es-ES"/>
        </w:rPr>
        <w:t xml:space="preserve">Computación </w:t>
      </w:r>
      <w:r>
        <w:rPr>
          <w:lang w:val="es-ES"/>
        </w:rPr>
        <w:t xml:space="preserve"/>
      </w:r>
      <w:r>
        <w:rPr>
          <w:b/>
          <w:bCs/>
          <w:lang w:val="es-ES"/>
        </w:rPr>
        <w:t xml:space="preserve">de GPU Vast.ai </w:t>
      </w:r>
      <w:r>
        <w:rPr>
          <w:lang w:val="es-ES"/>
        </w:rPr>
        <w:t xml:space="preserve"/>
      </w:r>
      <w:r>
        <w:rPr>
          <w:lang w:val="es-ES"/>
        </w:rPr>
        <w:t xml:space="preserve">cuando está habilitada (máquinas seleccionadas en la UE cuando sea necesario).</w:t>
      </w:r>
    </w:p>
    <w:p>
      <w:pPr>
        <w:pStyle w:val="FirstParagraph"/>
      </w:pPr>
      <w:r>
        <w:rPr>
          <w:lang w:val="es-ES"/>
        </w:rPr>
        <w:t xml:space="preserve">Los </w:t>
      </w:r>
      <w:r>
        <w:rPr>
          <w:lang w:val="es-ES"/>
        </w:rPr>
        <w:t xml:space="preserve"/>
      </w:r>
      <w:r>
        <w:rPr>
          <w:b/>
          <w:bCs/>
          <w:lang w:val="es-ES"/>
        </w:rPr>
        <w:t xml:space="preserve">accesos de administración </w:t>
      </w:r>
      <w:r>
        <w:rPr>
          <w:lang w:val="es-ES"/>
        </w:rPr>
        <w:t xml:space="preserve"/>
      </w:r>
      <w:r>
        <w:rPr>
          <w:lang w:val="es-ES"/>
        </w:rPr>
        <w:t xml:space="preserve">humana, por su parte, se realizan </w:t>
      </w:r>
      <w:r>
        <w:rPr>
          <w:lang w:val="es-ES"/>
        </w:rPr>
        <w:t xml:space="preserve"/>
      </w:r>
      <w:r>
        <w:rPr>
          <w:b/>
          <w:bCs/>
          <w:lang w:val="es-ES"/>
        </w:rPr>
        <w:t xml:space="preserve">exclusivamente desde Francia/UE </w:t>
      </w:r>
      <w:r>
        <w:rPr>
          <w:lang w:val="es-ES"/>
        </w:rPr>
        <w:t xml:space="preserve"/>
      </w:r>
      <w:r>
        <w:rPr>
          <w:lang w:val="es-ES"/>
        </w:rPr>
        <w:t xml:space="preserve">(compromiso contractual – apartado 7): por lo tanto, no constituyen </w:t>
      </w:r>
      <w:r>
        <w:rPr>
          <w:lang w:val="es-ES"/>
        </w:rPr>
        <w:t xml:space="preserve"/>
      </w:r>
      <w:r>
        <w:rPr>
          <w:b/>
          <w:bCs/>
          <w:lang w:val="es-ES"/>
        </w:rPr>
        <w:t xml:space="preserve"/>
      </w:r>
      <w:r>
        <w:rPr>
          <w:lang w:val="es-ES"/>
        </w:rPr>
        <w:t xml:space="preserve"/>
      </w:r>
      <w:r>
        <w:rPr>
          <w:lang w:val="es-ES"/>
        </w:rPr>
        <w:t xml:space="preserve">un acceso desde un tercer país.</w:t>
      </w:r>
    </w:p>
    <w:p>
      <w:pPr>
        <w:pStyle w:val="BodyText"/>
      </w:pPr>
      <w:r>
        <w:rPr>
          <w:lang w:val="es-ES"/>
        </w:rPr>
        <w:t xml:space="preserve">En </w:t>
      </w:r>
      <w:r>
        <w:rPr>
          <w:lang w:val="es-ES"/>
        </w:rPr>
        <w:t xml:space="preserve"/>
      </w:r>
      <w:r>
        <w:rPr>
          <w:b/>
          <w:bCs/>
          <w:lang w:val="es-ES"/>
        </w:rPr>
        <w:t xml:space="preserve">la Opción B </w:t>
      </w:r>
      <w:r>
        <w:rPr>
          <w:lang w:val="es-ES"/>
        </w:rPr>
        <w:t xml:space="preserve">aislada, no hay </w:t>
      </w:r>
      <w:r>
        <w:rPr>
          <w:lang w:val="es-ES"/>
        </w:rPr>
        <w:t xml:space="preserve"/>
      </w:r>
      <w:r>
        <w:rPr>
          <w:b/>
          <w:bCs/>
          <w:lang w:val="es-ES"/>
        </w:rPr>
        <w:t xml:space="preserve">transferencia ni acceso fuera del EEE </w:t>
      </w:r>
      <w:r>
        <w:rPr>
          <w:lang w:val="es-ES"/>
        </w:rPr>
        <w:t xml:space="preserve"/>
      </w:r>
      <w:r>
        <w:rPr>
          <w:lang w:val="es-ES"/>
        </w:rPr>
        <w:t xml:space="preserve">(sección 9).</w:t>
      </w:r>
    </w:p>
    <w:bookmarkEnd w:id="92"/>
    <w:bookmarkStart w:id="93" w:name="X7f2e6a9bf6ee1c3ce5e3abb00a360282c16220d"/>
    <w:p>
      <w:pPr>
        <w:pStyle w:val="Heading2"/>
        <w:keepNext/>
        <w:keepLines/>
      </w:pPr>
      <w:r>
        <w:rPr>
          <w:color w:val="000000"/>
          <w:lang w:val="es-ES"/>
        </w:rPr>
        <w:t xml:space="preserve">2. a) Países y entidades interesados</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es-ES"/>
              </w:rPr>
              <w:t xml:space="preserve">entidad</w:t>
            </w:r>
          </w:p>
        </w:tc>
        <w:tc>
          <w:tcPr>
            <w:tcW w:type="dxa" w:w="2340"/>
            <w:tcMar>
              <w:left w:type="dxa" w:w="80"/>
              <w:right w:type="dxa" w:w="80"/>
            </w:tcMar>
          </w:tcPr>
          <w:p>
            <w:pPr>
              <w:pStyle w:val="Compact"/>
            </w:pPr>
            <w:r>
              <w:rPr>
                <w:sz w:val="19"/>
                <w:szCs w:val="19"/>
                <w:lang w:val="es-ES"/>
              </w:rPr>
              <w:t xml:space="preserve">País</w:t>
            </w:r>
          </w:p>
        </w:tc>
        <w:tc>
          <w:tcPr>
            <w:tcW w:type="dxa" w:w="2340"/>
            <w:tcMar>
              <w:left w:type="dxa" w:w="80"/>
              <w:right w:type="dxa" w:w="80"/>
            </w:tcMar>
          </w:tcPr>
          <w:p>
            <w:pPr>
              <w:pStyle w:val="Compact"/>
            </w:pPr>
            <w:r>
              <w:rPr>
                <w:sz w:val="19"/>
                <w:szCs w:val="19"/>
                <w:lang w:val="es-ES"/>
              </w:rPr>
              <w:t xml:space="preserve">Tipo</w:t>
            </w:r>
          </w:p>
        </w:tc>
        <w:tc>
          <w:tcPr>
            <w:tcW w:type="dxa" w:w="2340"/>
            <w:tcMar>
              <w:left w:type="dxa" w:w="80"/>
              <w:right w:type="dxa" w:w="80"/>
            </w:tcMar>
          </w:tcPr>
          <w:p>
            <w:pPr>
              <w:pStyle w:val="Compact"/>
            </w:pPr>
            <w:r>
              <w:rPr>
                <w:sz w:val="19"/>
                <w:szCs w:val="19"/>
                <w:lang w:val="es-ES"/>
              </w:rPr>
              <w:t xml:space="preserve">Ubicación</w:t>
            </w:r>
          </w:p>
        </w:tc>
      </w:tr>
      <w:tr>
        <w:trPr>
          <w:cantSplit/>
        </w:trPr>
        <w:tc>
          <w:tcPr>
            <w:tcW w:type="dxa" w:w="2340"/>
            <w:tcMar>
              <w:left w:type="dxa" w:w="80"/>
              <w:right w:type="dxa" w:w="80"/>
            </w:tcMar>
          </w:tcPr>
          <w:p>
            <w:pPr>
              <w:pStyle w:val="Compact"/>
            </w:pPr>
            <w:r>
              <w:rPr>
                <w:i/>
                <w:iCs/>
                <w:sz w:val="19"/>
                <w:szCs w:val="19"/>
                <w:lang w:val="es-ES"/>
              </w:rPr>
              <w:t xml:space="preserve">(Ruta principal de IA: servidores vLLM controlados)</w:t>
            </w:r>
          </w:p>
        </w:tc>
        <w:tc>
          <w:tcPr>
            <w:tcW w:type="dxa" w:w="2340"/>
            <w:tcMar>
              <w:left w:type="dxa" w:w="80"/>
              <w:right w:type="dxa" w:w="80"/>
            </w:tcMar>
          </w:tcPr>
          <w:p>
            <w:pPr>
              <w:pStyle w:val="Compact"/>
            </w:pPr>
            <w:r>
              <w:rPr>
                <w:i/>
                <w:iCs/>
                <w:sz w:val="19"/>
                <w:szCs w:val="19"/>
                <w:lang w:val="es-ES"/>
              </w:rPr>
              <w:t xml:space="preserve">UE — Estrasburgo / París</w:t>
            </w:r>
          </w:p>
        </w:tc>
        <w:tc>
          <w:tcPr>
            <w:tcW w:type="dxa" w:w="2340"/>
            <w:tcMar>
              <w:left w:type="dxa" w:w="80"/>
              <w:right w:type="dxa" w:w="80"/>
            </w:tcMar>
          </w:tcPr>
          <w:p>
            <w:pPr>
              <w:pStyle w:val="Compact"/>
            </w:pPr>
            <w:r>
              <w:rPr>
                <w:i/>
                <w:iCs/>
                <w:sz w:val="19"/>
                <w:szCs w:val="19"/>
                <w:lang w:val="es-ES"/>
              </w:rPr>
              <w:t xml:space="preserve">Tratamiento de la UE</w:t>
            </w:r>
          </w:p>
        </w:tc>
        <w:tc>
          <w:tcPr>
            <w:tcW w:type="dxa" w:w="2340"/>
            <w:tcMar>
              <w:left w:type="dxa" w:w="80"/>
              <w:right w:type="dxa" w:w="80"/>
            </w:tcMar>
          </w:tcPr>
          <w:p>
            <w:pPr>
              <w:pStyle w:val="Compact"/>
            </w:pPr>
            <w:r>
              <w:rPr>
                <w:i/>
                <w:iCs/>
                <w:sz w:val="19"/>
                <w:szCs w:val="19"/>
                <w:lang w:val="es-ES"/>
              </w:rPr>
              <w:t xml:space="preserve">Ninguna transferencia fuera del EEE (recordatorio)</w:t>
            </w:r>
          </w:p>
        </w:tc>
      </w:tr>
      <w:tr>
        <w:trPr>
          <w:cantSplit/>
        </w:trPr>
        <w:tc>
          <w:tcPr>
            <w:tcW w:type="dxa" w:w="2340"/>
            <w:tcMar>
              <w:left w:type="dxa" w:w="80"/>
              <w:right w:type="dxa" w:w="80"/>
            </w:tcMar>
          </w:tcPr>
          <w:p>
            <w:pPr>
              <w:pStyle w:val="Compact"/>
            </w:pPr>
            <w:r>
              <w:rPr>
                <w:i/>
                <w:iCs/>
                <w:sz w:val="19"/>
                <w:szCs w:val="19"/>
                <w:lang w:val="es-ES"/>
              </w:rPr>
              <w:t xml:space="preserve">(copias de seguridad: Scaleway)</w:t>
            </w:r>
          </w:p>
        </w:tc>
        <w:tc>
          <w:tcPr>
            <w:tcW w:type="dxa" w:w="2340"/>
            <w:tcMar>
              <w:left w:type="dxa" w:w="80"/>
              <w:right w:type="dxa" w:w="80"/>
            </w:tcMar>
          </w:tcPr>
          <w:p>
            <w:pPr>
              <w:pStyle w:val="Compact"/>
            </w:pPr>
            <w:r>
              <w:rPr>
                <w:i/>
                <w:iCs/>
                <w:sz w:val="19"/>
                <w:szCs w:val="19"/>
                <w:lang w:val="es-ES"/>
              </w:rPr>
              <w:t xml:space="preserve">Francia (UE)</w:t>
            </w:r>
          </w:p>
        </w:tc>
        <w:tc>
          <w:tcPr>
            <w:tcW w:type="dxa" w:w="2340"/>
            <w:tcMar>
              <w:left w:type="dxa" w:w="80"/>
              <w:right w:type="dxa" w:w="80"/>
            </w:tcMar>
          </w:tcPr>
          <w:p>
            <w:pPr>
              <w:pStyle w:val="Compact"/>
            </w:pPr>
            <w:r>
              <w:rPr>
                <w:i/>
                <w:iCs/>
                <w:sz w:val="19"/>
                <w:szCs w:val="19"/>
                <w:lang w:val="es-ES"/>
              </w:rPr>
              <w:t xml:space="preserve">Almacenamiento en la UE</w:t>
            </w:r>
          </w:p>
        </w:tc>
        <w:tc>
          <w:tcPr>
            <w:tcW w:type="dxa" w:w="2340"/>
            <w:tcMar>
              <w:left w:type="dxa" w:w="80"/>
              <w:right w:type="dxa" w:w="80"/>
            </w:tcMar>
          </w:tcPr>
          <w:p>
            <w:pPr>
              <w:pStyle w:val="Compact"/>
            </w:pPr>
            <w:r>
              <w:rPr>
                <w:i/>
                <w:iCs/>
                <w:sz w:val="19"/>
                <w:szCs w:val="19"/>
                <w:lang w:val="es-ES"/>
              </w:rPr>
              <w:t xml:space="preserve">Ninguna transferencia fuera del EEE (recordatorio)</w:t>
            </w:r>
          </w:p>
        </w:tc>
      </w:tr>
      <w:tr>
        <w:trPr>
          <w:cantSplit/>
        </w:trPr>
        <w:tc>
          <w:tcPr>
            <w:tcW w:type="dxa" w:w="2340"/>
            <w:tcMar>
              <w:left w:type="dxa" w:w="80"/>
              <w:right w:type="dxa" w:w="80"/>
            </w:tcMar>
          </w:tcPr>
          <w:p>
            <w:pPr>
              <w:pStyle w:val="Compact"/>
            </w:pPr>
            <w:r>
              <w:rPr>
                <w:sz w:val="19"/>
                <w:szCs w:val="19"/>
                <w:lang w:val="es-ES"/>
              </w:rPr>
              <w:t xml:space="preserve">OpenRouter Inc.</w:t>
            </w:r>
          </w:p>
        </w:tc>
        <w:tc>
          <w:tcPr>
            <w:tcW w:type="dxa" w:w="2340"/>
            <w:tcMar>
              <w:left w:type="dxa" w:w="80"/>
              <w:right w:type="dxa" w:w="80"/>
            </w:tcMar>
          </w:tcPr>
          <w:p>
            <w:pPr>
              <w:pStyle w:val="Compact"/>
            </w:pPr>
            <w:r>
              <w:rPr>
                <w:sz w:val="19"/>
                <w:szCs w:val="19"/>
                <w:lang w:val="es-ES"/>
              </w:rPr>
              <w:t xml:space="preserve">Estados Unidos</w:t>
            </w:r>
          </w:p>
        </w:tc>
        <w:tc>
          <w:tcPr>
            <w:tcW w:type="dxa" w:w="2340"/>
            <w:tcMar>
              <w:left w:type="dxa" w:w="80"/>
              <w:right w:type="dxa" w:w="80"/>
            </w:tcMar>
          </w:tcPr>
          <w:p>
            <w:pPr>
              <w:pStyle w:val="Compact"/>
            </w:pPr>
            <w:r>
              <w:rPr>
                <w:sz w:val="19"/>
                <w:szCs w:val="19"/>
                <w:lang w:val="es-ES"/>
              </w:rPr>
              <w:t xml:space="preserve">Flujo técnico (máquina)</w:t>
            </w:r>
          </w:p>
        </w:tc>
        <w:tc>
          <w:tcPr>
            <w:tcW w:type="dxa" w:w="2340"/>
            <w:tcMar>
              <w:left w:type="dxa" w:w="80"/>
              <w:right w:type="dxa" w:w="80"/>
            </w:tcMar>
          </w:tcPr>
          <w:p>
            <w:pPr>
              <w:pStyle w:val="Compact"/>
            </w:pPr>
            <w:r>
              <w:rPr>
                <w:sz w:val="19"/>
                <w:szCs w:val="19"/>
                <w:lang w:val="es-ES"/>
              </w:rPr>
              <w:t xml:space="preserve">Puerta de enlace AI </w:t>
            </w:r>
            <w:r>
              <w:rPr>
                <w:sz w:val="19"/>
                <w:szCs w:val="19"/>
                <w:lang w:val="es-ES"/>
              </w:rPr>
              <w:t xml:space="preserve"/>
            </w:r>
            <w:r>
              <w:rPr>
                <w:b/>
                <w:bCs/>
                <w:sz w:val="19"/>
                <w:szCs w:val="19"/>
                <w:lang w:val="es-ES"/>
              </w:rPr>
              <w:t xml:space="preserve">como respaldo (conmutación por error), desactivable</w:t>
            </w:r>
          </w:p>
        </w:tc>
      </w:tr>
      <w:tr>
        <w:trPr>
          <w:cantSplit/>
        </w:trPr>
        <w:tc>
          <w:tcPr>
            <w:tcW w:type="dxa" w:w="2340"/>
            <w:tcMar>
              <w:left w:type="dxa" w:w="80"/>
              <w:right w:type="dxa" w:w="80"/>
            </w:tcMar>
          </w:tcPr>
          <w:p>
            <w:pPr>
              <w:pStyle w:val="Compact"/>
            </w:pPr>
            <w:r>
              <w:rPr>
                <w:sz w:val="19"/>
                <w:szCs w:val="19"/>
                <w:lang w:val="es-ES"/>
              </w:rPr>
              <w:t xml:space="preserve">Anthropic</w:t>
            </w:r>
          </w:p>
        </w:tc>
        <w:tc>
          <w:tcPr>
            <w:tcW w:type="dxa" w:w="2340"/>
            <w:tcMar>
              <w:left w:type="dxa" w:w="80"/>
              <w:right w:type="dxa" w:w="80"/>
            </w:tcMar>
          </w:tcPr>
          <w:p>
            <w:pPr>
              <w:pStyle w:val="Compact"/>
            </w:pPr>
            <w:r>
              <w:rPr>
                <w:sz w:val="19"/>
                <w:szCs w:val="19"/>
                <w:lang w:val="es-ES"/>
              </w:rPr>
              <w:t xml:space="preserve">Estados Unidos</w:t>
            </w:r>
          </w:p>
        </w:tc>
        <w:tc>
          <w:tcPr>
            <w:tcW w:type="dxa" w:w="2340"/>
            <w:tcMar>
              <w:left w:type="dxa" w:w="80"/>
              <w:right w:type="dxa" w:w="80"/>
            </w:tcMar>
          </w:tcPr>
          <w:p>
            <w:pPr>
              <w:pStyle w:val="Compact"/>
            </w:pPr>
            <w:r>
              <w:rPr>
                <w:sz w:val="19"/>
                <w:szCs w:val="19"/>
                <w:lang w:val="es-ES"/>
              </w:rPr>
              <w:t xml:space="preserve">Flujo técnico (máquina)</w:t>
            </w:r>
          </w:p>
        </w:tc>
        <w:tc>
          <w:tcPr>
            <w:tcW w:type="dxa" w:w="2340"/>
            <w:tcMar>
              <w:left w:type="dxa" w:w="80"/>
              <w:right w:type="dxa" w:w="80"/>
            </w:tcMar>
          </w:tcPr>
          <w:p>
            <w:pPr>
              <w:pStyle w:val="Compact"/>
            </w:pPr>
            <w:r>
              <w:rPr>
                <w:sz w:val="19"/>
                <w:szCs w:val="19"/>
                <w:lang w:val="es-ES"/>
              </w:rPr>
              <w:t xml:space="preserve">Proveedor de modelo a través de </w:t>
            </w:r>
            <w:r>
              <w:rPr>
                <w:sz w:val="19"/>
                <w:szCs w:val="19"/>
                <w:lang w:val="es-ES"/>
              </w:rPr>
              <w:t xml:space="preserve">OpenRouter: </w:t>
            </w:r>
            <w:r>
              <w:rPr>
                <w:b/>
                <w:bCs/>
                <w:sz w:val="19"/>
                <w:szCs w:val="19"/>
                <w:lang w:val="es-ES"/>
              </w:rPr>
              <w:t xml:space="preserve">solo respaldo</w:t>
            </w:r>
          </w:p>
        </w:tc>
      </w:tr>
      <w:tr>
        <w:trPr>
          <w:cantSplit/>
        </w:trPr>
        <w:tc>
          <w:tcPr>
            <w:tcW w:type="dxa" w:w="2340"/>
            <w:tcMar>
              <w:left w:type="dxa" w:w="80"/>
              <w:right w:type="dxa" w:w="80"/>
            </w:tcMar>
          </w:tcPr>
          <w:p>
            <w:pPr>
              <w:pStyle w:val="Compact"/>
            </w:pPr>
            <w:r>
              <w:rPr>
                <w:sz w:val="19"/>
                <w:szCs w:val="19"/>
                <w:lang w:val="es-ES"/>
              </w:rPr>
              <w:t xml:space="preserve">OpenAI</w:t>
            </w:r>
          </w:p>
        </w:tc>
        <w:tc>
          <w:tcPr>
            <w:tcW w:type="dxa" w:w="2340"/>
            <w:tcMar>
              <w:left w:type="dxa" w:w="80"/>
              <w:right w:type="dxa" w:w="80"/>
            </w:tcMar>
          </w:tcPr>
          <w:p>
            <w:pPr>
              <w:pStyle w:val="Compact"/>
            </w:pPr>
            <w:r>
              <w:rPr>
                <w:sz w:val="19"/>
                <w:szCs w:val="19"/>
                <w:lang w:val="es-ES"/>
              </w:rPr>
              <w:t xml:space="preserve">Estados Unidos</w:t>
            </w:r>
          </w:p>
        </w:tc>
        <w:tc>
          <w:tcPr>
            <w:tcW w:type="dxa" w:w="2340"/>
            <w:tcMar>
              <w:left w:type="dxa" w:w="80"/>
              <w:right w:type="dxa" w:w="80"/>
            </w:tcMar>
          </w:tcPr>
          <w:p>
            <w:pPr>
              <w:pStyle w:val="Compact"/>
            </w:pPr>
            <w:r>
              <w:rPr>
                <w:sz w:val="19"/>
                <w:szCs w:val="19"/>
                <w:lang w:val="es-ES"/>
              </w:rPr>
              <w:t xml:space="preserve">Flujo técnico (máquina)</w:t>
            </w:r>
          </w:p>
        </w:tc>
        <w:tc>
          <w:tcPr>
            <w:tcW w:type="dxa" w:w="2340"/>
            <w:tcMar>
              <w:left w:type="dxa" w:w="80"/>
              <w:right w:type="dxa" w:w="80"/>
            </w:tcMar>
          </w:tcPr>
          <w:p>
            <w:pPr>
              <w:pStyle w:val="Compact"/>
            </w:pPr>
            <w:r>
              <w:rPr>
                <w:sz w:val="19"/>
                <w:szCs w:val="19"/>
                <w:lang w:val="es-ES"/>
              </w:rPr>
              <w:t xml:space="preserve">Proveedor de modelo a través de </w:t>
            </w:r>
            <w:r>
              <w:rPr>
                <w:sz w:val="19"/>
                <w:szCs w:val="19"/>
                <w:lang w:val="es-ES"/>
              </w:rPr>
              <w:t xml:space="preserve">OpenRouter: </w:t>
            </w:r>
            <w:r>
              <w:rPr>
                <w:b/>
                <w:bCs/>
                <w:sz w:val="19"/>
                <w:szCs w:val="19"/>
                <w:lang w:val="es-ES"/>
              </w:rPr>
              <w:t xml:space="preserve">solo respaldo</w:t>
            </w:r>
          </w:p>
        </w:tc>
      </w:tr>
      <w:tr>
        <w:trPr>
          <w:cantSplit/>
        </w:trPr>
        <w:tc>
          <w:tcPr>
            <w:tcW w:type="dxa" w:w="2340"/>
            <w:tcMar>
              <w:left w:type="dxa" w:w="80"/>
              <w:right w:type="dxa" w:w="80"/>
            </w:tcMar>
          </w:tcPr>
          <w:p>
            <w:pPr>
              <w:pStyle w:val="Compact"/>
            </w:pPr>
            <w:r>
              <w:rPr>
                <w:sz w:val="19"/>
                <w:szCs w:val="19"/>
                <w:lang w:val="es-ES"/>
              </w:rPr>
              <w:t xml:space="preserve">Vast.ai</w:t>
            </w:r>
          </w:p>
        </w:tc>
        <w:tc>
          <w:tcPr>
            <w:tcW w:type="dxa" w:w="2340"/>
            <w:tcMar>
              <w:left w:type="dxa" w:w="80"/>
              <w:right w:type="dxa" w:w="80"/>
            </w:tcMar>
          </w:tcPr>
          <w:p>
            <w:pPr>
              <w:pStyle w:val="Compact"/>
            </w:pPr>
            <w:r>
              <w:rPr>
                <w:sz w:val="19"/>
                <w:szCs w:val="19"/>
                <w:lang w:val="es-ES"/>
              </w:rPr>
              <w:t xml:space="preserve">Estados Unidos (mercado)</w:t>
            </w:r>
          </w:p>
        </w:tc>
        <w:tc>
          <w:tcPr>
            <w:tcW w:type="dxa" w:w="2340"/>
            <w:tcMar>
              <w:left w:type="dxa" w:w="80"/>
              <w:right w:type="dxa" w:w="80"/>
            </w:tcMar>
          </w:tcPr>
          <w:p>
            <w:pPr>
              <w:pStyle w:val="Compact"/>
            </w:pPr>
            <w:r>
              <w:rPr>
                <w:sz w:val="19"/>
                <w:szCs w:val="19"/>
                <w:lang w:val="es-ES"/>
              </w:rPr>
              <w:t xml:space="preserve">Flujo técnico (máquina)</w:t>
            </w:r>
          </w:p>
        </w:tc>
        <w:tc>
          <w:tcPr>
            <w:tcW w:type="dxa" w:w="2340"/>
            <w:tcMar>
              <w:left w:type="dxa" w:w="80"/>
              <w:right w:type="dxa" w:w="80"/>
            </w:tcMar>
          </w:tcPr>
          <w:p>
            <w:pPr>
              <w:pStyle w:val="Compact"/>
            </w:pPr>
            <w:r>
              <w:rPr>
                <w:sz w:val="19"/>
                <w:szCs w:val="19"/>
                <w:lang w:val="es-ES"/>
              </w:rPr>
              <w:t xml:space="preserve">Computación GPU cuando está habilitada: máquinas seleccionadas en la UE cuando sea necesario</w:t>
            </w:r>
          </w:p>
        </w:tc>
      </w:tr>
    </w:tbl>
    <w:p>
      <w:pPr>
        <w:pStyle w:val="BlockText"/>
      </w:pPr>
      <w:r>
        <w:rPr>
          <w:lang w:val="es-ES"/>
        </w:rPr>
        <w:t xml:space="preserve">No hay </w:t>
      </w:r>
      <w:r>
        <w:rPr>
          <w:lang w:val="es-ES"/>
        </w:rPr>
        <w:t xml:space="preserve"/>
      </w:r>
      <w:r>
        <w:rPr>
          <w:b/>
          <w:bCs/>
          <w:lang w:val="es-ES"/>
        </w:rPr>
        <w:t xml:space="preserve">acceso humano desde un tercer país: la </w:t>
      </w:r>
      <w:r>
        <w:rPr>
          <w:lang w:val="es-ES"/>
        </w:rPr>
        <w:t xml:space="preserve"/>
      </w:r>
      <w:r>
        <w:rPr>
          <w:lang w:val="es-ES"/>
        </w:rPr>
        <w:t xml:space="preserve">administración y el soporte son responsabilidad de OHADJA (con sede en París) y se llevan a cabo exclusivamente desde Francia/UE (sección 7).</w:t>
      </w:r>
    </w:p>
    <w:bookmarkEnd w:id="93"/>
    <w:bookmarkStart w:id="94" w:name="X8a6ffe354f3a635abaebe378335f031f94ddf4f"/>
    <w:p>
      <w:pPr>
        <w:pStyle w:val="Heading2"/>
        <w:keepNext/>
        <w:keepLines/>
      </w:pPr>
      <w:r>
        <w:rPr>
          <w:color w:val="000000"/>
          <w:lang w:val="es-ES"/>
        </w:rPr>
        <w:t xml:space="preserve">3. (b) Categorías de datos accesibles por entidad</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entidad</w:t>
            </w:r>
          </w:p>
        </w:tc>
        <w:tc>
          <w:tcPr/>
          <w:p>
            <w:pPr>
              <w:pStyle w:val="Compact"/>
            </w:pPr>
            <w:r>
              <w:rPr>
                <w:lang w:val="es-ES"/>
              </w:rPr>
              <w:t xml:space="preserve">Categorías de datos afectados</w:t>
            </w:r>
          </w:p>
        </w:tc>
      </w:tr>
      <w:tr>
        <w:trPr>
          <w:cantSplit/>
        </w:trPr>
        <w:tc>
          <w:tcPr/>
          <w:p>
            <w:pPr>
              <w:pStyle w:val="Compact"/>
            </w:pPr>
            <w:r>
              <w:rPr>
                <w:lang w:val="es-ES"/>
              </w:rPr>
              <w:t xml:space="preserve">OpenRouter / Anthropic / OpenAI </w:t>
            </w:r>
            <w:r>
              <w:rPr>
                <w:b/>
                <w:bCs/>
                <w:lang w:val="es-ES"/>
              </w:rPr>
              <w:t xml:space="preserve">(solo ruta de </w:t>
            </w:r>
            <w:r>
              <w:rPr>
                <w:lang w:val="es-ES"/>
              </w:rPr>
              <w:t xml:space="preserve">respaldo)</w:t>
            </w:r>
          </w:p>
        </w:tc>
        <w:tc>
          <w:tcPr/>
          <w:p>
            <w:pPr>
              <w:pStyle w:val="Compact"/>
            </w:pPr>
            <w:r>
              <w:rPr>
                <w:lang w:val="es-ES"/>
              </w:rPr>
              <w:t xml:space="preserve">Mensajes = fuentes seleccionadas por el usuario (extractos de transcripciones, documentos, metadatos), minimizadas; salidas generadas - sólo en caso de cambio a emergencia</w:t>
            </w:r>
          </w:p>
        </w:tc>
      </w:tr>
      <w:tr>
        <w:trPr>
          <w:cantSplit/>
        </w:trPr>
        <w:tc>
          <w:tcPr/>
          <w:p>
            <w:pPr>
              <w:pStyle w:val="Compact"/>
            </w:pPr>
            <w:r>
              <w:rPr>
                <w:lang w:val="es-ES"/>
              </w:rPr>
              <w:t xml:space="preserve">Vast.ai</w:t>
            </w:r>
          </w:p>
        </w:tc>
        <w:tc>
          <w:tcPr/>
          <w:p>
            <w:pPr>
              <w:pStyle w:val="Compact"/>
            </w:pPr>
            <w:r>
              <w:rPr>
                <w:lang w:val="es-ES"/>
              </w:rPr>
              <w:t xml:space="preserve">Segmentos de audio/transcripción que se procesan (durante el trabajo) y luego se eliminan</w:t>
            </w:r>
          </w:p>
        </w:tc>
      </w:tr>
    </w:tbl>
    <w:bookmarkEnd w:id="94"/>
    <w:bookmarkStart w:id="95" w:name="Xc88f5c870e9d040feecdae04696d5e79abdfa5b"/>
    <w:p>
      <w:pPr>
        <w:pStyle w:val="Heading2"/>
        <w:keepNext/>
        <w:keepLines/>
      </w:pPr>
      <w:r>
        <w:rPr>
          <w:color w:val="000000"/>
          <w:lang w:val="es-ES"/>
        </w:rPr>
        <w:t xml:space="preserve">4. c) Mecanismos jurídicos mantenidos</w:t>
      </w:r>
    </w:p>
    <w:p>
      <w:pPr>
        <w:pStyle w:val="Compact"/>
        <w:numPr>
          <w:ilvl w:val="0"/>
          <w:numId w:val="1021"/>
        </w:numPr>
      </w:pPr>
      <w:r>
        <w:rPr>
          <w:b/>
          <w:bCs/>
          <w:lang w:val="es-ES"/>
        </w:rPr>
        <w:t xml:space="preserve">Cláusulas contractuales tipo (CCT / SCC) de los </w:t>
      </w:r>
      <w:r>
        <w:rPr>
          <w:lang w:val="es-ES"/>
        </w:rPr>
        <w:t xml:space="preserve"/>
      </w:r>
      <w:r>
        <w:rPr>
          <w:lang w:val="es-ES"/>
        </w:rPr>
        <w:t xml:space="preserve">proveedores (módulos aplicables a la relación encargado del tratamiento → subencargado del tratamiento, módulo 3, o responsable → encargado del tratamiento según la configuración).</w:t>
      </w:r>
    </w:p>
    <w:p>
      <w:pPr>
        <w:pStyle w:val="Compact"/>
        <w:numPr>
          <w:ilvl w:val="0"/>
          <w:numId w:val="1021"/>
        </w:numPr>
      </w:pPr>
      <w:r>
        <w:rPr>
          <w:b/>
          <w:bCs/>
          <w:lang w:val="es-ES"/>
        </w:rPr>
        <w:t xml:space="preserve">Marco de privacidad de datos </w:t>
      </w:r>
      <w:r>
        <w:rPr>
          <w:lang w:val="es-ES"/>
        </w:rPr>
        <w:t xml:space="preserve"/>
      </w:r>
      <w:r>
        <w:rPr>
          <w:lang w:val="es-ES"/>
        </w:rPr>
        <w:t xml:space="preserve">(DPF) </w:t>
      </w:r>
      <w:r>
        <w:rPr>
          <w:lang w:val="es-ES"/>
        </w:rPr>
        <w:t xml:space="preserve"/>
      </w:r>
      <w:r>
        <w:rPr>
          <w:b/>
          <w:bCs/>
          <w:lang w:val="es-ES"/>
        </w:rPr>
        <w:t xml:space="preserve">UE-EE. UU. cuando el proveedor está </w:t>
      </w:r>
      <w:r>
        <w:rPr>
          <w:lang w:val="es-ES"/>
        </w:rPr>
        <w:t xml:space="preserve"/>
      </w:r>
      <w:r>
        <w:rPr>
          <w:lang w:val="es-ES"/>
        </w:rPr>
        <w:t xml:space="preserve"/>
      </w:r>
      <w:r>
        <w:rPr>
          <w:lang w:val="es-ES"/>
        </w:rPr>
        <w:t xml:space="preserve"/>
      </w:r>
      <w:r>
        <w:rPr>
          <w:b/>
          <w:bCs/>
          <w:lang w:val="es-ES"/>
        </w:rPr>
        <w:t xml:space="preserve">certificado: [PARA SER VERIFICADO </w:t>
      </w:r>
      <w:r>
        <w:rPr>
          <w:lang w:val="es-ES"/>
        </w:rPr>
        <w:t xml:space="preserve"/>
      </w:r>
      <w:r>
        <w:rPr>
          <w:lang w:val="es-ES"/>
        </w:rPr>
        <w:t xml:space="preserve">por el proveedor]: La certificación DPF de OpenRouter, Anthropic y OpenAI debe verificarse proveedor por proveedor antes de confiar en ella. No asuma una certificación no verificada.</w:t>
      </w:r>
    </w:p>
    <w:p>
      <w:pPr>
        <w:pStyle w:val="Compact"/>
        <w:numPr>
          <w:ilvl w:val="0"/>
          <w:numId w:val="1021"/>
        </w:numPr>
      </w:pPr>
      <w:r>
        <w:rPr>
          <w:b/>
          <w:bCs/>
          <w:lang w:val="es-ES"/>
        </w:rPr>
        <w:t xml:space="preserve">Medidas adicionales (ver </w:t>
      </w:r>
      <w:r>
        <w:rPr>
          <w:lang w:val="es-ES"/>
        </w:rPr>
        <w:t xml:space="preserve"/>
      </w:r>
      <w:r>
        <w:rPr>
          <w:lang w:val="es-ES"/>
        </w:rPr>
        <w:t xml:space="preserve">sección 5), de acuerdo con las recomendaciones del SEPD sobre medidas complementarias a las herramientas de transferencia.</w:t>
      </w:r>
    </w:p>
    <w:bookmarkEnd w:id="95"/>
    <w:bookmarkStart w:id="96" w:name="X0746e0ea3ea47c6136a496f999aa64ff85f02fe"/>
    <w:p>
      <w:pPr>
        <w:pStyle w:val="Heading2"/>
        <w:keepNext/>
        <w:keepLines/>
      </w:pPr>
      <w:r>
        <w:rPr>
          <w:color w:val="000000"/>
          <w:lang w:val="es-ES"/>
        </w:rPr>
        <w:t xml:space="preserve">5. (e) Medidas adicionales implementadas</w:t>
      </w:r>
    </w:p>
    <w:p>
      <w:pPr>
        <w:pStyle w:val="Compact"/>
        <w:numPr>
          <w:ilvl w:val="0"/>
          <w:numId w:val="1022"/>
        </w:numPr>
      </w:pPr>
      <w:r>
        <w:rPr>
          <w:b/>
          <w:bCs/>
          <w:lang w:val="es-ES"/>
        </w:rPr>
        <w:t xml:space="preserve">Cifrado en tránsito: </w:t>
      </w:r>
      <w:r>
        <w:rPr>
          <w:lang w:val="es-ES"/>
        </w:rPr>
        <w:t xml:space="preserve">TLS </w:t>
      </w:r>
      <w:r>
        <w:rPr>
          <w:lang w:val="es-ES"/>
        </w:rPr>
        <w:t xml:space="preserve">1.2+ para todos los flujos de aplicaciones y API.</w:t>
      </w:r>
    </w:p>
    <w:p>
      <w:pPr>
        <w:pStyle w:val="Compact"/>
        <w:numPr>
          <w:ilvl w:val="0"/>
          <w:numId w:val="1022"/>
        </w:numPr>
      </w:pPr>
      <w:r>
        <w:rPr>
          <w:b/>
          <w:bCs/>
          <w:lang w:val="es-ES"/>
        </w:rPr>
        <w:t xml:space="preserve">Cifrado de respaldo: cifrado </w:t>
      </w:r>
      <w:r>
        <w:rPr>
          <w:lang w:val="es-ES"/>
        </w:rPr>
        <w:t xml:space="preserve"/>
      </w:r>
      <w:r>
        <w:rPr>
          <w:lang w:val="es-ES"/>
        </w:rPr>
        <w:t xml:space="preserve">con age </w:t>
      </w:r>
      <w:r>
        <w:rPr>
          <w:lang w:val="es-ES"/>
        </w:rPr>
        <w:t xml:space="preserve">(X25519 </w:t>
      </w:r>
      <w:r>
        <w:rPr>
          <w:b/>
          <w:bCs/>
          <w:lang w:val="es-ES"/>
        </w:rPr>
        <w:t xml:space="preserve"/>
      </w:r>
      <w:r>
        <w:rPr>
          <w:lang w:val="es-ES"/>
        </w:rPr>
        <w:t xml:space="preserve"/>
      </w:r>
      <w:r>
        <w:rPr>
          <w:lang w:val="es-ES"/>
        </w:rPr>
        <w:t xml:space="preserve">+ ChaCha20-Poly1305) antes de </w:t>
      </w:r>
      <w:r>
        <w:rPr>
          <w:lang w:val="es-ES"/>
        </w:rPr>
        <w:t xml:space="preserve"/>
      </w:r>
      <w:r>
        <w:rPr>
          <w:b/>
          <w:bCs/>
          <w:lang w:val="es-ES"/>
        </w:rPr>
        <w:t xml:space="preserve">la </w:t>
      </w:r>
      <w:r>
        <w:rPr>
          <w:lang w:val="es-ES"/>
        </w:rPr>
        <w:t xml:space="preserve"/>
      </w:r>
      <w:r>
        <w:rPr>
          <w:lang w:val="es-ES"/>
        </w:rPr>
        <w:t xml:space="preserve">subcontratación; claves en poder de OHADJA, conservadas </w:t>
      </w:r>
      <w:r>
        <w:rPr>
          <w:lang w:val="es-ES"/>
        </w:rPr>
        <w:t xml:space="preserve"/>
      </w:r>
      <w:r>
        <w:rPr>
          <w:b/>
          <w:bCs/>
          <w:lang w:val="es-ES"/>
        </w:rPr>
        <w:t xml:space="preserve">en la </w:t>
      </w:r>
      <w:r>
        <w:rPr>
          <w:lang w:val="es-ES"/>
        </w:rPr>
        <w:t xml:space="preserve">UE. El proveedor de almacenamiento (Scaleway, Francia) sólo posee bloques ilegibles.</w:t>
      </w:r>
    </w:p>
    <w:p>
      <w:pPr>
        <w:pStyle w:val="Compact"/>
        <w:numPr>
          <w:ilvl w:val="0"/>
          <w:numId w:val="1022"/>
        </w:numPr>
      </w:pPr>
      <w:r>
        <w:rPr>
          <w:b/>
          <w:bCs/>
          <w:lang w:val="es-ES"/>
        </w:rPr>
        <w:t xml:space="preserve">Minimización de avisos: </w:t>
      </w:r>
      <w:r>
        <w:rPr>
          <w:lang w:val="es-ES"/>
        </w:rPr>
        <w:t xml:space="preserve"/>
      </w:r>
      <w:r>
        <w:rPr>
          <w:lang w:val="es-ES"/>
        </w:rPr>
        <w:t xml:space="preserve">solo se transmiten a los modelos las fuentes seleccionadas por el usuario; Reducción de volumen y contenido.</w:t>
      </w:r>
    </w:p>
    <w:p>
      <w:pPr>
        <w:pStyle w:val="Compact"/>
        <w:numPr>
          <w:ilvl w:val="0"/>
          <w:numId w:val="1022"/>
        </w:numPr>
      </w:pPr>
      <w:r>
        <w:rPr>
          <w:b/>
          <w:bCs/>
          <w:lang w:val="es-ES"/>
        </w:rPr>
        <w:t xml:space="preserve">Sin </w:t>
      </w:r>
      <w:r>
        <w:rPr>
          <w:lang w:val="es-ES"/>
        </w:rPr>
        <w:t xml:space="preserve"/>
      </w:r>
      <w:r>
        <w:rPr>
          <w:lang w:val="es-ES"/>
        </w:rPr>
        <w:t xml:space="preserve">entrenamiento: compromiso de no entrenamiento (marca no-train OpenRouter, compromisos de DPA del proveedor): los datos no se utilizan para entrenar modelos.</w:t>
      </w:r>
    </w:p>
    <w:p>
      <w:pPr>
        <w:pStyle w:val="Compact"/>
        <w:numPr>
          <w:ilvl w:val="0"/>
          <w:numId w:val="1022"/>
        </w:numPr>
      </w:pPr>
      <w:r>
        <w:rPr>
          <w:b/>
          <w:bCs/>
          <w:lang w:val="es-ES"/>
        </w:rPr>
        <w:t xml:space="preserve">Sin almacenamiento duradero por parte </w:t>
      </w:r>
      <w:r>
        <w:rPr>
          <w:lang w:val="es-ES"/>
        </w:rPr>
        <w:t xml:space="preserve"/>
      </w:r>
      <w:r>
        <w:rPr>
          <w:lang w:val="es-ES"/>
        </w:rPr>
        <w:t xml:space="preserve">del proveedor de IA: los proveedores de modelos no mantienen las indicaciones.</w:t>
      </w:r>
    </w:p>
    <w:p>
      <w:pPr>
        <w:pStyle w:val="Compact"/>
        <w:numPr>
          <w:ilvl w:val="0"/>
          <w:numId w:val="1022"/>
        </w:numPr>
      </w:pPr>
      <w:r>
        <w:rPr>
          <w:b/>
          <w:bCs/>
          <w:lang w:val="es-ES"/>
        </w:rPr>
        <w:t xml:space="preserve">Seudonimización parcial: </w:t>
      </w:r>
      <w:r>
        <w:rPr>
          <w:lang w:val="es-ES"/>
        </w:rPr>
        <w:t xml:space="preserve"/>
      </w:r>
      <w:r>
        <w:rPr>
          <w:lang w:val="es-ES"/>
        </w:rPr>
        <w:t xml:space="preserve">cuando sea posible, reducción de identificadores directos en el contenido transmitido.</w:t>
      </w:r>
    </w:p>
    <w:bookmarkEnd w:id="96"/>
    <w:bookmarkStart w:id="97" w:name="X6339bad733b4d8019ab28156a753cf759c0b8d9"/>
    <w:p>
      <w:pPr>
        <w:pStyle w:val="Heading2"/>
        <w:keepNext/>
        <w:keepLines/>
      </w:pPr>
      <w:r>
        <w:rPr>
          <w:color w:val="000000"/>
          <w:lang w:val="es-ES"/>
        </w:rPr>
        <w:t xml:space="preserve">6. (d) Estado de los análisis de impacto de las transferencias (AITD/TIA)</w:t>
      </w:r>
    </w:p>
    <w:p>
      <w:pPr>
        <w:pStyle w:val="FirstParagraph"/>
      </w:pPr>
      <w:r>
        <w:rPr>
          <w:lang w:val="es-ES"/>
        </w:rPr>
        <w:t xml:space="preserve">Las </w:t>
      </w:r>
      <w:r>
        <w:rPr>
          <w:lang w:val="es-ES"/>
        </w:rPr>
        <w:t xml:space="preserve"/>
      </w:r>
      <w:r>
        <w:rPr>
          <w:b/>
          <w:bCs/>
          <w:lang w:val="es-ES"/>
        </w:rPr>
        <w:t xml:space="preserve">evaluaciones de impacto de las transferencias (AITD / Transfer Impact Assessment) de los </w:t>
      </w:r>
      <w:r>
        <w:rPr>
          <w:lang w:val="es-ES"/>
        </w:rPr>
        <w:t xml:space="preserve"/>
      </w:r>
      <w:r>
        <w:rPr>
          <w:lang w:val="es-ES"/>
        </w:rPr>
        <w:t xml:space="preserve">proveedores de respaldo y GPU siguen pendientes de finalización </w:t>
      </w:r>
      <w:r>
        <w:rPr>
          <w:lang w:val="es-ES"/>
        </w:rPr>
        <w:t xml:space="preserve"/>
      </w:r>
      <w:r>
        <w:rPr>
          <w:b/>
          <w:bCs/>
          <w:lang w:val="es-ES"/>
        </w:rPr>
        <w:t xml:space="preserve">y validación antes de cualquier </w:t>
      </w:r>
      <w:r>
        <w:rPr>
          <w:lang w:val="es-ES"/>
        </w:rPr>
        <w:t xml:space="preserve"/>
      </w:r>
      <w:r>
        <w:rPr>
          <w:lang w:val="es-ES"/>
        </w:rPr>
        <w:t xml:space="preserve">transferencia que requiera esa evaluación. A fecha de 2026-07-24, no están </w:t>
      </w:r>
      <w:r>
        <w:rPr>
          <w:lang w:val="es-ES"/>
        </w:rPr>
        <w:t xml:space="preserve"/>
      </w:r>
      <w:r>
        <w:rPr>
          <w:b/>
          <w:bCs/>
          <w:lang w:val="es-ES"/>
        </w:rPr>
        <w:t xml:space="preserve">finalizadas [POR COMPLETAR: análisis </w:t>
      </w:r>
      <w:r>
        <w:rPr>
          <w:lang w:val="es-ES"/>
        </w:rPr>
        <w:t xml:space="preserve">por flujo, proveedor, país y mecanismo]. No debe iniciarse ni </w:t>
      </w:r>
      <w:r>
        <w:rPr>
          <w:lang w:val="es-ES"/>
        </w:rPr>
        <w:t xml:space="preserve"/>
      </w:r>
      <w:r>
        <w:rPr>
          <w:b/>
          <w:bCs/>
          <w:lang w:val="es-ES"/>
        </w:rPr>
        <w:t xml:space="preserve">continuarse ninguna </w:t>
      </w:r>
      <w:r>
        <w:rPr>
          <w:lang w:val="es-ES"/>
        </w:rPr>
        <w:t xml:space="preserve"/>
      </w:r>
      <w:r>
        <w:rPr>
          <w:lang w:val="es-ES"/>
        </w:rPr>
        <w:t xml:space="preserve">transferencia sin un mecanismo válido y garantías efectivamente verificadas; en su defecto, la vía correspondiente debe permanecer desactivada. Tras su validación, habrá una síntesis disponible previa solicitud.</w:t>
      </w:r>
    </w:p>
    <w:p>
      <w:pPr>
        <w:pStyle w:val="BodyText"/>
      </w:pPr>
      <w:r>
        <w:rPr>
          <w:lang w:val="es-ES"/>
        </w:rPr>
        <w:t xml:space="preserve">Esta formalización cubrirá, para cada proveedor: la cartografía del flujo, la legislación del tercer país (en particular el acceso de las autoridades), la evaluación de la eficacia de las medidas adicionales y la conclusión sobre la admisibilidad de la transferencia. El alcance de estos análisis se reduce por el hecho de que la ruta de emergencia puede desactivarse (perfil "estricto UE").</w:t>
      </w:r>
    </w:p>
    <w:bookmarkEnd w:id="97"/>
    <w:bookmarkStart w:id="98" w:name="X56f4867122fc146617b334329af1bcb476100bf"/>
    <w:p>
      <w:pPr>
        <w:pStyle w:val="Heading2"/>
        <w:keepNext/>
        <w:keepLines/>
      </w:pPr>
      <w:r>
        <w:rPr>
          <w:color w:val="000000"/>
          <w:lang w:val="es-ES"/>
        </w:rPr>
        <w:t xml:space="preserve">7. (f) Accesos humanos de administración — compromiso Francia / UE que debe verificarse operativamente</w:t>
      </w:r>
    </w:p>
    <w:p>
      <w:pPr>
        <w:pStyle w:val="FirstParagraph"/>
      </w:pPr>
      <w:r>
        <w:rPr>
          <w:b/>
          <w:bCs/>
          <w:lang w:val="es-ES"/>
        </w:rPr>
        <w:t xml:space="preserve">Compromiso contractual. </w:t>
      </w:r>
      <w:r>
        <w:rPr>
          <w:lang w:val="es-ES"/>
        </w:rPr>
        <w:t xml:space="preserve"/>
      </w:r>
      <w:r>
        <w:rPr>
          <w:lang w:val="es-ES"/>
        </w:rPr>
        <w:t xml:space="preserve">La editorial encargado del </w:t>
      </w:r>
      <w:r>
        <w:rPr>
          <w:lang w:val="es-ES"/>
        </w:rPr>
        <w:t xml:space="preserve"/>
      </w:r>
      <w:r>
        <w:rPr>
          <w:b/>
          <w:bCs/>
          <w:lang w:val="es-ES"/>
        </w:rPr>
        <w:t xml:space="preserve">tratamiento OHADJA está establecida en </w:t>
      </w:r>
      <w:r>
        <w:rPr>
          <w:lang w:val="es-ES"/>
        </w:rPr>
        <w:t xml:space="preserve">París (Francia). La administración, soporte y seguridad del servicio se </w:t>
      </w:r>
      <w:r>
        <w:rPr>
          <w:lang w:val="es-ES"/>
        </w:rPr>
        <w:t xml:space="preserve"/>
      </w:r>
      <w:r>
        <w:rPr>
          <w:b/>
          <w:bCs/>
          <w:lang w:val="es-ES"/>
        </w:rPr>
        <w:t xml:space="preserve">realizan exclusivamente desde Francia/Unión Europea. Este </w:t>
      </w:r>
      <w:r>
        <w:rPr>
          <w:lang w:val="es-ES"/>
        </w:rPr>
        <w:t xml:space="preserve">compromiso contractual garantiza que no </w:t>
      </w:r>
      <w:r>
        <w:rPr>
          <w:b/>
          <w:bCs/>
          <w:lang w:val="es-ES"/>
        </w:rPr>
        <w:t xml:space="preserve">se produzca ningún acceso humano a los datos de producción desde un tercer </w:t>
      </w:r>
      <w:r>
        <w:rPr>
          <w:lang w:val="es-ES"/>
        </w:rPr>
        <w:t xml:space="preserve">país.</w:t>
      </w:r>
    </w:p>
    <w:p>
      <w:pPr>
        <w:pStyle w:val="BodyText"/>
      </w:pPr>
      <w:r>
        <w:rPr>
          <w:b/>
          <w:bCs/>
          <w:lang w:val="es-ES"/>
        </w:rPr>
        <w:t xml:space="preserve">Transparencia sobre el vínculo con Mónaco. </w:t>
      </w:r>
      <w:r>
        <w:rPr>
          <w:lang w:val="es-ES"/>
        </w:rPr>
        <w:t xml:space="preserve">AMBASSADIA </w:t>
      </w:r>
      <w:r>
        <w:rPr>
          <w:lang w:val="es-ES"/>
        </w:rPr>
        <w:t xml:space="preserve">SARL se describe como revendedor/distribuidor comercial sin acceso a los datos de producción. El compromiso de administración y </w:t>
      </w:r>
      <w:r>
        <w:rPr>
          <w:lang w:val="es-ES"/>
        </w:rPr>
        <w:t xml:space="preserve"/>
      </w:r>
      <w:r>
        <w:rPr>
          <w:b/>
          <w:bCs/>
          <w:lang w:val="es-ES"/>
        </w:rPr>
        <w:t xml:space="preserve">soporte desde Francia/UE </w:t>
      </w:r>
      <w:r>
        <w:rPr>
          <w:lang w:val="es-ES"/>
        </w:rPr>
        <w:t xml:space="preserve">debe confirmarse mediante </w:t>
      </w:r>
      <w:r>
        <w:rPr>
          <w:lang w:val="es-ES"/>
        </w:rPr>
        <w:t xml:space="preserve"/>
      </w:r>
      <w:r>
        <w:rPr>
          <w:b/>
          <w:bCs/>
          <w:lang w:val="es-ES"/>
        </w:rPr>
        <w:t xml:space="preserve">las personas autorizadas, </w:t>
      </w:r>
      <w:r>
        <w:rPr>
          <w:lang w:val="es-ES"/>
        </w:rPr>
        <w:t xml:space="preserve">sus </w:t>
      </w:r>
      <w:r>
        <w:rPr>
          <w:lang w:val="es-ES"/>
        </w:rPr>
        <w:t xml:space="preserve"/>
      </w:r>
      <w:r>
        <w:rPr>
          <w:lang w:val="es-ES"/>
        </w:rPr>
        <w:t xml:space="preserve"/>
      </w:r>
      <w:r>
        <w:rPr>
          <w:b/>
          <w:bCs/>
          <w:lang w:val="es-ES"/>
        </w:rPr>
        <w:t xml:space="preserve">lugares efectivos de acceso y los controles operativos. Una </w:t>
      </w:r>
      <w:r>
        <w:rPr>
          <w:lang w:val="es-ES"/>
        </w:rPr>
        <w:t xml:space="preserve"/>
      </w:r>
      <w:r>
        <w:rPr>
          <w:lang w:val="es-ES"/>
        </w:rPr>
        <w:t xml:space="preserve">declaración contractual no demuestra por sí sola la ausencia de accesos desde Mónaco u otro tercer país. Cualquier acceso </w:t>
      </w:r>
      <w:r>
        <w:rPr>
          <w:lang w:val="es-ES"/>
        </w:rPr>
        <w:t xml:space="preserve"/>
      </w:r>
      <w:r>
        <w:rPr>
          <w:b/>
          <w:bCs/>
          <w:lang w:val="es-ES"/>
        </w:rPr>
        <w:t xml:space="preserve">fuera del ámbito autorizado </w:t>
      </w:r>
      <w:r>
        <w:rPr>
          <w:lang w:val="es-ES"/>
        </w:rPr>
        <w:t xml:space="preserve"/>
      </w:r>
      <w:r>
        <w:rPr>
          <w:lang w:val="es-ES"/>
        </w:rPr>
        <w:t xml:space="preserve">exige una nueva evaluación de los roles, los riesgos y, cuando proceda, del capítulo V antes de su puesta en práctica.</w:t>
      </w:r>
    </w:p>
    <w:p>
      <w:pPr>
        <w:pStyle w:val="BodyText"/>
      </w:pPr>
      <w:r>
        <w:rPr>
          <w:b/>
          <w:bCs/>
          <w:lang w:val="es-ES"/>
        </w:rPr>
        <w:t xml:space="preserve">Supervisión técnica del acceso (Francia/UE). </w:t>
      </w:r>
      <w:r>
        <w:rPr>
          <w:lang w:val="es-ES"/>
        </w:rPr>
        <w:t xml:space="preserve"/>
      </w:r>
      <w:r>
        <w:rPr>
          <w:lang w:val="es-ES"/>
        </w:rPr>
        <w:t xml:space="preserve">Acceso personal, clave SSH, 2FA TOTP, TLS, registro, </w:t>
      </w:r>
      <w:r>
        <w:rPr>
          <w:lang w:val="es-ES"/>
        </w:rPr>
        <w:t xml:space="preserve"/>
      </w:r>
      <w:r>
        <w:rPr>
          <w:b/>
          <w:bCs/>
          <w:lang w:val="es-ES"/>
        </w:rPr>
        <w:t xml:space="preserve">sin copia local </w:t>
      </w:r>
      <w:r>
        <w:rPr>
          <w:lang w:val="es-ES"/>
        </w:rPr>
        <w:t xml:space="preserve">de </w:t>
      </w:r>
      <w:r>
        <w:rPr>
          <w:lang w:val="es-ES"/>
        </w:rPr>
        <w:t xml:space="preserve">los datos de producción.</w:t>
      </w:r>
    </w:p>
    <w:bookmarkEnd w:id="98"/>
    <w:bookmarkStart w:id="99" w:name="X034bb2e08dbf4a36e99bf05805e087826fb2045"/>
    <w:p>
      <w:pPr>
        <w:pStyle w:val="Heading2"/>
        <w:keepNext/>
        <w:keepLines/>
      </w:pPr>
      <w:r>
        <w:rPr>
          <w:color w:val="000000"/>
          <w:lang w:val="es-ES"/>
        </w:rPr>
        <w:t xml:space="preserve">8. g) Se puede activar el perfil “estricto de la UE”</w:t>
      </w:r>
    </w:p>
    <w:p>
      <w:pPr>
        <w:pStyle w:val="FirstParagraph"/>
      </w:pPr>
      <w:r>
        <w:rPr>
          <w:lang w:val="es-ES"/>
        </w:rPr>
        <w:t xml:space="preserve">La </w:t>
      </w:r>
      <w:r>
        <w:rPr>
          <w:lang w:val="es-ES"/>
        </w:rPr>
        <w:t xml:space="preserve"/>
      </w:r>
      <w:r>
        <w:rPr>
          <w:b/>
          <w:bCs/>
          <w:lang w:val="es-ES"/>
        </w:rPr>
        <w:t xml:space="preserve">ruta de inferencia principal ya se encuentra </w:t>
      </w:r>
      <w:r>
        <w:rPr>
          <w:lang w:val="es-ES"/>
        </w:rPr>
        <w:t xml:space="preserve"/>
      </w:r>
      <w:r>
        <w:rPr>
          <w:lang w:val="es-ES"/>
        </w:rPr>
        <w:t xml:space="preserve">en la UE (servidores vLLM controlados en Estrasburgo/París). TranscribIA ofrece además, por </w:t>
      </w:r>
      <w:r>
        <w:rPr>
          <w:lang w:val="es-ES"/>
        </w:rPr>
        <w:t xml:space="preserve"/>
      </w:r>
      <w:r>
        <w:rPr>
          <w:b/>
          <w:bCs/>
          <w:lang w:val="es-ES"/>
        </w:rPr>
        <w:t xml:space="preserve">organización (desde </w:t>
      </w:r>
      <w:r>
        <w:rPr>
          <w:lang w:val="es-ES"/>
        </w:rPr>
        <w:t xml:space="preserve"/>
      </w:r>
      <w:r>
        <w:rPr>
          <w:lang w:val="es-ES"/>
        </w:rPr>
        <w:t xml:space="preserve">la versión 1.7.0), un perfil "estricto de </w:t>
      </w:r>
      <w:r>
        <w:rPr>
          <w:lang w:val="es-ES"/>
        </w:rPr>
        <w:t xml:space="preserve"/>
      </w:r>
      <w:r>
        <w:rPr>
          <w:b/>
          <w:bCs/>
          <w:lang w:val="es-ES"/>
        </w:rPr>
        <w:t xml:space="preserve">la UE" que </w:t>
      </w:r>
      <w:r>
        <w:rPr>
          <w:lang w:val="es-ES"/>
        </w:rPr>
        <w:t xml:space="preserve"/>
      </w:r>
      <w:r>
        <w:rPr>
          <w:lang w:val="es-ES"/>
        </w:rPr>
        <w:t xml:space="preserve">desactiva </w:t>
      </w:r>
      <w:r>
        <w:rPr>
          <w:lang w:val="es-ES"/>
        </w:rPr>
        <w:t xml:space="preserve"/>
      </w:r>
      <w:r>
        <w:rPr>
          <w:b/>
          <w:bCs/>
          <w:lang w:val="es-ES"/>
        </w:rPr>
        <w:t xml:space="preserve">la ruta alternativa de OpenRouter e impone </w:t>
      </w:r>
      <w:r>
        <w:rPr>
          <w:lang w:val="es-ES"/>
        </w:rPr>
        <w:t xml:space="preserve"/>
      </w:r>
      <w:r>
        <w:rPr>
          <w:lang w:val="es-ES"/>
        </w:rPr>
        <w:t xml:space="preserve">una GPU en la </w:t>
      </w:r>
      <w:r>
        <w:rPr>
          <w:lang w:val="es-ES"/>
        </w:rPr>
        <w:t xml:space="preserve"/>
      </w:r>
      <w:r>
        <w:rPr>
          <w:b/>
          <w:bCs/>
          <w:lang w:val="es-ES"/>
        </w:rPr>
        <w:t xml:space="preserve">UE (si </w:t>
      </w:r>
      <w:r>
        <w:rPr>
          <w:lang w:val="es-ES"/>
        </w:rPr>
        <w:t xml:space="preserve"/>
      </w:r>
      <w:r>
        <w:rPr>
          <w:lang w:val="es-ES"/>
        </w:rPr>
        <w:t xml:space="preserve">corresponde, un LLM autohospedado). Este perfil elimina </w:t>
      </w:r>
      <w:r>
        <w:rPr>
          <w:lang w:val="es-ES"/>
        </w:rPr>
        <w:t xml:space="preserve"/>
      </w:r>
      <w:r>
        <w:rPr>
          <w:b/>
          <w:bCs/>
          <w:lang w:val="es-ES"/>
        </w:rPr>
        <w:t xml:space="preserve">cualquier transferencia técnica a los Estados Unidos (respaldo </w:t>
      </w:r>
      <w:r>
        <w:rPr>
          <w:lang w:val="es-ES"/>
        </w:rPr>
        <w:t xml:space="preserve"/>
      </w:r>
      <w:r>
        <w:rPr>
          <w:lang w:val="es-ES"/>
        </w:rPr>
        <w:t xml:space="preserve">de OpenRouter/proveedores de EE. UU. y Vast.ai EE. UU.). Se puede habilitar para que la organización del Cliente garantice una cadena de IA totalmente de la UE, conservando al mismo tiempo la Opción A (SaaS).</w:t>
      </w:r>
    </w:p>
    <w:bookmarkEnd w:id="99"/>
    <w:bookmarkStart w:id="100" w:name="Xde4efbcb23f51c6c03ba9662cf7bc2a20306427"/>
    <w:p>
      <w:pPr>
        <w:pStyle w:val="Heading2"/>
        <w:keepNext/>
        <w:keepLines/>
      </w:pPr>
      <w:r>
        <w:rPr>
          <w:color w:val="000000"/>
          <w:lang w:val="es-ES"/>
        </w:rPr>
        <w:t xml:space="preserve">9. h) Opción B aislada: sin transferencia</w:t>
      </w:r>
    </w:p>
    <w:p>
      <w:pPr>
        <w:pStyle w:val="FirstParagraph"/>
      </w:pPr>
      <w:r>
        <w:rPr>
          <w:lang w:val="es-ES"/>
        </w:rPr>
        <w:t xml:space="preserve">En </w:t>
      </w:r>
      <w:r>
        <w:rPr>
          <w:lang w:val="es-ES"/>
        </w:rPr>
        <w:t xml:space="preserve"/>
      </w:r>
      <w:r>
        <w:rPr>
          <w:b/>
          <w:bCs/>
          <w:lang w:val="es-ES"/>
        </w:rPr>
        <w:t xml:space="preserve">la Opción B </w:t>
      </w:r>
      <w:r>
        <w:rPr>
          <w:lang w:val="es-ES"/>
        </w:rPr>
        <w:t xml:space="preserve">aislada </w:t>
      </w:r>
      <w:r>
        <w:rPr>
          <w:lang w:val="es-ES"/>
        </w:rPr>
        <w:t xml:space="preserve">(implementación local sin nube), </w:t>
      </w:r>
      <w:r>
        <w:rPr>
          <w:lang w:val="es-ES"/>
        </w:rPr>
        <w:t xml:space="preserve">no </w:t>
      </w:r>
      <w:r>
        <w:rPr>
          <w:b/>
          <w:bCs/>
          <w:lang w:val="es-ES"/>
        </w:rPr>
        <w:t xml:space="preserve">se realiza ninguna transferencia </w:t>
      </w:r>
      <w:r>
        <w:rPr>
          <w:lang w:val="es-ES"/>
        </w:rPr>
        <w:t xml:space="preserve"/>
      </w:r>
      <w:r>
        <w:rPr>
          <w:lang w:val="es-ES"/>
        </w:rPr>
        <w:t xml:space="preserve">ni acceso fuera del EEE: la aplicación, la base de datos, el trabajador de GPU de transcripción y el modelo de lenguaje autohospedado se ejecutan completamente en la infraestructura del Cliente. Es este modo el que permite la declaración “sin datos en la nube”. El único acceso externo posible sería un acceso de mantenimiento de OHADJA expresamente autorizado y activado por el Cliente, sujeto al compromiso de acceso exclusivamente desde Francia/UE.</w:t>
      </w:r>
    </w:p>
    <w:bookmarkEnd w:id="100"/>
    <w:bookmarkStart w:id="101" w:name="X6bfe4dd000e396369869c62fc9491b9e3c11286"/>
    <w:p>
      <w:pPr>
        <w:pStyle w:val="Heading2"/>
        <w:keepNext/>
        <w:keepLines/>
      </w:pPr>
      <w:r>
        <w:rPr>
          <w:color w:val="000000"/>
          <w:lang w:val="es-ES"/>
        </w:rPr>
        <w:t xml:space="preserve">10. Resumen</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Ubicación</w:t>
            </w:r>
          </w:p>
        </w:tc>
        <w:tc>
          <w:tcPr/>
          <w:p>
            <w:pPr>
              <w:pStyle w:val="Compact"/>
            </w:pPr>
            <w:r>
              <w:rPr>
                <w:lang w:val="es-ES"/>
              </w:rPr>
              <w:t xml:space="preserve">Mecanismo</w:t>
            </w:r>
          </w:p>
        </w:tc>
        <w:tc>
          <w:tcPr/>
          <w:p>
            <w:pPr>
              <w:pStyle w:val="Compact"/>
            </w:pPr>
            <w:r>
              <w:rPr>
                <w:lang w:val="es-ES"/>
              </w:rPr>
              <w:t xml:space="preserve">Estado</w:t>
            </w:r>
          </w:p>
        </w:tc>
      </w:tr>
      <w:tr>
        <w:trPr>
          <w:cantSplit/>
        </w:trPr>
        <w:tc>
          <w:tcPr/>
          <w:p>
            <w:pPr>
              <w:pStyle w:val="Compact"/>
            </w:pPr>
            <w:r>
              <w:rPr>
                <w:lang w:val="es-ES"/>
              </w:rPr>
              <w:t xml:space="preserve">Inferencia de </w:t>
            </w:r>
            <w:r>
              <w:rPr>
                <w:lang w:val="es-ES"/>
              </w:rPr>
              <w:t xml:space="preserve"/>
            </w:r>
            <w:r>
              <w:rPr>
                <w:b/>
                <w:bCs/>
                <w:lang w:val="es-ES"/>
              </w:rPr>
              <w:t xml:space="preserve">IA: vía principal (EU vLLM)</w:t>
            </w:r>
          </w:p>
        </w:tc>
        <w:tc>
          <w:tcPr/>
          <w:p>
            <w:pPr>
              <w:pStyle w:val="Compact"/>
            </w:pPr>
            <w:r>
              <w:rPr>
                <w:lang w:val="es-ES"/>
              </w:rPr>
              <w:t xml:space="preserve">Servidores controlados en la UE (Estrasburgo / París)</w:t>
            </w:r>
          </w:p>
        </w:tc>
        <w:tc>
          <w:tcPr/>
          <w:p>
            <w:pPr>
              <w:pStyle w:val="Compact"/>
            </w:pPr>
            <w:r>
              <w:rPr>
                <w:b/>
                <w:bCs/>
                <w:lang w:val="es-ES"/>
              </w:rPr>
              <w:t xml:space="preserve">Sin transferencia fuera del EEE</w:t>
            </w:r>
          </w:p>
        </w:tc>
      </w:tr>
      <w:tr>
        <w:trPr>
          <w:cantSplit/>
        </w:trPr>
        <w:tc>
          <w:tcPr/>
          <w:p>
            <w:pPr>
              <w:pStyle w:val="Compact"/>
            </w:pPr>
            <w:r>
              <w:rPr>
                <w:lang w:val="es-ES"/>
              </w:rPr>
              <w:t xml:space="preserve">Copias de seguridad (Scaleway, Francia)</w:t>
            </w:r>
          </w:p>
        </w:tc>
        <w:tc>
          <w:tcPr/>
          <w:p>
            <w:pPr>
              <w:pStyle w:val="Compact"/>
            </w:pPr>
            <w:r>
              <w:rPr>
                <w:lang w:val="es-ES"/>
              </w:rPr>
              <w:t xml:space="preserve">Almacenamiento de la UE + cifrado con age antes del envío</w:t>
            </w:r>
          </w:p>
        </w:tc>
        <w:tc>
          <w:tcPr/>
          <w:p>
            <w:pPr>
              <w:pStyle w:val="Compact"/>
            </w:pPr>
            <w:r>
              <w:rPr>
                <w:b/>
                <w:bCs/>
                <w:lang w:val="es-ES"/>
              </w:rPr>
              <w:t xml:space="preserve">Sin transferencia fuera del EEE</w:t>
            </w:r>
          </w:p>
        </w:tc>
      </w:tr>
      <w:tr>
        <w:trPr>
          <w:cantSplit/>
        </w:trPr>
        <w:tc>
          <w:tcPr/>
          <w:p>
            <w:pPr>
              <w:pStyle w:val="Compact"/>
            </w:pPr>
            <w:r>
              <w:rPr>
                <w:lang w:val="es-ES"/>
              </w:rPr>
              <w:t xml:space="preserve">Flujo de IA de </w:t>
            </w:r>
            <w:r>
              <w:rPr>
                <w:lang w:val="es-ES"/>
              </w:rPr>
              <w:t xml:space="preserve"/>
            </w:r>
            <w:r>
              <w:rPr>
                <w:b/>
                <w:bCs/>
                <w:lang w:val="es-ES"/>
              </w:rPr>
              <w:t xml:space="preserve">EE. UU.: respaldo de OpenRouter (se puede desactivar)</w:t>
            </w:r>
          </w:p>
        </w:tc>
        <w:tc>
          <w:tcPr/>
          <w:p>
            <w:pPr>
              <w:pStyle w:val="Compact"/>
            </w:pPr>
            <w:r>
              <w:rPr>
                <w:lang w:val="es-ES"/>
              </w:rPr>
              <w:t xml:space="preserve">CCT + DPF [A COMPROBAR] + medidas adicionales</w:t>
            </w:r>
          </w:p>
        </w:tc>
        <w:tc>
          <w:tcPr/>
          <w:p>
            <w:pPr>
              <w:pStyle w:val="Compact"/>
            </w:pPr>
            <w:r>
              <w:rPr>
                <w:lang w:val="es-ES"/>
              </w:rPr>
              <w:t xml:space="preserve">Sujeto a validación </w:t>
            </w:r>
            <w:r>
              <w:rPr>
                <w:lang w:val="es-ES"/>
              </w:rPr>
              <w:t xml:space="preserve">previa </w:t>
            </w:r>
            <w:r>
              <w:rPr>
                <w:b/>
                <w:bCs/>
                <w:lang w:val="es-ES"/>
              </w:rPr>
              <w:t xml:space="preserve">del mecanismo y las </w:t>
            </w:r>
            <w:r>
              <w:rPr>
                <w:lang w:val="es-ES"/>
              </w:rPr>
              <w:t xml:space="preserve"/>
            </w:r>
            <w:r>
              <w:rPr>
                <w:lang w:val="es-ES"/>
              </w:rPr>
              <w:t xml:space="preserve">garantías; desactivar la vía correspondiente mientras no exista esa validación; evitable mediante un perfil UE estricta verificado</w:t>
            </w:r>
          </w:p>
        </w:tc>
      </w:tr>
      <w:tr>
        <w:trPr>
          <w:cantSplit/>
        </w:trPr>
        <w:tc>
          <w:tcPr/>
          <w:p>
            <w:pPr>
              <w:pStyle w:val="Compact"/>
            </w:pPr>
            <w:r>
              <w:rPr>
                <w:lang w:val="es-ES"/>
              </w:rPr>
              <w:t xml:space="preserve">Vast.ai EE. UU. (si está habilitado)</w:t>
            </w:r>
          </w:p>
        </w:tc>
        <w:tc>
          <w:tcPr/>
          <w:p>
            <w:pPr>
              <w:pStyle w:val="Compact"/>
            </w:pPr>
            <w:r>
              <w:rPr>
                <w:lang w:val="es-ES"/>
              </w:rPr>
              <w:t xml:space="preserve">Selección de la UE cuando sea necesario; CCT de lo contrario</w:t>
            </w:r>
          </w:p>
        </w:tc>
        <w:tc>
          <w:tcPr/>
          <w:p>
            <w:pPr>
              <w:pStyle w:val="Compact"/>
            </w:pPr>
            <w:r>
              <w:rPr>
                <w:lang w:val="es-ES"/>
              </w:rPr>
              <w:t xml:space="preserve">En caja; evitable a través de GPU dedicada de la UE</w:t>
            </w:r>
          </w:p>
        </w:tc>
      </w:tr>
      <w:tr>
        <w:trPr>
          <w:cantSplit/>
        </w:trPr>
        <w:tc>
          <w:tcPr/>
          <w:p>
            <w:pPr>
              <w:pStyle w:val="Compact"/>
            </w:pPr>
            <w:r>
              <w:rPr>
                <w:lang w:val="es-ES"/>
              </w:rPr>
              <w:t xml:space="preserve">Acceso a la administración humana</w:t>
            </w:r>
          </w:p>
        </w:tc>
        <w:tc>
          <w:tcPr/>
          <w:p>
            <w:pPr>
              <w:pStyle w:val="Compact"/>
            </w:pPr>
            <w:r>
              <w:rPr>
                <w:b/>
                <w:bCs/>
                <w:lang w:val="es-ES"/>
              </w:rPr>
              <w:t xml:space="preserve">Compromiso Francia/UE únicamente</w:t>
            </w:r>
          </w:p>
        </w:tc>
        <w:tc>
          <w:tcPr/>
          <w:p>
            <w:pPr>
              <w:pStyle w:val="Compact"/>
            </w:pPr>
            <w:r>
              <w:rPr>
                <w:lang w:val="es-ES"/>
              </w:rPr>
              <w:t xml:space="preserve">Accesos limitados contractualmente a Francia/UE; verificación operativa necesaria, también para Mónaco</w:t>
            </w:r>
          </w:p>
        </w:tc>
      </w:tr>
      <w:tr>
        <w:trPr>
          <w:cantSplit/>
        </w:trPr>
        <w:tc>
          <w:tcPr/>
          <w:p>
            <w:pPr>
              <w:pStyle w:val="Compact"/>
            </w:pPr>
            <w:r>
              <w:rPr>
                <w:lang w:val="es-ES"/>
              </w:rPr>
              <w:t xml:space="preserve">Perfil de “UE estricta”</w:t>
            </w:r>
          </w:p>
        </w:tc>
        <w:tc>
          <w:tcPr/>
          <w:p>
            <w:pPr>
              <w:pStyle w:val="Compact"/>
            </w:pPr>
            <w:r>
              <w:rPr>
                <w:lang w:val="es-ES"/>
              </w:rPr>
              <w:t xml:space="preserve">Solo ruta principal / EU LLM o autohospedado + EU GPU</w:t>
            </w:r>
          </w:p>
        </w:tc>
        <w:tc>
          <w:tcPr/>
          <w:p>
            <w:pPr>
              <w:pStyle w:val="Compact"/>
            </w:pPr>
            <w:r>
              <w:rPr>
                <w:lang w:val="es-ES"/>
              </w:rPr>
              <w:t xml:space="preserve">Eliminar transferencias de EE. UU.</w:t>
            </w:r>
          </w:p>
        </w:tc>
      </w:tr>
      <w:tr>
        <w:trPr>
          <w:cantSplit/>
        </w:trPr>
        <w:tc>
          <w:tcPr/>
          <w:p>
            <w:pPr>
              <w:pStyle w:val="Compact"/>
            </w:pPr>
            <w:r>
              <w:rPr>
                <w:lang w:val="es-ES"/>
              </w:rPr>
              <w:t xml:space="preserve">Opción B aislada</w:t>
            </w:r>
          </w:p>
        </w:tc>
        <w:tc>
          <w:tcPr/>
          <w:p>
            <w:pPr>
              <w:pStyle w:val="Compact"/>
            </w:pPr>
            <w:r>
              <w:rPr>
                <w:lang w:val="es-ES"/>
              </w:rPr>
              <w:t xml:space="preserve">—</w:t>
            </w:r>
          </w:p>
        </w:tc>
        <w:tc>
          <w:tcPr/>
          <w:p>
            <w:pPr>
              <w:pStyle w:val="Compact"/>
            </w:pPr>
            <w:r>
              <w:rPr>
                <w:b/>
                <w:bCs/>
                <w:lang w:val="es-ES"/>
              </w:rPr>
              <w:t xml:space="preserve">Sin transferencia fuera del EEE</w:t>
            </w:r>
          </w:p>
        </w:tc>
      </w:tr>
    </w:tbl>
    <w:p>
      <w:r>
        <w:pict>
          <v:rect style="width:0;height:1.5pt" o:hralign="center" o:hrstd="t" o:hr="t"/>
        </w:pict>
      </w:r>
    </w:p>
    <w:p>
      <w:pPr>
        <w:pStyle w:val="FirstParagraph"/>
      </w:pPr>
      <w:r>
        <w:rPr>
          <w:i/>
          <w:iCs/>
          <w:lang w:val="es-ES"/>
        </w:rPr>
        <w:t xml:space="preserve">Documento de trabajo establecido por OHADJA — para ser validado por su asesor legal / DPO antes de la firma.</w:t>
      </w:r>
    </w:p>
    <w:p>
      <w:r>
        <w:br w:type="page"/>
      </w:r>
    </w:p>
    <w:bookmarkEnd w:id="101"/>
    <w:bookmarkEnd w:id="102"/>
    <w:bookmarkStart w:id="110" w:name="X7dfa085352667209966fa6cd7412a1e78b1fa3f"/>
    <w:p>
      <w:pPr>
        <w:pStyle w:val="Heading1"/>
        <w:keepNext/>
        <w:keepLines/>
      </w:pPr>
      <w:r>
        <w:rPr>
          <w:color w:val="000000"/>
          <w:lang w:val="es-ES"/>
        </w:rPr>
        <w:t xml:space="preserve">Matriz de vida útil: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Referencia</w:t>
            </w:r>
          </w:p>
        </w:tc>
        <w:tc>
          <w:tcPr/>
          <w:p>
            <w:pPr>
              <w:pStyle w:val="Compact"/>
            </w:pPr>
            <w:r>
              <w:rPr>
                <w:lang w:val="es-ES"/>
              </w:rPr>
              <w:t xml:space="preserve">OHA-RGPD-05</w:t>
            </w:r>
          </w:p>
        </w:tc>
      </w:tr>
      <w:tr>
        <w:trPr>
          <w:cantSplit/>
        </w:trPr>
        <w:tc>
          <w:tcPr/>
          <w:p>
            <w:pPr>
              <w:pStyle w:val="Compact"/>
            </w:pPr>
            <w:r>
              <w:rPr>
                <w:lang w:val="es-ES"/>
              </w:rPr>
              <w:t xml:space="preserve">Propósito</w:t>
            </w:r>
          </w:p>
        </w:tc>
        <w:tc>
          <w:tcPr/>
          <w:p>
            <w:pPr>
              <w:pStyle w:val="Compact"/>
            </w:pPr>
            <w:r>
              <w:rPr>
                <w:lang w:val="es-ES"/>
              </w:rPr>
              <w:t xml:space="preserve">Política y matriz de periodos de retención, configuración y conexión con el borrado</w:t>
            </w:r>
          </w:p>
        </w:tc>
      </w:tr>
      <w:tr>
        <w:trPr>
          <w:cantSplit/>
        </w:trPr>
        <w:tc>
          <w:tcPr/>
          <w:p>
            <w:pPr>
              <w:pStyle w:val="Compact"/>
            </w:pPr>
            <w:r>
              <w:rPr>
                <w:lang w:val="es-ES"/>
              </w:rPr>
              <w:t xml:space="preserve">Versión</w:t>
            </w:r>
          </w:p>
        </w:tc>
        <w:tc>
          <w:tcPr/>
          <w:p>
            <w:pPr>
              <w:pStyle w:val="Compact"/>
            </w:pPr>
            <w:r>
              <w:rPr>
                <w:lang w:val="es-ES"/>
              </w:rPr>
              <w:t xml:space="preserve">1.0</w:t>
            </w:r>
          </w:p>
        </w:tc>
      </w:tr>
      <w:tr>
        <w:trPr>
          <w:cantSplit/>
        </w:trPr>
        <w:tc>
          <w:tcPr/>
          <w:p>
            <w:pPr>
              <w:pStyle w:val="Compact"/>
            </w:pPr>
            <w:r>
              <w:rPr>
                <w:lang w:val="es-ES"/>
              </w:rPr>
              <w:t xml:space="preserve">Fecha</w:t>
            </w:r>
          </w:p>
        </w:tc>
        <w:tc>
          <w:tcPr/>
          <w:p>
            <w:pPr>
              <w:pStyle w:val="Compact"/>
            </w:pPr>
            <w:r>
              <w:rPr>
                <w:lang w:val="es-ES"/>
              </w:rPr>
              <w:t xml:space="preserve">2026-07-24</w:t>
            </w:r>
          </w:p>
        </w:tc>
      </w:tr>
      <w:tr>
        <w:trPr>
          <w:cantSplit/>
        </w:trPr>
        <w:tc>
          <w:tcPr/>
          <w:p>
            <w:pPr>
              <w:pStyle w:val="Compact"/>
            </w:pPr>
            <w:r>
              <w:rPr>
                <w:lang w:val="es-ES"/>
              </w:rPr>
              <w:t xml:space="preserve">Redactor</w:t>
            </w:r>
          </w:p>
        </w:tc>
        <w:tc>
          <w:tcPr/>
          <w:p>
            <w:pPr>
              <w:pStyle w:val="Compact"/>
            </w:pPr>
            <w:r>
              <w:rPr>
                <w:lang w:val="es-ES"/>
              </w:rPr>
              <w:t xml:space="preserve">OHADJA</w:t>
            </w:r>
          </w:p>
        </w:tc>
      </w:tr>
      <w:tr>
        <w:trPr>
          <w:cantSplit/>
        </w:trPr>
        <w:tc>
          <w:tcPr/>
          <w:p>
            <w:pPr>
              <w:pStyle w:val="Compact"/>
            </w:pPr>
            <w:r>
              <w:rPr>
                <w:lang w:val="es-ES"/>
              </w:rPr>
              <w:t xml:space="preserve">Destinatario</w:t>
            </w:r>
          </w:p>
        </w:tc>
        <w:tc>
          <w:tcPr/>
          <w:p>
            <w:pPr>
              <w:pStyle w:val="Compact"/>
            </w:pPr>
            <w:r>
              <w:rPr>
                <w:lang w:val="es-ES"/>
              </w:rPr>
              <w:t xml:space="preserve">Organización del cliente (documento estándar)</w:t>
            </w:r>
          </w:p>
        </w:tc>
      </w:tr>
      <w:tr>
        <w:trPr>
          <w:cantSplit/>
        </w:trPr>
        <w:tc>
          <w:tcPr/>
          <w:p>
            <w:pPr>
              <w:pStyle w:val="Compact"/>
            </w:pPr>
            <w:r>
              <w:rPr>
                <w:lang w:val="es-ES"/>
              </w:rPr>
              <w:t xml:space="preserve">Clasificación</w:t>
            </w:r>
          </w:p>
        </w:tc>
        <w:tc>
          <w:tcPr/>
          <w:p>
            <w:pPr>
              <w:pStyle w:val="Compact"/>
            </w:pPr>
            <w:r>
              <w:rPr>
                <w:lang w:val="es-ES"/>
              </w:rPr>
              <w:t xml:space="preserve">Público: documento estándar, especificado durante cada contratación.</w:t>
            </w:r>
          </w:p>
        </w:tc>
      </w:tr>
    </w:tbl>
    <w:bookmarkStart w:id="103" w:name="Xb740074d2d8b3ab2a0aa99c5546089d0a9ea256"/>
    <w:p>
      <w:pPr>
        <w:pStyle w:val="Heading2"/>
        <w:keepNext/>
        <w:keepLines/>
      </w:pPr>
      <w:r>
        <w:rPr>
          <w:color w:val="000000"/>
          <w:lang w:val="es-ES"/>
        </w:rPr>
        <w:t xml:space="preserve">1. Principio</w:t>
      </w:r>
    </w:p>
    <w:p>
      <w:pPr>
        <w:pStyle w:val="FirstParagraph"/>
      </w:pPr>
      <w:r>
        <w:rPr>
          <w:lang w:val="es-ES"/>
        </w:rPr>
        <w:t xml:space="preserve">Los períodos de retención aplicables al </w:t>
      </w:r>
      <w:r>
        <w:rPr>
          <w:lang w:val="es-ES"/>
        </w:rPr>
        <w:t xml:space="preserve"/>
      </w:r>
      <w:r>
        <w:rPr>
          <w:b/>
          <w:bCs/>
          <w:lang w:val="es-ES"/>
        </w:rPr>
        <w:t xml:space="preserve">contenido </w:t>
      </w:r>
      <w:r>
        <w:rPr>
          <w:lang w:val="es-ES"/>
        </w:rPr>
        <w:t xml:space="preserve"/>
      </w:r>
      <w:r>
        <w:rPr>
          <w:lang w:val="es-ES"/>
        </w:rPr>
        <w:t xml:space="preserve">del Cliente se </w:t>
      </w:r>
      <w:r>
        <w:rPr>
          <w:lang w:val="es-ES"/>
        </w:rPr>
        <w:t xml:space="preserve"/>
      </w:r>
      <w:r>
        <w:rPr>
          <w:b/>
          <w:bCs/>
          <w:lang w:val="es-ES"/>
        </w:rPr>
        <w:t xml:space="preserve">pueden configurar por organización: </w:t>
      </w:r>
      <w:r>
        <w:rPr>
          <w:lang w:val="es-ES"/>
        </w:rPr>
        <w:t xml:space="preserve"/>
      </w:r>
      <w:r>
        <w:rPr>
          <w:lang w:val="es-ES"/>
        </w:rPr>
        <w:t xml:space="preserve">el Cliente, como responsable del tratamiento, mantiene el control. Las duraciones siguientes constituyen </w:t>
      </w:r>
      <w:r>
        <w:rPr>
          <w:lang w:val="es-ES"/>
        </w:rPr>
        <w:t xml:space="preserve"/>
      </w:r>
      <w:r>
        <w:rPr>
          <w:b/>
          <w:bCs/>
          <w:lang w:val="es-ES"/>
        </w:rPr>
        <w:t xml:space="preserve">los valores </w:t>
      </w:r>
      <w:r>
        <w:rPr>
          <w:lang w:val="es-ES"/>
        </w:rPr>
        <w:t xml:space="preserve">predeterminados </w:t>
      </w:r>
      <w:r>
        <w:rPr>
          <w:lang w:val="es-ES"/>
        </w:rPr>
        <w:t xml:space="preserve"/>
      </w:r>
      <w:r>
        <w:rPr>
          <w:lang w:val="es-ES"/>
        </w:rPr>
        <w:t xml:space="preserve"/>
      </w:r>
      <w:r>
        <w:rPr>
          <w:b/>
          <w:bCs/>
          <w:lang w:val="es-ES"/>
        </w:rPr>
        <w:t xml:space="preserve">y los límites técnicos </w:t>
      </w:r>
      <w:r>
        <w:rPr>
          <w:lang w:val="es-ES"/>
        </w:rPr>
        <w:t xml:space="preserve"/>
      </w:r>
      <w:r>
        <w:rPr>
          <w:lang w:val="es-ES"/>
        </w:rPr>
        <w:t xml:space="preserve">aplicados por la plataforma. Ciertas duraciones (registros, copias de seguridad) cumplen con los requisitos de seguridad y prueba y se rigen por máximos.</w:t>
      </w:r>
    </w:p>
    <w:bookmarkEnd w:id="103"/>
    <w:bookmarkStart w:id="104" w:name="Xd608f4a84f7477e85b8d19a34807e655aa9cf03"/>
    <w:p>
      <w:pPr>
        <w:pStyle w:val="Heading2"/>
        <w:keepNext/>
        <w:keepLines/>
      </w:pPr>
      <w:r>
        <w:rPr>
          <w:color w:val="000000"/>
          <w:lang w:val="es-ES"/>
        </w:rPr>
        <w:t xml:space="preserve">2. Matriz de vida útil</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s-ES"/>
              </w:rPr>
              <w:t xml:space="preserve">Categoría</w:t>
            </w:r>
          </w:p>
        </w:tc>
        <w:tc>
          <w:tcPr>
            <w:tcW w:type="dxa" w:w="1872"/>
            <w:tcMar>
              <w:left w:type="dxa" w:w="80"/>
              <w:right w:type="dxa" w:w="80"/>
            </w:tcMar>
          </w:tcPr>
          <w:p>
            <w:pPr>
              <w:pStyle w:val="Compact"/>
            </w:pPr>
            <w:r>
              <w:rPr>
                <w:sz w:val="19"/>
                <w:szCs w:val="19"/>
                <w:lang w:val="es-ES"/>
              </w:rPr>
              <w:t xml:space="preserve">Valor predeterminado</w:t>
            </w:r>
          </w:p>
        </w:tc>
        <w:tc>
          <w:tcPr>
            <w:tcW w:type="dxa" w:w="1872"/>
            <w:tcMar>
              <w:left w:type="dxa" w:w="80"/>
              <w:right w:type="dxa" w:w="80"/>
            </w:tcMar>
          </w:tcPr>
          <w:p>
            <w:pPr>
              <w:pStyle w:val="Compact"/>
            </w:pPr>
            <w:r>
              <w:rPr>
                <w:sz w:val="19"/>
                <w:szCs w:val="19"/>
                <w:lang w:val="es-ES"/>
              </w:rPr>
              <w:t xml:space="preserve">Configurable por la organización</w:t>
            </w:r>
          </w:p>
        </w:tc>
        <w:tc>
          <w:tcPr>
            <w:tcW w:type="dxa" w:w="1872"/>
            <w:tcMar>
              <w:left w:type="dxa" w:w="80"/>
              <w:right w:type="dxa" w:w="80"/>
            </w:tcMar>
          </w:tcPr>
          <w:p>
            <w:pPr>
              <w:pStyle w:val="Compact"/>
            </w:pPr>
            <w:r>
              <w:rPr>
                <w:sz w:val="19"/>
                <w:szCs w:val="19"/>
                <w:lang w:val="es-ES"/>
              </w:rPr>
              <w:t xml:space="preserve">Comportamiento al vencer el plazo de conservación</w:t>
            </w:r>
          </w:p>
        </w:tc>
        <w:tc>
          <w:tcPr>
            <w:tcW w:type="dxa" w:w="1872"/>
            <w:tcMar>
              <w:left w:type="dxa" w:w="80"/>
              <w:right w:type="dxa" w:w="80"/>
            </w:tcMar>
          </w:tcPr>
          <w:p>
            <w:pPr>
              <w:pStyle w:val="Compact"/>
            </w:pPr>
            <w:r>
              <w:rPr>
                <w:sz w:val="19"/>
                <w:szCs w:val="19"/>
                <w:lang w:val="es-ES"/>
              </w:rPr>
              <w:t xml:space="preserve">Modo</w:t>
            </w:r>
          </w:p>
        </w:tc>
      </w:tr>
      <w:tr>
        <w:trPr>
          <w:cantSplit/>
        </w:trPr>
        <w:tc>
          <w:tcPr>
            <w:tcW w:type="dxa" w:w="1872"/>
            <w:tcMar>
              <w:left w:type="dxa" w:w="80"/>
              <w:right w:type="dxa" w:w="80"/>
            </w:tcMar>
          </w:tcPr>
          <w:p>
            <w:pPr>
              <w:pStyle w:val="Compact"/>
            </w:pPr>
            <w:r>
              <w:rPr>
                <w:sz w:val="19"/>
                <w:szCs w:val="19"/>
                <w:lang w:val="es-ES"/>
              </w:rPr>
              <w:t xml:space="preserve">Cuentas de usuario activas</w:t>
            </w:r>
          </w:p>
        </w:tc>
        <w:tc>
          <w:tcPr>
            <w:tcW w:type="dxa" w:w="1872"/>
            <w:tcMar>
              <w:left w:type="dxa" w:w="80"/>
              <w:right w:type="dxa" w:w="80"/>
            </w:tcMar>
          </w:tcPr>
          <w:p>
            <w:pPr>
              <w:pStyle w:val="Compact"/>
            </w:pPr>
            <w:r>
              <w:rPr>
                <w:sz w:val="19"/>
                <w:szCs w:val="19"/>
                <w:lang w:val="es-ES"/>
              </w:rPr>
              <w:t xml:space="preserve">Duración de la cuenta y contrato</w:t>
            </w:r>
          </w:p>
        </w:tc>
        <w:tc>
          <w:tcPr>
            <w:tcW w:type="dxa" w:w="1872"/>
            <w:tcMar>
              <w:left w:type="dxa" w:w="80"/>
              <w:right w:type="dxa" w:w="80"/>
            </w:tcMar>
          </w:tcPr>
          <w:p>
            <w:pPr>
              <w:pStyle w:val="Compact"/>
            </w:pPr>
            <w:r>
              <w:rPr>
                <w:sz w:val="19"/>
                <w:szCs w:val="19"/>
                <w:lang w:val="es-ES"/>
              </w:rPr>
              <w:t xml:space="preserve">No (relacionado con el ciclo de vida de la cuenta)</w:t>
            </w:r>
          </w:p>
        </w:tc>
        <w:tc>
          <w:tcPr>
            <w:tcW w:type="dxa" w:w="1872"/>
            <w:tcMar>
              <w:left w:type="dxa" w:w="80"/>
              <w:right w:type="dxa" w:w="80"/>
            </w:tcMar>
          </w:tcPr>
          <w:p>
            <w:pPr>
              <w:pStyle w:val="Compact"/>
            </w:pPr>
            <w:r>
              <w:rPr>
                <w:sz w:val="19"/>
                <w:szCs w:val="19"/>
                <w:lang w:val="es-ES"/>
              </w:rPr>
              <w:t xml:space="preserve">Mantenido como activo</w:t>
            </w:r>
          </w:p>
        </w:tc>
        <w:tc>
          <w:tcPr>
            <w:tcW w:type="dxa" w:w="1872"/>
            <w:tcMar>
              <w:left w:type="dxa" w:w="80"/>
              <w:right w:type="dxa" w:w="80"/>
            </w:tcMar>
          </w:tcPr>
          <w:p>
            <w:pPr>
              <w:pStyle w:val="Compact"/>
            </w:pPr>
            <w:r>
              <w:rPr>
                <w:sz w:val="19"/>
                <w:szCs w:val="19"/>
                <w:lang w:val="es-ES"/>
              </w:rPr>
              <w:t xml:space="preserve">A / B</w:t>
            </w:r>
          </w:p>
        </w:tc>
      </w:tr>
      <w:tr>
        <w:trPr>
          <w:cantSplit/>
        </w:trPr>
        <w:tc>
          <w:tcPr>
            <w:tcW w:type="dxa" w:w="1872"/>
            <w:tcMar>
              <w:left w:type="dxa" w:w="80"/>
              <w:right w:type="dxa" w:w="80"/>
            </w:tcMar>
          </w:tcPr>
          <w:p>
            <w:pPr>
              <w:pStyle w:val="Compact"/>
            </w:pPr>
            <w:r>
              <w:rPr>
                <w:sz w:val="19"/>
                <w:szCs w:val="19"/>
                <w:lang w:val="es-ES"/>
              </w:rPr>
              <w:t xml:space="preserve">Cuentas de usuario deshabilitadas</w:t>
            </w:r>
          </w:p>
        </w:tc>
        <w:tc>
          <w:tcPr>
            <w:tcW w:type="dxa" w:w="1872"/>
            <w:tcMar>
              <w:left w:type="dxa" w:w="80"/>
              <w:right w:type="dxa" w:w="80"/>
            </w:tcMar>
          </w:tcPr>
          <w:p>
            <w:pPr>
              <w:pStyle w:val="Compact"/>
            </w:pPr>
            <w:r>
              <w:rPr>
                <w:sz w:val="19"/>
                <w:szCs w:val="19"/>
                <w:lang w:val="es-ES"/>
              </w:rPr>
              <w:t xml:space="preserve">Eliminación/anonimización según instrucciones; en caso contrario, fin del contrato</w:t>
            </w:r>
          </w:p>
        </w:tc>
        <w:tc>
          <w:tcPr>
            <w:tcW w:type="dxa" w:w="1872"/>
            <w:tcMar>
              <w:left w:type="dxa" w:w="80"/>
              <w:right w:type="dxa" w:w="80"/>
            </w:tcMar>
          </w:tcPr>
          <w:p>
            <w:pPr>
              <w:pStyle w:val="Compact"/>
            </w:pPr>
            <w:r>
              <w:rPr>
                <w:sz w:val="19"/>
                <w:szCs w:val="19"/>
                <w:lang w:val="es-ES"/>
              </w:rPr>
              <w:t xml:space="preserve">Sí (instrucción del cliente)</w:t>
            </w:r>
          </w:p>
        </w:tc>
        <w:tc>
          <w:tcPr>
            <w:tcW w:type="dxa" w:w="1872"/>
            <w:tcMar>
              <w:left w:type="dxa" w:w="80"/>
              <w:right w:type="dxa" w:w="80"/>
            </w:tcMar>
          </w:tcPr>
          <w:p>
            <w:pPr>
              <w:pStyle w:val="Compact"/>
            </w:pPr>
            <w:r>
              <w:rPr>
                <w:sz w:val="19"/>
                <w:szCs w:val="19"/>
                <w:lang w:val="es-ES"/>
              </w:rPr>
              <w:t xml:space="preserve">Eliminado o anonimizado</w:t>
            </w:r>
          </w:p>
        </w:tc>
        <w:tc>
          <w:tcPr>
            <w:tcW w:type="dxa" w:w="1872"/>
            <w:tcMar>
              <w:left w:type="dxa" w:w="80"/>
              <w:right w:type="dxa" w:w="80"/>
            </w:tcMar>
          </w:tcPr>
          <w:p>
            <w:pPr>
              <w:pStyle w:val="Compact"/>
            </w:pPr>
            <w:r>
              <w:rPr>
                <w:sz w:val="19"/>
                <w:szCs w:val="19"/>
                <w:lang w:val="es-ES"/>
              </w:rPr>
              <w:t xml:space="preserve">A / B</w:t>
            </w:r>
          </w:p>
        </w:tc>
      </w:tr>
      <w:tr>
        <w:trPr>
          <w:cantSplit/>
        </w:trPr>
        <w:tc>
          <w:tcPr>
            <w:tcW w:type="dxa" w:w="1872"/>
            <w:tcMar>
              <w:left w:type="dxa" w:w="80"/>
              <w:right w:type="dxa" w:w="80"/>
            </w:tcMar>
          </w:tcPr>
          <w:p>
            <w:pPr>
              <w:pStyle w:val="Compact"/>
            </w:pPr>
            <w:r>
              <w:rPr>
                <w:sz w:val="19"/>
                <w:szCs w:val="19"/>
                <w:lang w:val="es-ES"/>
              </w:rPr>
              <w:t xml:space="preserve">Archivos de audio</w:t>
            </w:r>
          </w:p>
        </w:tc>
        <w:tc>
          <w:tcPr>
            <w:tcW w:type="dxa" w:w="1872"/>
            <w:tcMar>
              <w:left w:type="dxa" w:w="80"/>
              <w:right w:type="dxa" w:w="80"/>
            </w:tcMar>
          </w:tcPr>
          <w:p>
            <w:pPr>
              <w:pStyle w:val="Compact"/>
            </w:pPr>
            <w:r>
              <w:rPr>
                <w:sz w:val="19"/>
                <w:szCs w:val="19"/>
                <w:lang w:val="es-ES"/>
              </w:rPr>
              <w:t xml:space="preserve">Duración configurada; en caso contrario duración del contrato</w:t>
            </w:r>
          </w:p>
        </w:tc>
        <w:tc>
          <w:tcPr>
            <w:tcW w:type="dxa" w:w="1872"/>
            <w:tcMar>
              <w:left w:type="dxa" w:w="80"/>
              <w:right w:type="dxa" w:w="80"/>
            </w:tcMar>
          </w:tcPr>
          <w:p>
            <w:pPr>
              <w:pStyle w:val="Compact"/>
            </w:pPr>
            <w:r>
              <w:rPr>
                <w:b/>
                <w:bCs/>
                <w:sz w:val="19"/>
                <w:szCs w:val="19"/>
                <w:lang w:val="es-ES"/>
              </w:rPr>
              <w:t xml:space="preserve">Sí</w:t>
            </w:r>
          </w:p>
        </w:tc>
        <w:tc>
          <w:tcPr>
            <w:tcW w:type="dxa" w:w="1872"/>
            <w:tcMar>
              <w:left w:type="dxa" w:w="80"/>
              <w:right w:type="dxa" w:w="80"/>
            </w:tcMar>
          </w:tcPr>
          <w:p>
            <w:pPr>
              <w:pStyle w:val="Compact"/>
            </w:pPr>
            <w:r>
              <w:rPr>
                <w:sz w:val="19"/>
                <w:szCs w:val="19"/>
                <w:lang w:val="es-ES"/>
              </w:rPr>
              <w:t xml:space="preserve">Eliminación</w:t>
            </w:r>
          </w:p>
        </w:tc>
        <w:tc>
          <w:tcPr>
            <w:tcW w:type="dxa" w:w="1872"/>
            <w:tcMar>
              <w:left w:type="dxa" w:w="80"/>
              <w:right w:type="dxa" w:w="80"/>
            </w:tcMar>
          </w:tcPr>
          <w:p>
            <w:pPr>
              <w:pStyle w:val="Compact"/>
            </w:pPr>
            <w:r>
              <w:rPr>
                <w:sz w:val="19"/>
                <w:szCs w:val="19"/>
                <w:lang w:val="es-ES"/>
              </w:rPr>
              <w:t xml:space="preserve">A / B</w:t>
            </w:r>
          </w:p>
        </w:tc>
      </w:tr>
      <w:tr>
        <w:trPr>
          <w:cantSplit/>
        </w:trPr>
        <w:tc>
          <w:tcPr>
            <w:tcW w:type="dxa" w:w="1872"/>
            <w:tcMar>
              <w:left w:type="dxa" w:w="80"/>
              <w:right w:type="dxa" w:w="80"/>
            </w:tcMar>
          </w:tcPr>
          <w:p>
            <w:pPr>
              <w:pStyle w:val="Compact"/>
            </w:pPr>
            <w:r>
              <w:rPr>
                <w:sz w:val="19"/>
                <w:szCs w:val="19"/>
                <w:lang w:val="es-ES"/>
              </w:rPr>
              <w:t xml:space="preserve">Transcripciones y versiones</w:t>
            </w:r>
          </w:p>
        </w:tc>
        <w:tc>
          <w:tcPr>
            <w:tcW w:type="dxa" w:w="1872"/>
            <w:tcMar>
              <w:left w:type="dxa" w:w="80"/>
              <w:right w:type="dxa" w:w="80"/>
            </w:tcMar>
          </w:tcPr>
          <w:p>
            <w:pPr>
              <w:pStyle w:val="Compact"/>
            </w:pPr>
            <w:r>
              <w:rPr>
                <w:sz w:val="19"/>
                <w:szCs w:val="19"/>
                <w:lang w:val="es-ES"/>
              </w:rPr>
              <w:t xml:space="preserve">Duración configurada; en caso contrario duración del contrato</w:t>
            </w:r>
          </w:p>
        </w:tc>
        <w:tc>
          <w:tcPr>
            <w:tcW w:type="dxa" w:w="1872"/>
            <w:tcMar>
              <w:left w:type="dxa" w:w="80"/>
              <w:right w:type="dxa" w:w="80"/>
            </w:tcMar>
          </w:tcPr>
          <w:p>
            <w:pPr>
              <w:pStyle w:val="Compact"/>
            </w:pPr>
            <w:r>
              <w:rPr>
                <w:b/>
                <w:bCs/>
                <w:sz w:val="19"/>
                <w:szCs w:val="19"/>
                <w:lang w:val="es-ES"/>
              </w:rPr>
              <w:t xml:space="preserve">Sí</w:t>
            </w:r>
          </w:p>
        </w:tc>
        <w:tc>
          <w:tcPr>
            <w:tcW w:type="dxa" w:w="1872"/>
            <w:tcMar>
              <w:left w:type="dxa" w:w="80"/>
              <w:right w:type="dxa" w:w="80"/>
            </w:tcMar>
          </w:tcPr>
          <w:p>
            <w:pPr>
              <w:pStyle w:val="Compact"/>
            </w:pPr>
            <w:r>
              <w:rPr>
                <w:sz w:val="19"/>
                <w:szCs w:val="19"/>
                <w:lang w:val="es-ES"/>
              </w:rPr>
              <w:t xml:space="preserve">Eliminación</w:t>
            </w:r>
          </w:p>
        </w:tc>
        <w:tc>
          <w:tcPr>
            <w:tcW w:type="dxa" w:w="1872"/>
            <w:tcMar>
              <w:left w:type="dxa" w:w="80"/>
              <w:right w:type="dxa" w:w="80"/>
            </w:tcMar>
          </w:tcPr>
          <w:p>
            <w:pPr>
              <w:pStyle w:val="Compact"/>
            </w:pPr>
            <w:r>
              <w:rPr>
                <w:sz w:val="19"/>
                <w:szCs w:val="19"/>
                <w:lang w:val="es-ES"/>
              </w:rPr>
              <w:t xml:space="preserve">A / B</w:t>
            </w:r>
          </w:p>
        </w:tc>
      </w:tr>
      <w:tr>
        <w:trPr>
          <w:cantSplit/>
        </w:trPr>
        <w:tc>
          <w:tcPr>
            <w:tcW w:type="dxa" w:w="1872"/>
            <w:tcMar>
              <w:left w:type="dxa" w:w="80"/>
              <w:right w:type="dxa" w:w="80"/>
            </w:tcMar>
          </w:tcPr>
          <w:p>
            <w:pPr>
              <w:pStyle w:val="Compact"/>
            </w:pPr>
            <w:r>
              <w:rPr>
                <w:sz w:val="19"/>
                <w:szCs w:val="19"/>
                <w:lang w:val="es-ES"/>
              </w:rPr>
              <w:t xml:space="preserve">Documentos preparatorios</w:t>
            </w:r>
          </w:p>
        </w:tc>
        <w:tc>
          <w:tcPr>
            <w:tcW w:type="dxa" w:w="1872"/>
            <w:tcMar>
              <w:left w:type="dxa" w:w="80"/>
              <w:right w:type="dxa" w:w="80"/>
            </w:tcMar>
          </w:tcPr>
          <w:p>
            <w:pPr>
              <w:pStyle w:val="Compact"/>
            </w:pPr>
            <w:r>
              <w:rPr>
                <w:sz w:val="19"/>
                <w:szCs w:val="19"/>
                <w:lang w:val="es-ES"/>
              </w:rPr>
              <w:t xml:space="preserve">Duración configurada; en caso contrario duración del contrato</w:t>
            </w:r>
          </w:p>
        </w:tc>
        <w:tc>
          <w:tcPr>
            <w:tcW w:type="dxa" w:w="1872"/>
            <w:tcMar>
              <w:left w:type="dxa" w:w="80"/>
              <w:right w:type="dxa" w:w="80"/>
            </w:tcMar>
          </w:tcPr>
          <w:p>
            <w:pPr>
              <w:pStyle w:val="Compact"/>
            </w:pPr>
            <w:r>
              <w:rPr>
                <w:b/>
                <w:bCs/>
                <w:sz w:val="19"/>
                <w:szCs w:val="19"/>
                <w:lang w:val="es-ES"/>
              </w:rPr>
              <w:t xml:space="preserve">Sí</w:t>
            </w:r>
          </w:p>
        </w:tc>
        <w:tc>
          <w:tcPr>
            <w:tcW w:type="dxa" w:w="1872"/>
            <w:tcMar>
              <w:left w:type="dxa" w:w="80"/>
              <w:right w:type="dxa" w:w="80"/>
            </w:tcMar>
          </w:tcPr>
          <w:p>
            <w:pPr>
              <w:pStyle w:val="Compact"/>
            </w:pPr>
            <w:r>
              <w:rPr>
                <w:sz w:val="19"/>
                <w:szCs w:val="19"/>
                <w:lang w:val="es-ES"/>
              </w:rPr>
              <w:t xml:space="preserve">Eliminación</w:t>
            </w:r>
          </w:p>
        </w:tc>
        <w:tc>
          <w:tcPr>
            <w:tcW w:type="dxa" w:w="1872"/>
            <w:tcMar>
              <w:left w:type="dxa" w:w="80"/>
              <w:right w:type="dxa" w:w="80"/>
            </w:tcMar>
          </w:tcPr>
          <w:p>
            <w:pPr>
              <w:pStyle w:val="Compact"/>
            </w:pPr>
            <w:r>
              <w:rPr>
                <w:sz w:val="19"/>
                <w:szCs w:val="19"/>
                <w:lang w:val="es-ES"/>
              </w:rPr>
              <w:t xml:space="preserve">A / B</w:t>
            </w:r>
          </w:p>
        </w:tc>
      </w:tr>
      <w:tr>
        <w:trPr>
          <w:cantSplit/>
        </w:trPr>
        <w:tc>
          <w:tcPr>
            <w:tcW w:type="dxa" w:w="1872"/>
            <w:tcMar>
              <w:left w:type="dxa" w:w="80"/>
              <w:right w:type="dxa" w:w="80"/>
            </w:tcMar>
          </w:tcPr>
          <w:p>
            <w:pPr>
              <w:pStyle w:val="Compact"/>
            </w:pPr>
            <w:r>
              <w:rPr>
                <w:sz w:val="19"/>
                <w:szCs w:val="19"/>
                <w:lang w:val="es-ES"/>
              </w:rPr>
              <w:t xml:space="preserve">Generaciones y exportaciones de IA</w:t>
            </w:r>
          </w:p>
        </w:tc>
        <w:tc>
          <w:tcPr>
            <w:tcW w:type="dxa" w:w="1872"/>
            <w:tcMar>
              <w:left w:type="dxa" w:w="80"/>
              <w:right w:type="dxa" w:w="80"/>
            </w:tcMar>
          </w:tcPr>
          <w:p>
            <w:pPr>
              <w:pStyle w:val="Compact"/>
            </w:pPr>
            <w:r>
              <w:rPr>
                <w:sz w:val="19"/>
                <w:szCs w:val="19"/>
                <w:lang w:val="es-ES"/>
              </w:rPr>
              <w:t xml:space="preserve">Duración configurada; en caso contrario duración del contrato</w:t>
            </w:r>
          </w:p>
        </w:tc>
        <w:tc>
          <w:tcPr>
            <w:tcW w:type="dxa" w:w="1872"/>
            <w:tcMar>
              <w:left w:type="dxa" w:w="80"/>
              <w:right w:type="dxa" w:w="80"/>
            </w:tcMar>
          </w:tcPr>
          <w:p>
            <w:pPr>
              <w:pStyle w:val="Compact"/>
            </w:pPr>
            <w:r>
              <w:rPr>
                <w:b/>
                <w:bCs/>
                <w:sz w:val="19"/>
                <w:szCs w:val="19"/>
                <w:lang w:val="es-ES"/>
              </w:rPr>
              <w:t xml:space="preserve">Sí</w:t>
            </w:r>
          </w:p>
        </w:tc>
        <w:tc>
          <w:tcPr>
            <w:tcW w:type="dxa" w:w="1872"/>
            <w:tcMar>
              <w:left w:type="dxa" w:w="80"/>
              <w:right w:type="dxa" w:w="80"/>
            </w:tcMar>
          </w:tcPr>
          <w:p>
            <w:pPr>
              <w:pStyle w:val="Compact"/>
            </w:pPr>
            <w:r>
              <w:rPr>
                <w:sz w:val="19"/>
                <w:szCs w:val="19"/>
                <w:lang w:val="es-ES"/>
              </w:rPr>
              <w:t xml:space="preserve">Eliminación</w:t>
            </w:r>
          </w:p>
        </w:tc>
        <w:tc>
          <w:tcPr>
            <w:tcW w:type="dxa" w:w="1872"/>
            <w:tcMar>
              <w:left w:type="dxa" w:w="80"/>
              <w:right w:type="dxa" w:w="80"/>
            </w:tcMar>
          </w:tcPr>
          <w:p>
            <w:pPr>
              <w:pStyle w:val="Compact"/>
            </w:pPr>
            <w:r>
              <w:rPr>
                <w:sz w:val="19"/>
                <w:szCs w:val="19"/>
                <w:lang w:val="es-ES"/>
              </w:rPr>
              <w:t xml:space="preserve">A / B</w:t>
            </w:r>
          </w:p>
        </w:tc>
      </w:tr>
      <w:tr>
        <w:trPr>
          <w:cantSplit/>
        </w:trPr>
        <w:tc>
          <w:tcPr>
            <w:tcW w:type="dxa" w:w="1872"/>
            <w:tcMar>
              <w:left w:type="dxa" w:w="80"/>
              <w:right w:type="dxa" w:w="80"/>
            </w:tcMar>
          </w:tcPr>
          <w:p>
            <w:pPr>
              <w:pStyle w:val="Compact"/>
            </w:pPr>
            <w:r>
              <w:rPr>
                <w:sz w:val="19"/>
                <w:szCs w:val="19"/>
                <w:lang w:val="es-ES"/>
              </w:rPr>
              <w:t xml:space="preserve">Registros de auditoría de aplicaciones</w:t>
            </w:r>
          </w:p>
        </w:tc>
        <w:tc>
          <w:tcPr>
            <w:tcW w:type="dxa" w:w="1872"/>
            <w:tcMar>
              <w:left w:type="dxa" w:w="80"/>
              <w:right w:type="dxa" w:w="80"/>
            </w:tcMar>
          </w:tcPr>
          <w:p>
            <w:pPr>
              <w:pStyle w:val="Compact"/>
            </w:pPr>
            <w:r>
              <w:rPr>
                <w:b/>
                <w:bCs/>
                <w:sz w:val="19"/>
                <w:szCs w:val="19"/>
                <w:lang w:val="es-ES"/>
              </w:rPr>
              <w:t xml:space="preserve">≤ 12 meses</w:t>
            </w:r>
          </w:p>
        </w:tc>
        <w:tc>
          <w:tcPr>
            <w:tcW w:type="dxa" w:w="1872"/>
            <w:tcMar>
              <w:left w:type="dxa" w:w="80"/>
              <w:right w:type="dxa" w:w="80"/>
            </w:tcMar>
          </w:tcPr>
          <w:p>
            <w:pPr>
              <w:pStyle w:val="Compact"/>
            </w:pPr>
            <w:r>
              <w:rPr>
                <w:sz w:val="19"/>
                <w:szCs w:val="19"/>
                <w:lang w:val="es-ES"/>
              </w:rPr>
              <w:t xml:space="preserve">Dentro del límite del techo</w:t>
            </w:r>
          </w:p>
        </w:tc>
        <w:tc>
          <w:tcPr>
            <w:tcW w:type="dxa" w:w="1872"/>
            <w:tcMar>
              <w:left w:type="dxa" w:w="80"/>
              <w:right w:type="dxa" w:w="80"/>
            </w:tcMar>
          </w:tcPr>
          <w:p>
            <w:pPr>
              <w:pStyle w:val="Compact"/>
            </w:pPr>
            <w:r>
              <w:rPr>
                <w:sz w:val="19"/>
                <w:szCs w:val="19"/>
                <w:lang w:val="es-ES"/>
              </w:rPr>
              <w:t xml:space="preserve">purga</w:t>
            </w:r>
          </w:p>
        </w:tc>
        <w:tc>
          <w:tcPr>
            <w:tcW w:type="dxa" w:w="1872"/>
            <w:tcMar>
              <w:left w:type="dxa" w:w="80"/>
              <w:right w:type="dxa" w:w="80"/>
            </w:tcMar>
          </w:tcPr>
          <w:p>
            <w:pPr>
              <w:pStyle w:val="Compact"/>
            </w:pPr>
            <w:r>
              <w:rPr>
                <w:sz w:val="19"/>
                <w:szCs w:val="19"/>
                <w:lang w:val="es-ES"/>
              </w:rPr>
              <w:t xml:space="preserve">A / B</w:t>
            </w:r>
          </w:p>
        </w:tc>
      </w:tr>
      <w:tr>
        <w:trPr>
          <w:cantSplit/>
        </w:trPr>
        <w:tc>
          <w:tcPr>
            <w:tcW w:type="dxa" w:w="1872"/>
            <w:tcMar>
              <w:left w:type="dxa" w:w="80"/>
              <w:right w:type="dxa" w:w="80"/>
            </w:tcMar>
          </w:tcPr>
          <w:p>
            <w:pPr>
              <w:pStyle w:val="Compact"/>
            </w:pPr>
            <w:r>
              <w:rPr>
                <w:sz w:val="19"/>
                <w:szCs w:val="19"/>
                <w:lang w:val="es-ES"/>
              </w:rPr>
              <w:t xml:space="preserve">Registros técnicos</w:t>
            </w:r>
          </w:p>
        </w:tc>
        <w:tc>
          <w:tcPr>
            <w:tcW w:type="dxa" w:w="1872"/>
            <w:tcMar>
              <w:left w:type="dxa" w:w="80"/>
              <w:right w:type="dxa" w:w="80"/>
            </w:tcMar>
          </w:tcPr>
          <w:p>
            <w:pPr>
              <w:pStyle w:val="Compact"/>
            </w:pPr>
            <w:r>
              <w:rPr>
                <w:b/>
                <w:bCs/>
                <w:sz w:val="19"/>
                <w:szCs w:val="19"/>
                <w:lang w:val="es-ES"/>
              </w:rPr>
              <w:t xml:space="preserve">~90 días</w:t>
            </w:r>
          </w:p>
        </w:tc>
        <w:tc>
          <w:tcPr>
            <w:tcW w:type="dxa" w:w="1872"/>
            <w:tcMar>
              <w:left w:type="dxa" w:w="80"/>
              <w:right w:type="dxa" w:w="80"/>
            </w:tcMar>
          </w:tcPr>
          <w:p>
            <w:pPr>
              <w:pStyle w:val="Compact"/>
            </w:pPr>
            <w:r>
              <w:rPr>
                <w:sz w:val="19"/>
                <w:szCs w:val="19"/>
                <w:lang w:val="es-ES"/>
              </w:rPr>
              <w:t xml:space="preserve">Dentro del límite del techo</w:t>
            </w:r>
          </w:p>
        </w:tc>
        <w:tc>
          <w:tcPr>
            <w:tcW w:type="dxa" w:w="1872"/>
            <w:tcMar>
              <w:left w:type="dxa" w:w="80"/>
              <w:right w:type="dxa" w:w="80"/>
            </w:tcMar>
          </w:tcPr>
          <w:p>
            <w:pPr>
              <w:pStyle w:val="Compact"/>
            </w:pPr>
            <w:r>
              <w:rPr>
                <w:sz w:val="19"/>
                <w:szCs w:val="19"/>
                <w:lang w:val="es-ES"/>
              </w:rPr>
              <w:t xml:space="preserve">purga</w:t>
            </w:r>
          </w:p>
        </w:tc>
        <w:tc>
          <w:tcPr>
            <w:tcW w:type="dxa" w:w="1872"/>
            <w:tcMar>
              <w:left w:type="dxa" w:w="80"/>
              <w:right w:type="dxa" w:w="80"/>
            </w:tcMar>
          </w:tcPr>
          <w:p>
            <w:pPr>
              <w:pStyle w:val="Compact"/>
            </w:pPr>
            <w:r>
              <w:rPr>
                <w:sz w:val="19"/>
                <w:szCs w:val="19"/>
                <w:lang w:val="es-ES"/>
              </w:rPr>
              <w:t xml:space="preserve">A / B</w:t>
            </w:r>
          </w:p>
        </w:tc>
      </w:tr>
      <w:tr>
        <w:trPr>
          <w:cantSplit/>
        </w:trPr>
        <w:tc>
          <w:tcPr>
            <w:tcW w:type="dxa" w:w="1872"/>
            <w:tcMar>
              <w:left w:type="dxa" w:w="80"/>
              <w:right w:type="dxa" w:w="80"/>
            </w:tcMar>
          </w:tcPr>
          <w:p>
            <w:pPr>
              <w:pStyle w:val="Compact"/>
            </w:pPr>
            <w:r>
              <w:rPr>
                <w:sz w:val="19"/>
                <w:szCs w:val="19"/>
                <w:lang w:val="es-ES"/>
              </w:rPr>
              <w:t xml:space="preserve">Copias de seguridad</w:t>
            </w:r>
          </w:p>
        </w:tc>
        <w:tc>
          <w:tcPr>
            <w:tcW w:type="dxa" w:w="1872"/>
            <w:tcMar>
              <w:left w:type="dxa" w:w="80"/>
              <w:right w:type="dxa" w:w="80"/>
            </w:tcMar>
          </w:tcPr>
          <w:p>
            <w:pPr>
              <w:pStyle w:val="Compact"/>
            </w:pPr>
            <w:r>
              <w:rPr>
                <w:b/>
                <w:bCs/>
                <w:sz w:val="19"/>
                <w:szCs w:val="19"/>
                <w:lang w:val="es-ES"/>
              </w:rPr>
              <w:t xml:space="preserve">≤ 90 días </w:t>
            </w:r>
            <w:r>
              <w:rPr>
                <w:sz w:val="19"/>
                <w:szCs w:val="19"/>
                <w:lang w:val="es-ES"/>
              </w:rPr>
              <w:t xml:space="preserve"/>
            </w:r>
            <w:r>
              <w:rPr>
                <w:sz w:val="19"/>
                <w:szCs w:val="19"/>
                <w:lang w:val="es-ES"/>
              </w:rPr>
              <w:t xml:space="preserve">(rotación); 30 días por organización</w:t>
            </w:r>
          </w:p>
        </w:tc>
        <w:tc>
          <w:tcPr>
            <w:tcW w:type="dxa" w:w="1872"/>
            <w:tcMar>
              <w:left w:type="dxa" w:w="80"/>
              <w:right w:type="dxa" w:w="80"/>
            </w:tcMar>
          </w:tcPr>
          <w:p>
            <w:pPr>
              <w:pStyle w:val="Compact"/>
            </w:pPr>
            <w:r>
              <w:rPr>
                <w:sz w:val="19"/>
                <w:szCs w:val="19"/>
                <w:lang w:val="es-ES"/>
              </w:rPr>
              <w:t xml:space="preserve">No (ciclo de seguridad)</w:t>
            </w:r>
          </w:p>
        </w:tc>
        <w:tc>
          <w:tcPr>
            <w:tcW w:type="dxa" w:w="1872"/>
            <w:tcMar>
              <w:left w:type="dxa" w:w="80"/>
              <w:right w:type="dxa" w:w="80"/>
            </w:tcMar>
          </w:tcPr>
          <w:p>
            <w:pPr>
              <w:pStyle w:val="Compact"/>
            </w:pPr>
            <w:r>
              <w:rPr>
                <w:sz w:val="19"/>
                <w:szCs w:val="19"/>
                <w:lang w:val="es-ES"/>
              </w:rPr>
              <w:t xml:space="preserve">Purga de giro</w:t>
            </w:r>
          </w:p>
        </w:tc>
        <w:tc>
          <w:tcPr>
            <w:tcW w:type="dxa" w:w="1872"/>
            <w:tcMar>
              <w:left w:type="dxa" w:w="80"/>
              <w:right w:type="dxa" w:w="80"/>
            </w:tcMar>
          </w:tcPr>
          <w:p>
            <w:pPr>
              <w:pStyle w:val="Compact"/>
            </w:pPr>
            <w:r>
              <w:rPr>
                <w:sz w:val="19"/>
                <w:szCs w:val="19"/>
                <w:lang w:val="es-ES"/>
              </w:rPr>
              <w:t xml:space="preserve">A (B: infraestructura del cliente)</w:t>
            </w:r>
          </w:p>
        </w:tc>
      </w:tr>
      <w:tr>
        <w:trPr>
          <w:cantSplit/>
        </w:trPr>
        <w:tc>
          <w:tcPr>
            <w:tcW w:type="dxa" w:w="1872"/>
            <w:tcMar>
              <w:left w:type="dxa" w:w="80"/>
              <w:right w:type="dxa" w:w="80"/>
            </w:tcMar>
          </w:tcPr>
          <w:p>
            <w:pPr>
              <w:pStyle w:val="Compact"/>
            </w:pPr>
            <w:r>
              <w:rPr>
                <w:sz w:val="19"/>
                <w:szCs w:val="19"/>
                <w:lang w:val="es-ES"/>
              </w:rPr>
              <w:t xml:space="preserve">Incorporaciones de voz temporales</w:t>
            </w:r>
          </w:p>
        </w:tc>
        <w:tc>
          <w:tcPr>
            <w:tcW w:type="dxa" w:w="1872"/>
            <w:tcMar>
              <w:left w:type="dxa" w:w="80"/>
              <w:right w:type="dxa" w:w="80"/>
            </w:tcMar>
          </w:tcPr>
          <w:p>
            <w:pPr>
              <w:pStyle w:val="Compact"/>
            </w:pPr>
            <w:r>
              <w:rPr>
                <w:b/>
                <w:bCs/>
                <w:sz w:val="19"/>
                <w:szCs w:val="19"/>
                <w:lang w:val="es-ES"/>
              </w:rPr>
              <w:t xml:space="preserve">Sólo duración de la consulta</w:t>
            </w:r>
          </w:p>
        </w:tc>
        <w:tc>
          <w:tcPr>
            <w:tcW w:type="dxa" w:w="1872"/>
            <w:tcMar>
              <w:left w:type="dxa" w:w="80"/>
              <w:right w:type="dxa" w:w="80"/>
            </w:tcMar>
          </w:tcPr>
          <w:p>
            <w:pPr>
              <w:pStyle w:val="Compact"/>
            </w:pPr>
            <w:r>
              <w:rPr>
                <w:sz w:val="19"/>
                <w:szCs w:val="19"/>
                <w:lang w:val="es-ES"/>
              </w:rPr>
              <w:t xml:space="preserve">No (efímero por diseño)</w:t>
            </w:r>
          </w:p>
        </w:tc>
        <w:tc>
          <w:tcPr>
            <w:tcW w:type="dxa" w:w="1872"/>
            <w:tcMar>
              <w:left w:type="dxa" w:w="80"/>
              <w:right w:type="dxa" w:w="80"/>
            </w:tcMar>
          </w:tcPr>
          <w:p>
            <w:pPr>
              <w:pStyle w:val="Compact"/>
            </w:pPr>
            <w:r>
              <w:rPr>
                <w:sz w:val="19"/>
                <w:szCs w:val="19"/>
                <w:lang w:val="es-ES"/>
              </w:rPr>
              <w:t xml:space="preserve">Destrucción al final del procesamiento (</w:t>
            </w:r>
            <w:r>
              <w:rPr>
                <w:rStyle w:val="VerbatimChar"/>
                <w:sz w:val="19"/>
                <w:szCs w:val="19"/>
                <w:lang w:val="es-ES"/>
              </w:rPr>
              <w:t xml:space="preserve">finally</w:t>
            </w:r>
            <w:r>
              <w:rPr>
                <w:sz w:val="19"/>
                <w:szCs w:val="19"/>
                <w:lang w:val="es-ES"/>
              </w:rPr>
              <w:t xml:space="preserve">)</w:t>
            </w:r>
          </w:p>
        </w:tc>
        <w:tc>
          <w:tcPr>
            <w:tcW w:type="dxa" w:w="1872"/>
            <w:tcMar>
              <w:left w:type="dxa" w:w="80"/>
              <w:right w:type="dxa" w:w="80"/>
            </w:tcMar>
          </w:tcPr>
          <w:p>
            <w:pPr>
              <w:pStyle w:val="Compact"/>
            </w:pPr>
            <w:r>
              <w:rPr>
                <w:sz w:val="19"/>
                <w:szCs w:val="19"/>
                <w:lang w:val="es-ES"/>
              </w:rPr>
              <w:t xml:space="preserve">A / B</w:t>
            </w:r>
          </w:p>
        </w:tc>
      </w:tr>
    </w:tbl>
    <w:bookmarkEnd w:id="104"/>
    <w:bookmarkStart w:id="105" w:name="X83fd0475445342c9f5387005de00552eb48e9d8"/>
    <w:p>
      <w:pPr>
        <w:pStyle w:val="Heading2"/>
        <w:keepNext/>
        <w:keepLines/>
      </w:pPr>
      <w:r>
        <w:rPr>
          <w:color w:val="000000"/>
          <w:lang w:val="es-ES"/>
        </w:rPr>
        <w:t xml:space="preserve">3. Configuración por organización</w:t>
      </w:r>
    </w:p>
    <w:p>
      <w:pPr>
        <w:pStyle w:val="Compact"/>
        <w:numPr>
          <w:ilvl w:val="0"/>
          <w:numId w:val="1023"/>
        </w:numPr>
      </w:pPr>
      <w:r>
        <w:rPr>
          <w:b/>
          <w:bCs/>
          <w:lang w:val="es-ES"/>
        </w:rPr>
        <w:t xml:space="preserve">¿Quién puede </w:t>
      </w:r>
      <w:r>
        <w:rPr>
          <w:lang w:val="es-ES"/>
        </w:rPr>
        <w:t xml:space="preserve">configurar? </w:t>
      </w:r>
      <w:r>
        <w:rPr>
          <w:lang w:val="es-ES"/>
        </w:rPr>
        <w:t xml:space="preserve">Roles de administración de la organización del Cliente </w:t>
      </w:r>
      <w:r>
        <w:rPr>
          <w:lang w:val="es-ES"/>
        </w:rPr>
        <w:t xml:space="preserve">(</w:t>
      </w:r>
      <w:r>
        <w:rPr>
          <w:rStyle w:val="VerbatimChar"/>
          <w:lang w:val="es-ES"/>
        </w:rPr>
        <w:t xml:space="preserve">manager</w:t>
      </w:r>
      <w:r>
        <w:rPr>
          <w:lang w:val="es-ES"/>
        </w:rPr>
        <w:t xml:space="preserve">/perfiles </w:t>
      </w:r>
      <w:r>
        <w:rPr>
          <w:lang w:val="es-ES"/>
        </w:rPr>
        <w:t xml:space="preserve">de administrador de la organización, según lo asignado por el Cliente).</w:t>
      </w:r>
    </w:p>
    <w:p>
      <w:pPr>
        <w:pStyle w:val="Compact"/>
        <w:numPr>
          <w:ilvl w:val="0"/>
          <w:numId w:val="1023"/>
        </w:numPr>
      </w:pPr>
      <w:r>
        <w:rPr>
          <w:b/>
          <w:bCs/>
          <w:lang w:val="es-ES"/>
        </w:rPr>
        <w:t xml:space="preserve">En qué parte del </w:t>
      </w:r>
      <w:r>
        <w:rPr>
          <w:lang w:val="es-ES"/>
        </w:rPr>
        <w:t xml:space="preserve"/>
      </w:r>
      <w:r>
        <w:rPr>
          <w:lang w:val="es-ES"/>
        </w:rPr>
        <w:t xml:space="preserve">producto. Configuración de la organización (configuración de retención de contenido). Los valores predeterminados descritos en el §2 se aplican en ausencia de configuración.</w:t>
      </w:r>
    </w:p>
    <w:p>
      <w:pPr>
        <w:pStyle w:val="Compact"/>
        <w:numPr>
          <w:ilvl w:val="0"/>
          <w:numId w:val="1023"/>
        </w:numPr>
      </w:pPr>
      <w:r>
        <w:rPr>
          <w:b/>
          <w:bCs/>
          <w:lang w:val="es-ES"/>
        </w:rPr>
        <w:t xml:space="preserve">Alcance. </w:t>
      </w:r>
      <w:r>
        <w:rPr>
          <w:lang w:val="es-ES"/>
        </w:rPr>
        <w:t xml:space="preserve"/>
      </w:r>
      <w:r>
        <w:rPr>
          <w:lang w:val="es-ES"/>
        </w:rPr>
        <w:t xml:space="preserve">La configuración se refiere al contenido (audio, transcripciones, documentos, generaciones de IA). La duración de los registros y copias de seguridad se rige por límites de seguridad que no pueden extenderse más allá de los máximos indicados.</w:t>
      </w:r>
    </w:p>
    <w:p>
      <w:pPr>
        <w:pStyle w:val="BlockText"/>
      </w:pPr>
      <w:r>
        <w:rPr>
          <w:b/>
          <w:bCs/>
          <w:lang w:val="es-ES"/>
        </w:rPr>
        <w:t xml:space="preserve">[PARA CONFIRMAR]: </w:t>
      </w:r>
      <w:r>
        <w:rPr>
          <w:lang w:val="es-ES"/>
        </w:rPr>
        <w:t xml:space="preserve"/>
      </w:r>
      <w:r>
        <w:rPr>
          <w:lang w:val="es-ES"/>
        </w:rPr>
        <w:t xml:space="preserve">la granularidad exacta de la pantalla de configuración expuesta al Cliente (por categoría de contenido versus en general) se especificará durante la implementación.</w:t>
      </w:r>
    </w:p>
    <w:bookmarkEnd w:id="105"/>
    <w:bookmarkStart w:id="106" w:name="X1d0319beef65ea0df674594c854de041152a72f"/>
    <w:p>
      <w:pPr>
        <w:pStyle w:val="Heading2"/>
        <w:keepNext/>
        <w:keepLines/>
      </w:pPr>
      <w:r>
        <w:rPr>
          <w:color w:val="000000"/>
          <w:lang w:val="es-ES"/>
        </w:rPr>
        <w:t xml:space="preserve">4. Comportamiento al vencer el plazo de conservación</w:t>
      </w:r>
    </w:p>
    <w:p>
      <w:pPr>
        <w:pStyle w:val="FirstParagraph"/>
      </w:pPr>
      <w:r>
        <w:rPr>
          <w:lang w:val="es-ES"/>
        </w:rPr>
        <w:t xml:space="preserve">Al final del tiempo configurado, el contenido en cuestión se elimina </w:t>
      </w:r>
      <w:r>
        <w:rPr>
          <w:lang w:val="es-ES"/>
        </w:rPr>
        <w:t xml:space="preserve"/>
      </w:r>
      <w:r>
        <w:rPr>
          <w:b/>
          <w:bCs/>
          <w:lang w:val="es-ES"/>
        </w:rPr>
        <w:t xml:space="preserve">de la base </w:t>
      </w:r>
      <w:r>
        <w:rPr>
          <w:lang w:val="es-ES"/>
        </w:rPr>
        <w:t xml:space="preserve"/>
      </w:r>
      <w:r>
        <w:rPr>
          <w:lang w:val="es-ES"/>
        </w:rPr>
        <w:t xml:space="preserve">de datos de producción. Luego, la eliminación se refleja en las copias de seguridad según su ciclo de rotación (a más tardar dentro de los 90 días). Las incrustaciones de voz nunca se ven afectadas por este ciclo: se destruyen al final de la solicitud, sin persistencia.</w:t>
      </w:r>
    </w:p>
    <w:bookmarkEnd w:id="106"/>
    <w:bookmarkStart w:id="109" w:name="X642f55ef0aa0c247a15d6aa27fe4cf2e6ba3f07"/>
    <w:p>
      <w:pPr>
        <w:pStyle w:val="Heading2"/>
        <w:keepNext/>
        <w:keepLines/>
      </w:pPr>
      <w:r>
        <w:rPr>
          <w:color w:val="000000"/>
          <w:lang w:val="es-ES"/>
        </w:rPr>
        <w:t xml:space="preserve">5. Relación con la supresión (artículo 17) y la extinción del contrato</w:t>
      </w:r>
    </w:p>
    <w:bookmarkStart w:id="107" w:name="X654578143815b3d75c0d5ff552a26ad0ff2644e"/>
    <w:p>
      <w:pPr>
        <w:pStyle w:val="Heading3"/>
        <w:keepNext/>
        <w:keepLines/>
      </w:pPr>
      <w:r>
        <w:rPr>
          <w:color w:val="000000"/>
          <w:lang w:val="es-ES"/>
        </w:rPr>
        <w:t xml:space="preserve">5.1 Supresión a petición (artículo 17)</w:t>
      </w:r>
    </w:p>
    <w:p>
      <w:pPr>
        <w:pStyle w:val="Compact"/>
        <w:numPr>
          <w:ilvl w:val="0"/>
          <w:numId w:val="1024"/>
        </w:numPr>
      </w:pPr>
      <w:r>
        <w:rPr>
          <w:lang w:val="es-ES"/>
        </w:rPr>
        <w:t xml:space="preserve">La eliminación está disponible </w:t>
      </w:r>
      <w:r>
        <w:rPr>
          <w:lang w:val="es-ES"/>
        </w:rPr>
        <w:t xml:space="preserve">mediante </w:t>
      </w:r>
      <w:r>
        <w:rPr>
          <w:b/>
          <w:bCs/>
          <w:lang w:val="es-ES"/>
        </w:rPr>
        <w:t xml:space="preserve">una solicitud rastreada </w:t>
      </w:r>
      <w:r>
        <w:rPr>
          <w:lang w:val="es-ES"/>
        </w:rPr>
        <w:t xml:space="preserve"/>
      </w:r>
      <w:r>
        <w:rPr>
          <w:lang w:val="es-ES"/>
        </w:rPr>
        <w:t xml:space="preserve">certificada (Configuración → Portabilidad): la solicitud se registra en </w:t>
      </w:r>
      <w:r>
        <w:rPr>
          <w:lang w:val="es-ES"/>
        </w:rPr>
        <w:t xml:space="preserve"/>
      </w:r>
      <w:r>
        <w:rPr>
          <w:rStyle w:val="VerbatimChar"/>
          <w:lang w:val="es-ES"/>
        </w:rPr>
        <w:t xml:space="preserve">audit_logs</w:t>
      </w:r>
      <w:r>
        <w:rPr>
          <w:lang w:val="es-ES"/>
        </w:rPr>
        <w:t xml:space="preserve">, se </w:t>
      </w:r>
      <w:r>
        <w:rPr>
          <w:lang w:val="es-ES"/>
        </w:rPr>
        <w:t xml:space="preserve"/>
      </w:r>
      <w:r>
        <w:rPr>
          <w:b/>
          <w:bCs/>
          <w:lang w:val="es-ES"/>
        </w:rPr>
        <w:t xml:space="preserve">activa un flujo de </w:t>
      </w:r>
      <w:r>
        <w:rPr>
          <w:lang w:val="es-ES"/>
        </w:rPr>
        <w:t xml:space="preserve"/>
      </w:r>
      <w:r>
        <w:rPr>
          <w:lang w:val="es-ES"/>
        </w:rPr>
        <w:t xml:space="preserve">trabajo de purga dentro del plazo legal y </w:t>
      </w:r>
      <w:r>
        <w:rPr>
          <w:lang w:val="es-ES"/>
        </w:rPr>
        <w:t xml:space="preserve">se </w:t>
      </w:r>
      <w:r>
        <w:rPr>
          <w:b/>
          <w:bCs/>
          <w:lang w:val="es-ES"/>
        </w:rPr>
        <w:t xml:space="preserve">emite un certificado de </w:t>
      </w:r>
      <w:r>
        <w:rPr>
          <w:lang w:val="es-ES"/>
        </w:rPr>
        <w:t xml:space="preserve"/>
      </w:r>
      <w:r>
        <w:rPr>
          <w:lang w:val="es-ES"/>
        </w:rPr>
        <w:t xml:space="preserve">eliminación.</w:t>
      </w:r>
    </w:p>
    <w:p>
      <w:pPr>
        <w:pStyle w:val="Compact"/>
        <w:numPr>
          <w:ilvl w:val="0"/>
          <w:numId w:val="1024"/>
        </w:numPr>
      </w:pPr>
      <w:r>
        <w:rPr>
          <w:lang w:val="es-ES"/>
        </w:rPr>
        <w:t xml:space="preserve">La depuración en producción se refleja en los respaldos según rotación (≤ 90 días).</w:t>
      </w:r>
    </w:p>
    <w:bookmarkEnd w:id="107"/>
    <w:bookmarkStart w:id="108" w:name="X24c1a499b9b0bdbba0fe8f8d5e8b857df025d88"/>
    <w:p>
      <w:pPr>
        <w:pStyle w:val="Heading3"/>
        <w:keepNext/>
        <w:keepLines/>
      </w:pPr>
      <w:r>
        <w:rPr>
          <w:color w:val="000000"/>
          <w:lang w:val="es-ES"/>
        </w:rPr>
        <w:t xml:space="preserve">5.2 Fin del contrato (DPA §11)</w:t>
      </w:r>
    </w:p>
    <w:p>
      <w:pPr>
        <w:pStyle w:val="FirstParagraph"/>
      </w:pPr>
      <w:r>
        <w:rPr>
          <w:lang w:val="es-ES"/>
        </w:rPr>
        <w:t xml:space="preserve">Al finalizar el contrato, el Cliente elige mediante instrucción escrita </w:t>
      </w:r>
      <w:r>
        <w:rPr>
          <w:lang w:val="es-ES"/>
        </w:rPr>
        <w:t xml:space="preserve">entre </w:t>
      </w:r>
      <w:r>
        <w:rPr>
          <w:b/>
          <w:bCs/>
          <w:lang w:val="es-ES"/>
        </w:rPr>
        <w:t xml:space="preserve">la restitución </w:t>
      </w:r>
      <w:r>
        <w:rPr>
          <w:lang w:val="es-ES"/>
        </w:rPr>
        <w:t xml:space="preserve"/>
      </w:r>
      <w:r>
        <w:rPr>
          <w:lang w:val="es-ES"/>
        </w:rPr>
        <w:t xml:space="preserve"/>
      </w:r>
      <w:r>
        <w:rPr>
          <w:lang w:val="es-ES"/>
        </w:rPr>
        <w:t xml:space="preserve"/>
      </w:r>
      <w:r>
        <w:rPr>
          <w:b/>
          <w:bCs/>
          <w:lang w:val="es-ES"/>
        </w:rPr>
        <w:t xml:space="preserve">y la </w:t>
      </w:r>
      <w:r>
        <w:rPr>
          <w:lang w:val="es-ES"/>
        </w:rPr>
        <w:t xml:space="preserve"/>
      </w:r>
      <w:r>
        <w:rPr>
          <w:lang w:val="es-ES"/>
        </w:rPr>
        <w:t xml:space="preserve">supresión:</w:t>
      </w:r>
    </w:p>
    <w:p>
      <w:pPr>
        <w:pStyle w:val="Compact"/>
        <w:numPr>
          <w:ilvl w:val="0"/>
          <w:numId w:val="1025"/>
        </w:numPr>
      </w:pPr>
      <w:r>
        <w:rPr>
          <w:b/>
          <w:bCs/>
          <w:lang w:val="es-ES"/>
        </w:rPr>
        <w:t xml:space="preserve">Restitución: </w:t>
      </w:r>
      <w:r>
        <w:rPr>
          <w:lang w:val="es-ES"/>
        </w:rPr>
        <w:t xml:space="preserve"/>
      </w:r>
      <w:r>
        <w:rPr>
          <w:lang w:val="es-ES"/>
        </w:rPr>
        <w:t xml:space="preserve">provisión de una exportación estándar (</w:t>
      </w:r>
      <w:r>
        <w:rPr>
          <w:rStyle w:val="VerbatimChar"/>
          <w:lang w:val="es-ES"/>
        </w:rPr>
        <w:t xml:space="preserve">.tar.gz</w:t>
      </w:r>
      <w:r>
        <w:rPr>
          <w:lang w:val="es-ES"/>
        </w:rPr>
        <w:t xml:space="preserve"> </w:t>
      </w:r>
      <w:r>
        <w:rPr>
          <w:lang w:val="es-ES"/>
        </w:rPr>
        <w:t xml:space="preserve">firmado SHA-256 por el inquilino).</w:t>
      </w:r>
    </w:p>
    <w:p>
      <w:pPr>
        <w:pStyle w:val="Compact"/>
        <w:numPr>
          <w:ilvl w:val="0"/>
          <w:numId w:val="1025"/>
        </w:numPr>
      </w:pPr>
      <w:r>
        <w:rPr>
          <w:b/>
          <w:bCs/>
          <w:lang w:val="es-ES"/>
        </w:rPr>
        <w:t xml:space="preserve">Eliminación </w:t>
      </w:r>
      <w:r>
        <w:rPr>
          <w:lang w:val="es-ES"/>
        </w:rPr>
        <w:t xml:space="preserve"/>
      </w:r>
      <w:r>
        <w:rPr>
          <w:lang w:val="es-ES"/>
        </w:rPr>
        <w:t xml:space="preserve">de datos de producción: ≤ 30 </w:t>
      </w:r>
      <w:r>
        <w:rPr>
          <w:lang w:val="es-ES"/>
        </w:rPr>
        <w:t xml:space="preserve"/>
      </w:r>
      <w:r>
        <w:rPr>
          <w:b/>
          <w:bCs/>
          <w:lang w:val="es-ES"/>
        </w:rPr>
        <w:t xml:space="preserve">días naturales </w:t>
      </w:r>
      <w:r>
        <w:rPr>
          <w:lang w:val="es-ES"/>
        </w:rPr>
        <w:t xml:space="preserve"/>
      </w:r>
      <w:r>
        <w:rPr>
          <w:lang w:val="es-ES"/>
        </w:rPr>
        <w:t xml:space="preserve">después de la finalización efectiva del contrato o de la recepción de la instrucción (lo que ocurra más tarde).</w:t>
      </w:r>
    </w:p>
    <w:p>
      <w:pPr>
        <w:pStyle w:val="Compact"/>
        <w:numPr>
          <w:ilvl w:val="0"/>
          <w:numId w:val="1025"/>
        </w:numPr>
      </w:pPr>
      <w:r>
        <w:rPr>
          <w:b/>
          <w:bCs/>
          <w:lang w:val="es-ES"/>
        </w:rPr>
        <w:t xml:space="preserve">Depuración de copias </w:t>
      </w:r>
      <w:r>
        <w:rPr>
          <w:lang w:val="es-ES"/>
        </w:rPr>
        <w:t xml:space="preserve">de </w:t>
      </w:r>
      <w:r>
        <w:rPr>
          <w:lang w:val="es-ES"/>
        </w:rPr>
        <w:t xml:space="preserve">seguridad </w:t>
      </w:r>
      <w:r>
        <w:rPr>
          <w:lang w:val="es-ES"/>
        </w:rPr>
        <w:t xml:space="preserve"/>
      </w:r>
      <w:r>
        <w:rPr>
          <w:b/>
          <w:bCs/>
          <w:lang w:val="es-ES"/>
        </w:rPr>
        <w:t xml:space="preserve">residuales: ≤ </w:t>
      </w:r>
      <w:r>
        <w:rPr>
          <w:lang w:val="es-ES"/>
        </w:rPr>
        <w:t xml:space="preserve">90 </w:t>
      </w:r>
      <w:r>
        <w:rPr>
          <w:lang w:val="es-ES"/>
        </w:rPr>
        <w:t xml:space="preserve">días naturales (ciclo de rotación), salvo obligación legal.</w:t>
      </w:r>
    </w:p>
    <w:p>
      <w:pPr>
        <w:pStyle w:val="Compact"/>
        <w:numPr>
          <w:ilvl w:val="0"/>
          <w:numId w:val="1025"/>
        </w:numPr>
      </w:pPr>
      <w:r>
        <w:rPr>
          <w:b/>
          <w:bCs/>
          <w:lang w:val="es-ES"/>
        </w:rPr>
        <w:t xml:space="preserve">Certificado </w:t>
      </w:r>
      <w:r>
        <w:rPr>
          <w:lang w:val="es-ES"/>
        </w:rPr>
        <w:t xml:space="preserve"/>
      </w:r>
      <w:r>
        <w:rPr>
          <w:lang w:val="es-ES"/>
        </w:rPr>
        <w:t xml:space="preserve">de baja o devolución: presentado dentro de los 30 </w:t>
      </w:r>
      <w:r>
        <w:rPr>
          <w:lang w:val="es-ES"/>
        </w:rPr>
        <w:t xml:space="preserve"/>
      </w:r>
      <w:r>
        <w:rPr>
          <w:b/>
          <w:bCs/>
          <w:lang w:val="es-ES"/>
        </w:rPr>
        <w:t xml:space="preserve">días siguientes </w:t>
      </w:r>
      <w:r>
        <w:rPr>
          <w:lang w:val="es-ES"/>
        </w:rPr>
        <w:t xml:space="preserve"/>
      </w:r>
      <w:r>
        <w:rPr>
          <w:lang w:val="es-ES"/>
        </w:rPr>
        <w:t xml:space="preserve">a la finalización de la operación.</w:t>
      </w:r>
    </w:p>
    <w:p>
      <w:pPr>
        <w:pStyle w:val="SourceCode"/>
      </w:pPr>
      <w:r>
        <w:rPr>
          <w:rStyle w:val="VerbatimChar"/>
          <w:rFonts w:ascii="Courier New" w:hAnsi="Courier New" w:eastAsia="Courier New" w:cs="Courier New"/>
          <w:sz w:val="19"/>
          <w:szCs w:val="19"/>
        </w:rPr>
        <w:t xml:space="preserve">Fin del contrato</w:t>
        <w:br/>
        <w:t xml:space="preserve">  |-- elección escrita del Cliente</w:t>
        <w:br/>
        <w:t xml:space="preserve">  |     |-- Devolución: exportación .tar.gz firmada (SHA-256)</w:t>
        <w:br/>
        <w:t xml:space="preserve">  |     \-- Supresión:</w:t>
        <w:br/>
        <w:t xml:space="preserve">  |            [D+30 máx.] purga de producción</w:t>
        <w:br/>
        <w:t xml:space="preserve">  |            [D+90 máx.] purga de copias de seguridad</w:t>
        <w:br/>
        <w:t xml:space="preserve">  \-- Certificado de supresión / devolución [+30 días tras finalizar]</w:t>
      </w:r>
    </w:p>
    <w:p>
      <w:r>
        <w:pict>
          <v:rect style="width:0;height:1.5pt" o:hralign="center" o:hrstd="t" o:hr="t"/>
        </w:pict>
      </w:r>
    </w:p>
    <w:p>
      <w:pPr>
        <w:pStyle w:val="FirstParagraph"/>
      </w:pPr>
      <w:r>
        <w:rPr>
          <w:i/>
          <w:iCs/>
          <w:lang w:val="es-ES"/>
        </w:rPr>
        <w:t xml:space="preserve">Documento de trabajo establecido por OHADJA — para ser validado por su asesor legal / DPO antes de la firma.</w:t>
      </w:r>
    </w:p>
    <w:p>
      <w:r>
        <w:br w:type="page"/>
      </w:r>
    </w:p>
    <w:bookmarkEnd w:id="108"/>
    <w:bookmarkEnd w:id="109"/>
    <w:bookmarkEnd w:id="110"/>
    <w:bookmarkStart w:id="122" w:name="Xdce4b62ecfec95499a77a7d1958b03ff9ff737c"/>
    <w:p>
      <w:pPr>
        <w:pStyle w:val="Heading1"/>
        <w:keepNext/>
        <w:keepLines/>
      </w:pPr>
      <w:r>
        <w:rPr>
          <w:color w:val="000000"/>
          <w:lang w:val="es-ES"/>
        </w:rPr>
        <w:t xml:space="preserve">Modelos y proveedores de inteligencia artificial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Referencia</w:t>
            </w:r>
          </w:p>
        </w:tc>
        <w:tc>
          <w:tcPr/>
          <w:p>
            <w:pPr>
              <w:pStyle w:val="Compact"/>
            </w:pPr>
            <w:r>
              <w:rPr>
                <w:lang w:val="es-ES"/>
              </w:rPr>
              <w:t xml:space="preserve">OHA-RGPD-06</w:t>
            </w:r>
          </w:p>
        </w:tc>
      </w:tr>
      <w:tr>
        <w:trPr>
          <w:cantSplit/>
        </w:trPr>
        <w:tc>
          <w:tcPr/>
          <w:p>
            <w:pPr>
              <w:pStyle w:val="Compact"/>
            </w:pPr>
            <w:r>
              <w:rPr>
                <w:lang w:val="es-ES"/>
              </w:rPr>
              <w:t xml:space="preserve">Propósito</w:t>
            </w:r>
          </w:p>
        </w:tc>
        <w:tc>
          <w:tcPr/>
          <w:p>
            <w:pPr>
              <w:pStyle w:val="Compact"/>
            </w:pPr>
            <w:r>
              <w:rPr>
                <w:lang w:val="es-ES"/>
              </w:rPr>
              <w:t xml:space="preserve">Documentación de modelos y proveedores de IA: datos transmitidos, retención, no formación</w:t>
            </w:r>
          </w:p>
        </w:tc>
      </w:tr>
      <w:tr>
        <w:trPr>
          <w:cantSplit/>
        </w:trPr>
        <w:tc>
          <w:tcPr/>
          <w:p>
            <w:pPr>
              <w:pStyle w:val="Compact"/>
            </w:pPr>
            <w:r>
              <w:rPr>
                <w:lang w:val="es-ES"/>
              </w:rPr>
              <w:t xml:space="preserve">Versión</w:t>
            </w:r>
          </w:p>
        </w:tc>
        <w:tc>
          <w:tcPr/>
          <w:p>
            <w:pPr>
              <w:pStyle w:val="Compact"/>
            </w:pPr>
            <w:r>
              <w:rPr>
                <w:lang w:val="es-ES"/>
              </w:rPr>
              <w:t xml:space="preserve">1.0</w:t>
            </w:r>
          </w:p>
        </w:tc>
      </w:tr>
      <w:tr>
        <w:trPr>
          <w:cantSplit/>
        </w:trPr>
        <w:tc>
          <w:tcPr/>
          <w:p>
            <w:pPr>
              <w:pStyle w:val="Compact"/>
            </w:pPr>
            <w:r>
              <w:rPr>
                <w:lang w:val="es-ES"/>
              </w:rPr>
              <w:t xml:space="preserve">Fecha</w:t>
            </w:r>
          </w:p>
        </w:tc>
        <w:tc>
          <w:tcPr/>
          <w:p>
            <w:pPr>
              <w:pStyle w:val="Compact"/>
            </w:pPr>
            <w:r>
              <w:rPr>
                <w:lang w:val="es-ES"/>
              </w:rPr>
              <w:t xml:space="preserve">2026-07-24</w:t>
            </w:r>
          </w:p>
        </w:tc>
      </w:tr>
      <w:tr>
        <w:trPr>
          <w:cantSplit/>
        </w:trPr>
        <w:tc>
          <w:tcPr/>
          <w:p>
            <w:pPr>
              <w:pStyle w:val="Compact"/>
            </w:pPr>
            <w:r>
              <w:rPr>
                <w:lang w:val="es-ES"/>
              </w:rPr>
              <w:t xml:space="preserve">Redactor</w:t>
            </w:r>
          </w:p>
        </w:tc>
        <w:tc>
          <w:tcPr/>
          <w:p>
            <w:pPr>
              <w:pStyle w:val="Compact"/>
            </w:pPr>
            <w:r>
              <w:rPr>
                <w:lang w:val="es-ES"/>
              </w:rPr>
              <w:t xml:space="preserve">OHADJA</w:t>
            </w:r>
          </w:p>
        </w:tc>
      </w:tr>
      <w:tr>
        <w:trPr>
          <w:cantSplit/>
        </w:trPr>
        <w:tc>
          <w:tcPr/>
          <w:p>
            <w:pPr>
              <w:pStyle w:val="Compact"/>
            </w:pPr>
            <w:r>
              <w:rPr>
                <w:lang w:val="es-ES"/>
              </w:rPr>
              <w:t xml:space="preserve">Destinatario</w:t>
            </w:r>
          </w:p>
        </w:tc>
        <w:tc>
          <w:tcPr/>
          <w:p>
            <w:pPr>
              <w:pStyle w:val="Compact"/>
            </w:pPr>
            <w:r>
              <w:rPr>
                <w:lang w:val="es-ES"/>
              </w:rPr>
              <w:t xml:space="preserve">Organización del cliente (documento estándar)</w:t>
            </w:r>
          </w:p>
        </w:tc>
      </w:tr>
      <w:tr>
        <w:trPr>
          <w:cantSplit/>
        </w:trPr>
        <w:tc>
          <w:tcPr/>
          <w:p>
            <w:pPr>
              <w:pStyle w:val="Compact"/>
            </w:pPr>
            <w:r>
              <w:rPr>
                <w:lang w:val="es-ES"/>
              </w:rPr>
              <w:t xml:space="preserve">Clasificación</w:t>
            </w:r>
          </w:p>
        </w:tc>
        <w:tc>
          <w:tcPr/>
          <w:p>
            <w:pPr>
              <w:pStyle w:val="Compact"/>
            </w:pPr>
            <w:r>
              <w:rPr>
                <w:lang w:val="es-ES"/>
              </w:rPr>
              <w:t xml:space="preserve">Público: documento estándar, especificado durante cada contratación.</w:t>
            </w:r>
          </w:p>
        </w:tc>
      </w:tr>
    </w:tbl>
    <w:bookmarkStart w:id="111" w:name="Xf1e621f1e00816d4df6a5d87990d4fe96ac2cec"/>
    <w:p>
      <w:pPr>
        <w:pStyle w:val="Heading2"/>
        <w:keepNext/>
        <w:keepLines/>
      </w:pPr>
      <w:r>
        <w:rPr>
          <w:color w:val="000000"/>
          <w:lang w:val="es-ES"/>
        </w:rPr>
        <w:t xml:space="preserve">1. Propósito</w:t>
      </w:r>
    </w:p>
    <w:p>
      <w:pPr>
        <w:pStyle w:val="FirstParagraph"/>
      </w:pPr>
      <w:r>
        <w:rPr>
          <w:lang w:val="es-ES"/>
        </w:rPr>
        <w:t xml:space="preserve">Este documento documenta los modelos y proveedores de inteligencia artificial que probablemente utilizará TranscribIA, los datos transmitidos a cada uno, los períodos de retención por parte del proveedor, el posible acceso humano, las garantías de no capacitación y las condiciones para cambiar de modelo o proveedor.</w:t>
      </w:r>
    </w:p>
    <w:bookmarkEnd w:id="111"/>
    <w:bookmarkStart w:id="115" w:name="Xd1e5903fdf70abcf5368fef1c81a5eb86161bbb"/>
    <w:p>
      <w:pPr>
        <w:pStyle w:val="Heading2"/>
        <w:keepNext/>
        <w:keepLines/>
      </w:pPr>
      <w:r>
        <w:rPr>
          <w:color w:val="000000"/>
          <w:lang w:val="es-ES"/>
        </w:rPr>
        <w:t xml:space="preserve">2. Modelos y proveedores que probablemente se utilizarán</w:t>
      </w:r>
    </w:p>
    <w:bookmarkStart w:id="112" w:name="X94ec6f3ea1c75825c24d0d3494eaefc6983c2a1"/>
    <w:p>
      <w:pPr>
        <w:pStyle w:val="Heading3"/>
        <w:keepNext/>
        <w:keepLines/>
      </w:pPr>
      <w:r>
        <w:rPr>
          <w:color w:val="000000"/>
          <w:lang w:val="es-ES"/>
        </w:rPr>
        <w:t xml:space="preserve">2.1 Generación de texto (LLM): arquitectura bidireccional</w:t>
      </w:r>
    </w:p>
    <w:p>
      <w:pPr>
        <w:pStyle w:val="FirstParagraph"/>
      </w:pPr>
      <w:r>
        <w:rPr>
          <w:lang w:val="es-ES"/>
        </w:rPr>
        <w:t xml:space="preserve">Las funciones de IA (corrección, resumen, informe, capítulos, análisis) se basan en una puerta de enlace multiconfiguración (</w:t>
      </w:r>
      <w:r>
        <w:rPr>
          <w:rStyle w:val="VerbatimChar"/>
          <w:lang w:val="es-ES"/>
        </w:rPr>
        <w:t xml:space="preserve">LlmGateway</w:t>
      </w:r>
      <w:r>
        <w:rPr>
          <w:lang w:val="es-ES"/>
        </w:rPr>
        <w:t xml:space="preserve">) con conmutación por prioridad (3 intentos, retroceso, retraso máximo 300 s) y rotación de múltiples cuentas. La arquitectura elegida (decisión del 24/07/2026) distingue </w:t>
      </w:r>
      <w:r>
        <w:rPr>
          <w:lang w:val="es-ES"/>
        </w:rPr>
        <w:t xml:space="preserve"/>
      </w:r>
      <w:r>
        <w:rPr>
          <w:b/>
          <w:bCs/>
          <w:lang w:val="es-ES"/>
        </w:rPr>
        <w:t xml:space="preserve">una vía primaria </w:t>
      </w:r>
      <w:r>
        <w:rPr>
          <w:lang w:val="es-ES"/>
        </w:rPr>
        <w:t xml:space="preserve"/>
      </w:r>
      <w:r>
        <w:rPr>
          <w:lang w:val="es-ES"/>
        </w:rPr>
        <w:t xml:space="preserve">y una </w:t>
      </w:r>
      <w:r>
        <w:rPr>
          <w:lang w:val="es-ES"/>
        </w:rPr>
        <w:t xml:space="preserve"/>
      </w:r>
      <w:r>
        <w:rPr>
          <w:b/>
          <w:bCs/>
          <w:lang w:val="es-ES"/>
        </w:rPr>
        <w:t xml:space="preserve">vía de </w:t>
      </w:r>
      <w:r>
        <w:rPr>
          <w:lang w:val="es-ES"/>
        </w:rPr>
        <w:t xml:space="preserve">emergencia.</w:t>
      </w:r>
    </w:p>
    <w:p>
      <w:pPr>
        <w:pStyle w:val="BodyText"/>
      </w:pPr>
      <w:r>
        <w:rPr>
          <w:b/>
          <w:bCs/>
          <w:lang w:val="es-ES"/>
        </w:rPr>
        <w:t xml:space="preserve">Ruta principal: servidores vLLM dominados en la </w:t>
      </w:r>
      <w:r>
        <w:rPr>
          <w:lang w:val="es-ES"/>
        </w:rPr>
        <w:t xml:space="preserve"/>
      </w:r>
      <w:r>
        <w:rPr>
          <w:lang w:val="es-ES"/>
        </w:rPr>
        <w:t xml:space="preserve">UE. De forma predeterminada, las consultas de IA se procesan en </w:t>
      </w:r>
      <w:r>
        <w:rPr>
          <w:lang w:val="es-ES"/>
        </w:rPr>
        <w:t xml:space="preserve"/>
      </w:r>
      <w:r>
        <w:rPr>
          <w:b/>
          <w:bCs/>
          <w:lang w:val="es-ES"/>
        </w:rPr>
        <w:t xml:space="preserve">servidores GPU controlados por OHADJA que ejecutan vLLM con modelos de peso </w:t>
      </w:r>
      <w:r>
        <w:rPr>
          <w:lang w:val="es-ES"/>
        </w:rPr>
        <w:t xml:space="preserve">abierto. Estos servidores </w:t>
      </w:r>
      <w:r>
        <w:rPr>
          <w:lang w:val="es-ES"/>
        </w:rPr>
        <w:t xml:space="preserve"/>
      </w:r>
      <w:r>
        <w:rPr>
          <w:b/>
          <w:bCs/>
          <w:lang w:val="es-ES"/>
        </w:rPr>
        <w:t xml:space="preserve">están alojados en Europa, principalmente en Estrasburgo </w:t>
      </w:r>
      <w:r>
        <w:rPr>
          <w:lang w:val="es-ES"/>
        </w:rPr>
        <w:t xml:space="preserve"/>
      </w:r>
      <w:r>
        <w:rPr>
          <w:lang w:val="es-ES"/>
        </w:rPr>
        <w:t xml:space="preserve">y París (o en la infraestructura del Cliente en la Opción B). En este </w:t>
      </w:r>
      <w:r>
        <w:rPr>
          <w:lang w:val="es-ES"/>
        </w:rPr>
        <w:t xml:space="preserve"/>
      </w:r>
      <w:r>
        <w:rPr>
          <w:b/>
          <w:bCs/>
          <w:lang w:val="es-ES"/>
        </w:rPr>
        <w:t xml:space="preserve">camino no se transmiten datos a ningún proveedor de modelos </w:t>
      </w:r>
      <w:r>
        <w:rPr>
          <w:lang w:val="es-ES"/>
        </w:rPr>
        <w:t xml:space="preserve">externo.</w:t>
      </w:r>
    </w:p>
    <w:p>
      <w:pPr>
        <w:pStyle w:val="BodyText"/>
      </w:pPr>
      <w:r>
        <w:rPr>
          <w:b/>
          <w:bCs/>
          <w:lang w:val="es-ES"/>
        </w:rPr>
        <w:t xml:space="preserve">Ruta alternativa: OpenRouter (conmutación por error, desactivable). </w:t>
      </w:r>
      <w:r>
        <w:rPr>
          <w:lang w:val="es-ES"/>
        </w:rPr>
        <w:t xml:space="preserve"/>
      </w:r>
      <w:r>
        <w:rPr>
          <w:lang w:val="es-ES"/>
        </w:rPr>
        <w:t xml:space="preserve">En caso de indisponibilidad de la ruta principal, la puerta de enlace puede cambiar a </w:t>
      </w:r>
      <w:r>
        <w:rPr>
          <w:lang w:val="es-ES"/>
        </w:rPr>
        <w:t xml:space="preserve"/>
      </w:r>
      <w:r>
        <w:rPr>
          <w:b/>
          <w:bCs/>
          <w:lang w:val="es-ES"/>
        </w:rPr>
        <w:t xml:space="preserve">OpenRouter </w:t>
      </w:r>
      <w:r>
        <w:rPr>
          <w:lang w:val="es-ES"/>
        </w:rPr>
        <w:t xml:space="preserve">(Claude, </w:t>
      </w:r>
      <w:r>
        <w:rPr>
          <w:lang w:val="es-ES"/>
        </w:rPr>
        <w:t xml:space="preserve">GPT, etc.), sin entrenamiento («no-train»). Esta ruta de </w:t>
      </w:r>
      <w:r>
        <w:rPr>
          <w:lang w:val="es-ES"/>
        </w:rPr>
        <w:t xml:space="preserve"/>
      </w:r>
      <w:r>
        <w:rPr>
          <w:b/>
          <w:bCs/>
          <w:lang w:val="es-ES"/>
        </w:rPr>
        <w:t xml:space="preserve">emergencia puede ser desactivada por </w:t>
      </w:r>
      <w:r>
        <w:rPr>
          <w:lang w:val="es-ES"/>
        </w:rPr>
        <w:t xml:space="preserve"/>
      </w:r>
      <w:r>
        <w:rPr>
          <w:lang w:val="es-ES"/>
        </w:rPr>
        <w:t xml:space="preserve">organización; </w:t>
      </w:r>
      <w:r>
        <w:rPr>
          <w:lang w:val="es-ES"/>
        </w:rPr>
        <w:t xml:space="preserve"/>
      </w:r>
      <w:r>
        <w:rPr>
          <w:b/>
          <w:bCs/>
          <w:lang w:val="es-ES"/>
        </w:rPr>
        <w:t xml:space="preserve">el perfil de “UE </w:t>
      </w:r>
      <w:r>
        <w:rPr>
          <w:lang w:val="es-ES"/>
        </w:rPr>
        <w:t xml:space="preserve"/>
      </w:r>
      <w:r>
        <w:rPr>
          <w:lang w:val="es-ES"/>
        </w:rPr>
        <w:t xml:space="preserve">estricta” lo neutraliza, asegurando que ninguna solicitud de IA salga de la UE.</w:t>
      </w:r>
    </w:p>
    <w:tbl>
      <w:tblPr>
        <w:tblStyle w:val="Table"/>
        <w:tblW w:type="dxa" w:w="9360"/>
        <w:tblLook w:firstRow="1" w:lastRow="0" w:firstColumn="0" w:lastColumn="0" w:noHBand="0" w:noVBand="0" w:val="0020"/>
        <w:tblLayout w:type="fixed"/>
      </w:tblPr>
      <w:tblGrid>
        <w:gridCol w:w="1872"/>
        <w:gridCol w:w="1872"/>
        <w:gridCol w:w="1872"/>
        <w:gridCol w:w="1872"/>
        <w:gridCol w:w="1872"/>
      </w:tblGrid>
      <w:tr>
        <w:trPr>
          <w:tblHeader w:val="on"/>
          <w:cantSplit/>
        </w:trPr>
        <w:tc>
          <w:tcPr>
            <w:tcW w:type="dxa" w:w="1872"/>
            <w:tcMar>
              <w:left w:type="dxa" w:w="80"/>
              <w:right w:type="dxa" w:w="80"/>
            </w:tcMar>
          </w:tcPr>
          <w:p>
            <w:pPr>
              <w:pStyle w:val="Compact"/>
            </w:pPr>
            <w:r>
              <w:rPr>
                <w:sz w:val="19"/>
                <w:szCs w:val="19"/>
                <w:lang w:val="es-ES"/>
              </w:rPr>
              <w:t xml:space="preserve">carril</w:t>
            </w:r>
          </w:p>
        </w:tc>
        <w:tc>
          <w:tcPr>
            <w:tcW w:type="dxa" w:w="1872"/>
            <w:tcMar>
              <w:left w:type="dxa" w:w="80"/>
              <w:right w:type="dxa" w:w="80"/>
            </w:tcMar>
          </w:tcPr>
          <w:p>
            <w:pPr>
              <w:pStyle w:val="Compact"/>
            </w:pPr>
            <w:r>
              <w:rPr>
                <w:sz w:val="19"/>
                <w:szCs w:val="19"/>
                <w:lang w:val="es-ES"/>
              </w:rPr>
              <w:t xml:space="preserve">Modelos</w:t>
            </w:r>
          </w:p>
        </w:tc>
        <w:tc>
          <w:tcPr>
            <w:tcW w:type="dxa" w:w="1872"/>
            <w:tcMar>
              <w:left w:type="dxa" w:w="80"/>
              <w:right w:type="dxa" w:w="80"/>
            </w:tcMar>
          </w:tcPr>
          <w:p>
            <w:pPr>
              <w:pStyle w:val="Compact"/>
            </w:pPr>
            <w:r>
              <w:rPr>
                <w:sz w:val="19"/>
                <w:szCs w:val="19"/>
                <w:lang w:val="es-ES"/>
              </w:rPr>
              <w:t xml:space="preserve">Proveedor / ejecución</w:t>
            </w:r>
          </w:p>
        </w:tc>
        <w:tc>
          <w:tcPr>
            <w:tcW w:type="dxa" w:w="1872"/>
            <w:tcMar>
              <w:left w:type="dxa" w:w="80"/>
              <w:right w:type="dxa" w:w="80"/>
            </w:tcMar>
          </w:tcPr>
          <w:p>
            <w:pPr>
              <w:pStyle w:val="Compact"/>
            </w:pPr>
            <w:r>
              <w:rPr>
                <w:sz w:val="19"/>
                <w:szCs w:val="19"/>
                <w:lang w:val="es-ES"/>
              </w:rPr>
              <w:t xml:space="preserve">Ubicación</w:t>
            </w:r>
          </w:p>
        </w:tc>
        <w:tc>
          <w:tcPr>
            <w:tcW w:type="dxa" w:w="1872"/>
            <w:tcMar>
              <w:left w:type="dxa" w:w="80"/>
              <w:right w:type="dxa" w:w="80"/>
            </w:tcMar>
          </w:tcPr>
          <w:p>
            <w:pPr>
              <w:pStyle w:val="Compact"/>
            </w:pPr>
            <w:r>
              <w:rPr>
                <w:sz w:val="19"/>
                <w:szCs w:val="19"/>
                <w:lang w:val="es-ES"/>
              </w:rPr>
              <w:t xml:space="preserve">Transferencia fuera del EEE</w:t>
            </w:r>
          </w:p>
        </w:tc>
      </w:tr>
      <w:tr>
        <w:trPr>
          <w:cantSplit/>
        </w:trPr>
        <w:tc>
          <w:tcPr>
            <w:tcW w:type="dxa" w:w="1872"/>
            <w:tcMar>
              <w:left w:type="dxa" w:w="80"/>
              <w:right w:type="dxa" w:w="80"/>
            </w:tcMar>
          </w:tcPr>
          <w:p>
            <w:pPr>
              <w:pStyle w:val="Compact"/>
            </w:pPr>
            <w:r>
              <w:rPr>
                <w:b/>
                <w:bCs/>
                <w:sz w:val="19"/>
                <w:szCs w:val="19"/>
                <w:lang w:val="es-ES"/>
              </w:rPr>
              <w:t xml:space="preserve">Primaria</w:t>
            </w:r>
          </w:p>
        </w:tc>
        <w:tc>
          <w:tcPr>
            <w:tcW w:type="dxa" w:w="1872"/>
            <w:tcMar>
              <w:left w:type="dxa" w:w="80"/>
              <w:right w:type="dxa" w:w="80"/>
            </w:tcMar>
          </w:tcPr>
          <w:p>
            <w:pPr>
              <w:pStyle w:val="Compact"/>
            </w:pPr>
            <w:r>
              <w:rPr>
                <w:sz w:val="19"/>
                <w:szCs w:val="19"/>
                <w:lang w:val="es-ES"/>
              </w:rPr>
              <w:t xml:space="preserve">Pesos abiertos: Qwen 3.6 o Mistral [versiones por confirmar]</w:t>
            </w:r>
          </w:p>
        </w:tc>
        <w:tc>
          <w:tcPr>
            <w:tcW w:type="dxa" w:w="1872"/>
            <w:tcMar>
              <w:left w:type="dxa" w:w="80"/>
              <w:right w:type="dxa" w:w="80"/>
            </w:tcMar>
          </w:tcPr>
          <w:p>
            <w:pPr>
              <w:pStyle w:val="Compact"/>
            </w:pPr>
            <w:r>
              <w:rPr>
                <w:sz w:val="19"/>
                <w:szCs w:val="19"/>
                <w:lang w:val="es-ES"/>
              </w:rPr>
              <w:t xml:space="preserve">Servidores vLLM controlados por OHADJA (o cliente de infraestructura en la opción B)</w:t>
            </w:r>
          </w:p>
        </w:tc>
        <w:tc>
          <w:tcPr>
            <w:tcW w:type="dxa" w:w="1872"/>
            <w:tcMar>
              <w:left w:type="dxa" w:w="80"/>
              <w:right w:type="dxa" w:w="80"/>
            </w:tcMar>
          </w:tcPr>
          <w:p>
            <w:pPr>
              <w:pStyle w:val="Compact"/>
            </w:pPr>
            <w:r>
              <w:rPr>
                <w:sz w:val="19"/>
                <w:szCs w:val="19"/>
                <w:lang w:val="es-ES"/>
              </w:rPr>
              <w:t xml:space="preserve">UE — Estrasburgo / París</w:t>
            </w:r>
          </w:p>
        </w:tc>
        <w:tc>
          <w:tcPr>
            <w:tcW w:type="dxa" w:w="1872"/>
            <w:tcMar>
              <w:left w:type="dxa" w:w="80"/>
              <w:right w:type="dxa" w:w="80"/>
            </w:tcMar>
          </w:tcPr>
          <w:p>
            <w:pPr>
              <w:pStyle w:val="Compact"/>
            </w:pPr>
            <w:r>
              <w:rPr>
                <w:sz w:val="19"/>
                <w:szCs w:val="19"/>
                <w:lang w:val="es-ES"/>
              </w:rPr>
              <w:t xml:space="preserve">No</w:t>
            </w:r>
          </w:p>
        </w:tc>
      </w:tr>
      <w:tr>
        <w:trPr>
          <w:cantSplit/>
        </w:trPr>
        <w:tc>
          <w:tcPr>
            <w:tcW w:type="dxa" w:w="1872"/>
            <w:tcMar>
              <w:left w:type="dxa" w:w="80"/>
              <w:right w:type="dxa" w:w="80"/>
            </w:tcMar>
          </w:tcPr>
          <w:p>
            <w:pPr>
              <w:pStyle w:val="Compact"/>
            </w:pPr>
            <w:r>
              <w:rPr>
                <w:b/>
                <w:bCs/>
                <w:sz w:val="19"/>
                <w:szCs w:val="19"/>
                <w:lang w:val="es-ES"/>
              </w:rPr>
              <w:t xml:space="preserve">Conmutación por error</w:t>
            </w:r>
          </w:p>
        </w:tc>
        <w:tc>
          <w:tcPr>
            <w:tcW w:type="dxa" w:w="1872"/>
            <w:tcMar>
              <w:left w:type="dxa" w:w="80"/>
              <w:right w:type="dxa" w:w="80"/>
            </w:tcMar>
          </w:tcPr>
          <w:p>
            <w:pPr>
              <w:pStyle w:val="Compact"/>
            </w:pPr>
            <w:r>
              <w:rPr>
                <w:sz w:val="19"/>
                <w:szCs w:val="19"/>
                <w:lang w:val="es-ES"/>
              </w:rPr>
              <w:t xml:space="preserve">Claude, GPT…</w:t>
            </w:r>
          </w:p>
        </w:tc>
        <w:tc>
          <w:tcPr>
            <w:tcW w:type="dxa" w:w="1872"/>
            <w:tcMar>
              <w:left w:type="dxa" w:w="80"/>
              <w:right w:type="dxa" w:w="80"/>
            </w:tcMar>
          </w:tcPr>
          <w:p>
            <w:pPr>
              <w:pStyle w:val="Compact"/>
            </w:pPr>
            <w:r>
              <w:rPr>
                <w:sz w:val="19"/>
                <w:szCs w:val="19"/>
                <w:lang w:val="es-ES"/>
              </w:rPr>
              <w:t xml:space="preserve">a través de OpenRouter</w:t>
            </w:r>
          </w:p>
        </w:tc>
        <w:tc>
          <w:tcPr>
            <w:tcW w:type="dxa" w:w="1872"/>
            <w:tcMar>
              <w:left w:type="dxa" w:w="80"/>
              <w:right w:type="dxa" w:w="80"/>
            </w:tcMar>
          </w:tcPr>
          <w:p>
            <w:pPr>
              <w:pStyle w:val="Compact"/>
            </w:pPr>
            <w:r>
              <w:rPr>
                <w:sz w:val="19"/>
                <w:szCs w:val="19"/>
                <w:lang w:val="es-ES"/>
              </w:rPr>
              <w:t xml:space="preserve">Ruta a EE. UU. posible</w:t>
            </w:r>
          </w:p>
        </w:tc>
        <w:tc>
          <w:tcPr>
            <w:tcW w:type="dxa" w:w="1872"/>
            <w:tcMar>
              <w:left w:type="dxa" w:w="80"/>
              <w:right w:type="dxa" w:w="80"/>
            </w:tcMar>
          </w:tcPr>
          <w:p>
            <w:pPr>
              <w:pStyle w:val="Compact"/>
            </w:pPr>
            <w:r>
              <w:rPr>
                <w:sz w:val="19"/>
                <w:szCs w:val="19"/>
                <w:lang w:val="es-ES"/>
              </w:rPr>
              <w:t xml:space="preserve">Sí, </w:t>
            </w:r>
            <w:r>
              <w:rPr>
                <w:sz w:val="19"/>
                <w:szCs w:val="19"/>
                <w:lang w:val="es-ES"/>
              </w:rPr>
              <w:t xml:space="preserve"/>
            </w:r>
            <w:r>
              <w:rPr>
                <w:b/>
                <w:bCs/>
                <w:sz w:val="19"/>
                <w:szCs w:val="19"/>
                <w:lang w:val="es-ES"/>
              </w:rPr>
              <w:t xml:space="preserve">evitable (vía </w:t>
            </w:r>
            <w:r>
              <w:rPr>
                <w:sz w:val="19"/>
                <w:szCs w:val="19"/>
                <w:lang w:val="es-ES"/>
              </w:rPr>
              <w:t xml:space="preserve"/>
            </w:r>
            <w:r>
              <w:rPr>
                <w:sz w:val="19"/>
                <w:szCs w:val="19"/>
                <w:lang w:val="es-ES"/>
              </w:rPr>
              <w:t xml:space="preserve">que se puede omitir, perfil estricto de la UE)</w:t>
            </w:r>
          </w:p>
        </w:tc>
      </w:tr>
      <w:tr>
        <w:trPr>
          <w:cantSplit/>
        </w:trPr>
        <w:tc>
          <w:tcPr>
            <w:tcW w:type="dxa" w:w="1872"/>
            <w:tcMar>
              <w:left w:type="dxa" w:w="80"/>
              <w:right w:type="dxa" w:w="80"/>
            </w:tcMar>
          </w:tcPr>
          <w:p>
            <w:pPr>
              <w:pStyle w:val="Compact"/>
            </w:pPr>
            <w:r>
              <w:rPr>
                <w:b/>
                <w:bCs/>
                <w:sz w:val="19"/>
                <w:szCs w:val="19"/>
                <w:lang w:val="es-ES"/>
              </w:rPr>
              <w:t xml:space="preserve">Por organización</w:t>
            </w:r>
          </w:p>
        </w:tc>
        <w:tc>
          <w:tcPr>
            <w:tcW w:type="dxa" w:w="1872"/>
            <w:tcMar>
              <w:left w:type="dxa" w:w="80"/>
              <w:right w:type="dxa" w:w="80"/>
            </w:tcMar>
          </w:tcPr>
          <w:p>
            <w:pPr>
              <w:pStyle w:val="Compact"/>
            </w:pPr>
            <w:r>
              <w:rPr>
                <w:sz w:val="19"/>
                <w:szCs w:val="19"/>
                <w:lang w:val="es-ES"/>
              </w:rPr>
              <w:t xml:space="preserve">Tu elección (desde v1.7.0)</w:t>
            </w:r>
          </w:p>
        </w:tc>
        <w:tc>
          <w:tcPr>
            <w:tcW w:type="dxa" w:w="1872"/>
            <w:tcMar>
              <w:left w:type="dxa" w:w="80"/>
              <w:right w:type="dxa" w:w="80"/>
            </w:tcMar>
          </w:tcPr>
          <w:p>
            <w:pPr>
              <w:pStyle w:val="Compact"/>
            </w:pPr>
            <w:r>
              <w:rPr>
                <w:sz w:val="19"/>
                <w:szCs w:val="19"/>
                <w:lang w:val="es-ES"/>
              </w:rPr>
              <w:t xml:space="preserve">Proveedor/punto final definido por la organización, incluido el autohospedado</w:t>
            </w:r>
          </w:p>
        </w:tc>
        <w:tc>
          <w:tcPr>
            <w:tcW w:type="dxa" w:w="1872"/>
            <w:tcMar>
              <w:left w:type="dxa" w:w="80"/>
              <w:right w:type="dxa" w:w="80"/>
            </w:tcMar>
          </w:tcPr>
          <w:p>
            <w:pPr>
              <w:pStyle w:val="Compact"/>
            </w:pPr>
            <w:r>
              <w:rPr>
                <w:sz w:val="19"/>
                <w:szCs w:val="19"/>
                <w:lang w:val="es-ES"/>
              </w:rPr>
              <w:t xml:space="preserve">Según la elección de la organización.</w:t>
            </w:r>
          </w:p>
        </w:tc>
        <w:tc>
          <w:tcPr>
            <w:tcW w:type="dxa" w:w="1872"/>
            <w:tcMar>
              <w:left w:type="dxa" w:w="80"/>
              <w:right w:type="dxa" w:w="80"/>
            </w:tcMar>
          </w:tcPr>
          <w:p>
            <w:pPr>
              <w:pStyle w:val="Compact"/>
            </w:pPr>
            <w:r>
              <w:rPr>
                <w:sz w:val="19"/>
                <w:szCs w:val="19"/>
                <w:lang w:val="es-ES"/>
              </w:rPr>
              <w:t xml:space="preserve">Dependiendo de la elección</w:t>
            </w:r>
          </w:p>
        </w:tc>
      </w:tr>
    </w:tbl>
    <w:p>
      <w:pPr>
        <w:pStyle w:val="BlockText"/>
      </w:pPr>
      <w:r>
        <w:rPr>
          <w:b/>
          <w:bCs/>
          <w:lang w:val="es-ES"/>
        </w:rPr>
        <w:t xml:space="preserve">[A CONFIRMAR]: </w:t>
      </w:r>
      <w:r>
        <w:rPr>
          <w:lang w:val="es-ES"/>
        </w:rPr>
        <w:t xml:space="preserve"/>
      </w:r>
      <w:r>
        <w:rPr>
          <w:lang w:val="es-ES"/>
        </w:rPr>
        <w:t xml:space="preserve">las versiones exactas de los modelos de pesos abiertos (Qwen 3.6 / Mistral) se fijan en el momento de la contratación. Los proveedores realmente activados para el Cliente se enumeran en el Anexo 2 de la DPA y están sujetos al procedimiento de cambio (§7).</w:t>
      </w:r>
    </w:p>
    <w:bookmarkEnd w:id="112"/>
    <w:bookmarkStart w:id="113" w:name="X2613d757ec50592d19a7869d075b43d140a05e4"/>
    <w:p>
      <w:pPr>
        <w:pStyle w:val="Heading3"/>
        <w:keepNext/>
        <w:keepLines/>
      </w:pPr>
      <w:r>
        <w:rPr>
          <w:color w:val="000000"/>
          <w:lang w:val="es-ES"/>
        </w:rPr>
        <w:t xml:space="preserve">2.2 Transcripción y diarización</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Tratamiento</w:t>
            </w:r>
          </w:p>
        </w:tc>
        <w:tc>
          <w:tcPr/>
          <w:p>
            <w:pPr>
              <w:pStyle w:val="Compact"/>
            </w:pPr>
            <w:r>
              <w:rPr>
                <w:lang w:val="es-ES"/>
              </w:rPr>
              <w:t xml:space="preserve">Tecnología</w:t>
            </w:r>
          </w:p>
        </w:tc>
        <w:tc>
          <w:tcPr/>
          <w:p>
            <w:pPr>
              <w:pStyle w:val="Compact"/>
            </w:pPr>
            <w:r>
              <w:rPr>
                <w:lang w:val="es-ES"/>
              </w:rPr>
              <w:t xml:space="preserve">Ejecución</w:t>
            </w:r>
          </w:p>
        </w:tc>
      </w:tr>
      <w:tr>
        <w:trPr>
          <w:cantSplit/>
        </w:trPr>
        <w:tc>
          <w:tcPr/>
          <w:p>
            <w:pPr>
              <w:pStyle w:val="Compact"/>
            </w:pPr>
            <w:r>
              <w:rPr>
                <w:lang w:val="es-ES"/>
              </w:rPr>
              <w:t xml:space="preserve">Transcripción</w:t>
            </w:r>
          </w:p>
        </w:tc>
        <w:tc>
          <w:tcPr/>
          <w:p>
            <w:pPr>
              <w:pStyle w:val="Compact"/>
            </w:pPr>
            <w:r>
              <w:rPr>
                <w:lang w:val="es-ES"/>
              </w:rPr>
              <w:t xml:space="preserve">whisperX</w:t>
            </w:r>
          </w:p>
        </w:tc>
        <w:tc>
          <w:tcPr/>
          <w:p>
            <w:pPr>
              <w:pStyle w:val="Compact"/>
            </w:pPr>
            <w:r>
              <w:rPr>
                <w:lang w:val="es-ES"/>
              </w:rPr>
              <w:t xml:space="preserve">Servidor GPU dedicado (UE cuando sea necesario) o GPU local (Opción B)</w:t>
            </w:r>
          </w:p>
        </w:tc>
      </w:tr>
      <w:tr>
        <w:trPr>
          <w:cantSplit/>
        </w:trPr>
        <w:tc>
          <w:tcPr/>
          <w:p>
            <w:pPr>
              <w:pStyle w:val="Compact"/>
            </w:pPr>
            <w:r>
              <w:rPr>
                <w:lang w:val="es-ES"/>
              </w:rPr>
              <w:t xml:space="preserve">diarización posicional</w:t>
            </w:r>
          </w:p>
        </w:tc>
        <w:tc>
          <w:tcPr/>
          <w:p>
            <w:pPr>
              <w:pStyle w:val="Compact"/>
            </w:pPr>
            <w:r>
              <w:rPr>
                <w:lang w:val="es-ES"/>
              </w:rPr>
              <w:t xml:space="preserve">pyannote.audio</w:t>
            </w:r>
          </w:p>
        </w:tc>
        <w:tc>
          <w:tcPr/>
          <w:p>
            <w:pPr>
              <w:pStyle w:val="Compact"/>
            </w:pPr>
            <w:r>
              <w:rPr>
                <w:lang w:val="es-ES"/>
              </w:rPr>
              <w:t xml:space="preserve">Lo mismo</w:t>
            </w:r>
          </w:p>
        </w:tc>
      </w:tr>
    </w:tbl>
    <w:bookmarkEnd w:id="113"/>
    <w:bookmarkStart w:id="114" w:name="Xc42de4c5fcd87d5ce39d074dc24454af63f0e5d"/>
    <w:p>
      <w:pPr>
        <w:pStyle w:val="Heading3"/>
        <w:keepNext/>
        <w:keepLines/>
      </w:pPr>
      <w:r>
        <w:rPr>
          <w:color w:val="000000"/>
          <w:lang w:val="es-ES"/>
        </w:rPr>
        <w:t xml:space="preserve">2.3 Configuración de LLM por organización (desde v1.7.0)</w:t>
      </w:r>
    </w:p>
    <w:p>
      <w:pPr>
        <w:pStyle w:val="FirstParagraph"/>
      </w:pPr>
      <w:r>
        <w:rPr>
          <w:lang w:val="es-ES"/>
        </w:rPr>
        <w:t xml:space="preserve">Cada organización puede definir su propio proveedor, su clave, su modelo y, cuando proceda, una URL </w:t>
      </w:r>
      <w:r>
        <w:rPr>
          <w:lang w:val="es-ES"/>
        </w:rPr>
        <w:t xml:space="preserve"/>
      </w:r>
      <w:r>
        <w:rPr>
          <w:b/>
          <w:bCs/>
          <w:lang w:val="es-ES"/>
        </w:rPr>
        <w:t xml:space="preserve">autoalojada. El </w:t>
      </w:r>
      <w:r>
        <w:rPr>
          <w:lang w:val="es-ES"/>
        </w:rPr>
        <w:t xml:space="preserve">comportamiento es </w:t>
      </w:r>
      <w:r>
        <w:rPr>
          <w:lang w:val="es-ES"/>
        </w:rPr>
        <w:t xml:space="preserve"/>
      </w:r>
      <w:r>
        <w:rPr>
          <w:b/>
          <w:bCs/>
          <w:lang w:val="es-ES"/>
        </w:rPr>
        <w:t xml:space="preserve">fail-closed: una </w:t>
      </w:r>
      <w:r>
        <w:rPr>
          <w:lang w:val="es-ES"/>
        </w:rPr>
        <w:t xml:space="preserve"/>
      </w:r>
      <w:r>
        <w:rPr>
          <w:lang w:val="es-ES"/>
        </w:rPr>
        <w:t xml:space="preserve">organización con configuraciones propias nunca utiliza las </w:t>
      </w:r>
      <w:r>
        <w:rPr>
          <w:lang w:val="es-ES"/>
        </w:rPr>
        <w:t xml:space="preserve"/>
      </w:r>
      <w:r>
        <w:rPr>
          <w:b/>
          <w:bCs/>
          <w:lang w:val="es-ES"/>
        </w:rPr>
        <w:t xml:space="preserve"/>
      </w:r>
      <w:r>
        <w:rPr>
          <w:lang w:val="es-ES"/>
        </w:rPr>
        <w:t xml:space="preserve">configuraciones </w:t>
      </w:r>
      <w:r>
        <w:rPr>
          <w:lang w:val="es-ES"/>
        </w:rPr>
        <w:t xml:space="preserve">de la plataforma. Las claves están aisladas, cifradas en la base de datos y nunca se vuelven a mostrar. Los endpoints autoalojados están protegidos </w:t>
      </w:r>
      <w:r>
        <w:rPr>
          <w:lang w:val="es-ES"/>
        </w:rPr>
        <w:t xml:space="preserve"/>
      </w:r>
      <w:r>
        <w:rPr>
          <w:b/>
          <w:bCs/>
          <w:lang w:val="es-ES"/>
        </w:rPr>
        <w:t xml:space="preserve">contra </w:t>
      </w:r>
      <w:r>
        <w:rPr>
          <w:lang w:val="es-ES"/>
        </w:rPr>
        <w:t xml:space="preserve">SSRF </w:t>
      </w:r>
      <w:r>
        <w:rPr>
          <w:lang w:val="es-ES"/>
        </w:rPr>
        <w:t xml:space="preserve">(validación de IP pública, fijación de DNS, bloqueo de IP privadas y direcciones de metadatos).</w:t>
      </w:r>
    </w:p>
    <w:p>
      <w:pPr>
        <w:pStyle w:val="BodyText"/>
      </w:pPr>
      <w:r>
        <w:rPr>
          <w:lang w:val="es-ES"/>
        </w:rPr>
        <w:t xml:space="preserve">Esta funcionalidad permite el </w:t>
      </w:r>
      <w:r>
        <w:rPr>
          <w:lang w:val="es-ES"/>
        </w:rPr>
        <w:t xml:space="preserve"/>
      </w:r>
      <w:r>
        <w:rPr>
          <w:b/>
          <w:bCs/>
          <w:lang w:val="es-ES"/>
        </w:rPr>
        <w:t xml:space="preserve">perfil “UE estricto” </w:t>
      </w:r>
      <w:r>
        <w:rPr>
          <w:lang w:val="es-ES"/>
        </w:rPr>
        <w:t xml:space="preserve">(UE </w:t>
      </w:r>
      <w:r>
        <w:rPr>
          <w:lang w:val="es-ES"/>
        </w:rPr>
        <w:t xml:space="preserve">o LLM autohospedado) y, en la Opción B aislada, el funcionamiento sin </w:t>
      </w:r>
      <w:r>
        <w:rPr>
          <w:lang w:val="es-ES"/>
        </w:rPr>
        <w:t xml:space="preserve"/>
      </w:r>
      <w:r>
        <w:rPr>
          <w:b/>
          <w:bCs/>
          <w:lang w:val="es-ES"/>
        </w:rPr>
        <w:t xml:space="preserve">ningún flujo de IA </w:t>
      </w:r>
      <w:r>
        <w:rPr>
          <w:lang w:val="es-ES"/>
        </w:rPr>
        <w:t xml:space="preserve">saliente.</w:t>
      </w:r>
    </w:p>
    <w:bookmarkEnd w:id="114"/>
    <w:bookmarkEnd w:id="115"/>
    <w:bookmarkStart w:id="116" w:name="X8cea14ac9afff7602f802dbdf16848ddab328ca"/>
    <w:p>
      <w:pPr>
        <w:pStyle w:val="Heading2"/>
        <w:keepNext/>
        <w:keepLines/>
      </w:pPr>
      <w:r>
        <w:rPr>
          <w:color w:val="000000"/>
          <w:lang w:val="es-ES"/>
        </w:rPr>
        <w:t xml:space="preserve">3. Datos transmitidos a cada proveedor</w:t>
      </w:r>
    </w:p>
    <w:p>
      <w:pPr>
        <w:pStyle w:val="Compact"/>
        <w:numPr>
          <w:ilvl w:val="0"/>
          <w:numId w:val="1026"/>
        </w:numPr>
      </w:pPr>
      <w:r>
        <w:rPr>
          <w:lang w:val="es-ES"/>
        </w:rPr>
        <w:t xml:space="preserve">Los datos transmitidos al LLM </w:t>
      </w:r>
      <w:r>
        <w:rPr>
          <w:lang w:val="es-ES"/>
        </w:rPr>
        <w:t xml:space="preserve">son </w:t>
      </w:r>
      <w:r>
        <w:rPr>
          <w:b/>
          <w:bCs/>
          <w:lang w:val="es-ES"/>
        </w:rPr>
        <w:t xml:space="preserve">únicamente las fuentes seleccionadas por el usuario: </w:t>
      </w:r>
      <w:r>
        <w:rPr>
          <w:lang w:val="es-ES"/>
        </w:rPr>
        <w:t xml:space="preserve"/>
      </w:r>
      <w:r>
        <w:rPr>
          <w:lang w:val="es-ES"/>
        </w:rPr>
        <w:t xml:space="preserve">transcripciones, documentos, votos, metadatos, según la función activada.</w:t>
      </w:r>
    </w:p>
    <w:p>
      <w:pPr>
        <w:pStyle w:val="Compact"/>
        <w:numPr>
          <w:ilvl w:val="0"/>
          <w:numId w:val="1026"/>
        </w:numPr>
      </w:pPr>
      <w:r>
        <w:rPr>
          <w:b/>
          <w:bCs/>
          <w:lang w:val="es-ES"/>
        </w:rPr>
        <w:t xml:space="preserve">Minimización: </w:t>
      </w:r>
      <w:r>
        <w:rPr>
          <w:lang w:val="es-ES"/>
        </w:rPr>
        <w:t xml:space="preserve"/>
      </w:r>
      <w:r>
        <w:rPr>
          <w:lang w:val="es-ES"/>
        </w:rPr>
        <w:t xml:space="preserve">en el mensaje solo se incluyen las fuentes necesarias para la función.</w:t>
      </w:r>
    </w:p>
    <w:p>
      <w:pPr>
        <w:pStyle w:val="Compact"/>
        <w:numPr>
          <w:ilvl w:val="0"/>
          <w:numId w:val="1026"/>
        </w:numPr>
      </w:pPr>
      <w:r>
        <w:rPr>
          <w:lang w:val="es-ES"/>
        </w:rPr>
        <w:t xml:space="preserve">En el </w:t>
      </w:r>
      <w:r>
        <w:rPr>
          <w:lang w:val="es-ES"/>
        </w:rPr>
        <w:t xml:space="preserve"/>
      </w:r>
      <w:r>
        <w:rPr>
          <w:b/>
          <w:bCs/>
          <w:lang w:val="es-ES"/>
        </w:rPr>
        <w:t xml:space="preserve">canal primario (EU vLLM), </w:t>
      </w:r>
      <w:r>
        <w:rPr>
          <w:lang w:val="es-ES"/>
        </w:rPr>
        <w:t xml:space="preserve">los datos no salen de los servidores controlados por OHADJA (o de la infraestructura del Cliente): </w:t>
      </w:r>
      <w:r>
        <w:rPr>
          <w:lang w:val="es-ES"/>
        </w:rPr>
        <w:t xml:space="preserve">ningún </w:t>
      </w:r>
      <w:r>
        <w:rPr>
          <w:b/>
          <w:bCs/>
          <w:lang w:val="es-ES"/>
        </w:rPr>
        <w:t xml:space="preserve">tercero </w:t>
      </w:r>
      <w:r>
        <w:rPr>
          <w:lang w:val="es-ES"/>
        </w:rPr>
        <w:t xml:space="preserve"/>
      </w:r>
      <w:r>
        <w:rPr>
          <w:lang w:val="es-ES"/>
        </w:rPr>
        <w:t xml:space="preserve">accede a ellos.</w:t>
      </w:r>
    </w:p>
    <w:p>
      <w:pPr>
        <w:pStyle w:val="Compact"/>
        <w:numPr>
          <w:ilvl w:val="0"/>
          <w:numId w:val="1026"/>
        </w:numPr>
      </w:pPr>
      <w:r>
        <w:rPr>
          <w:lang w:val="es-ES"/>
        </w:rPr>
        <w:t xml:space="preserve">Las </w:t>
      </w:r>
      <w:r>
        <w:rPr>
          <w:lang w:val="es-ES"/>
        </w:rPr>
        <w:t xml:space="preserve"/>
      </w:r>
      <w:r>
        <w:rPr>
          <w:b/>
          <w:bCs/>
          <w:lang w:val="es-ES"/>
        </w:rPr>
        <w:t xml:space="preserve">salidas </w:t>
      </w:r>
      <w:r>
        <w:rPr>
          <w:lang w:val="es-ES"/>
        </w:rPr>
        <w:t xml:space="preserve"/>
      </w:r>
      <w:r>
        <w:rPr>
          <w:lang w:val="es-ES"/>
        </w:rPr>
        <w:t xml:space="preserve">generadas se mantienen en el inquilino (tabla </w:t>
      </w:r>
      <w:r>
        <w:rPr>
          <w:lang w:val="es-ES"/>
        </w:rPr>
        <w:t xml:space="preserve"/>
      </w:r>
      <w:r>
        <w:rPr>
          <w:rStyle w:val="VerbatimChar"/>
          <w:lang w:val="es-ES"/>
        </w:rPr>
        <w:t xml:space="preserve">ai_generations</w:t>
      </w:r>
      <w:r>
        <w:rPr>
          <w:lang w:val="es-ES"/>
        </w:rPr>
        <w:t xml:space="preserve">), son editables y están sujetas a validación humana.</w:t>
      </w:r>
    </w:p>
    <w:p>
      <w:pPr>
        <w:pStyle w:val="Compact"/>
        <w:numPr>
          <w:ilvl w:val="0"/>
          <w:numId w:val="1026"/>
        </w:numPr>
      </w:pPr>
      <w:r>
        <w:rPr>
          <w:lang w:val="es-ES"/>
        </w:rPr>
        <w:t xml:space="preserve">No se realiza ningún envío de datos al LLM sin la acción del usuario.</w:t>
      </w:r>
    </w:p>
    <w:bookmarkEnd w:id="116"/>
    <w:bookmarkStart w:id="117" w:name="X7e25c68b99894fac1e98cdb2271b9848e9f6f11"/>
    <w:p>
      <w:pPr>
        <w:pStyle w:val="Heading2"/>
        <w:keepNext/>
        <w:keepLines/>
      </w:pPr>
      <w:r>
        <w:rPr>
          <w:color w:val="000000"/>
          <w:lang w:val="es-ES"/>
        </w:rPr>
        <w:t xml:space="preserve">4. Períodos de retención del lado del proveedor</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Ruta/proveedor</w:t>
            </w:r>
          </w:p>
        </w:tc>
        <w:tc>
          <w:tcPr/>
          <w:p>
            <w:pPr>
              <w:pStyle w:val="Compact"/>
            </w:pPr>
            <w:r>
              <w:rPr>
                <w:lang w:val="es-ES"/>
              </w:rPr>
              <w:t xml:space="preserve">Retención del lado del proveedor</w:t>
            </w:r>
          </w:p>
        </w:tc>
        <w:tc>
          <w:tcPr/>
          <w:p>
            <w:pPr>
              <w:pStyle w:val="Compact"/>
            </w:pPr>
            <w:r>
              <w:rPr>
                <w:lang w:val="es-ES"/>
              </w:rPr>
              <w:t xml:space="preserve">Entrenamiento</w:t>
            </w:r>
          </w:p>
        </w:tc>
      </w:tr>
      <w:tr>
        <w:trPr>
          <w:cantSplit/>
        </w:trPr>
        <w:tc>
          <w:tcPr/>
          <w:p>
            <w:pPr>
              <w:pStyle w:val="Compact"/>
            </w:pPr>
            <w:r>
              <w:rPr>
                <w:b/>
                <w:bCs/>
                <w:lang w:val="es-ES"/>
              </w:rPr>
              <w:t xml:space="preserve">Servidores vLLM controlados (canal primario, UE)</w:t>
            </w:r>
          </w:p>
        </w:tc>
        <w:tc>
          <w:tcPr/>
          <w:p>
            <w:pPr>
              <w:pStyle w:val="Compact"/>
            </w:pPr>
            <w:r>
              <w:rPr>
                <w:lang w:val="es-ES"/>
              </w:rPr>
              <w:t xml:space="preserve">Ninguna transmisión a un tercero; sin conservación externa</w:t>
            </w:r>
          </w:p>
        </w:tc>
        <w:tc>
          <w:tcPr/>
          <w:p>
            <w:pPr>
              <w:pStyle w:val="Compact"/>
            </w:pPr>
            <w:r>
              <w:rPr>
                <w:lang w:val="es-ES"/>
              </w:rPr>
              <w:t xml:space="preserve">No</w:t>
            </w:r>
          </w:p>
        </w:tc>
      </w:tr>
      <w:tr>
        <w:trPr>
          <w:cantSplit/>
        </w:trPr>
        <w:tc>
          <w:tcPr/>
          <w:p>
            <w:pPr>
              <w:pStyle w:val="Compact"/>
            </w:pPr>
            <w:r>
              <w:rPr>
                <w:lang w:val="es-ES"/>
              </w:rPr>
              <w:t xml:space="preserve">OpenRouter (ruta de escape)</w:t>
            </w:r>
          </w:p>
        </w:tc>
        <w:tc>
          <w:tcPr/>
          <w:p>
            <w:pPr>
              <w:pStyle w:val="Compact"/>
            </w:pPr>
            <w:r>
              <w:rPr>
                <w:lang w:val="es-ES"/>
              </w:rPr>
              <w:t xml:space="preserve">Sin almacenamiento duradero; sin entrenamiento («no-train») habilitado</w:t>
            </w:r>
          </w:p>
        </w:tc>
        <w:tc>
          <w:tcPr/>
          <w:p>
            <w:pPr>
              <w:pStyle w:val="Compact"/>
            </w:pPr>
            <w:r>
              <w:rPr>
                <w:lang w:val="es-ES"/>
              </w:rPr>
              <w:t xml:space="preserve">No</w:t>
            </w:r>
          </w:p>
        </w:tc>
      </w:tr>
      <w:tr>
        <w:trPr>
          <w:cantSplit/>
        </w:trPr>
        <w:tc>
          <w:tcPr/>
          <w:p>
            <w:pPr>
              <w:pStyle w:val="Compact"/>
            </w:pPr>
            <w:r>
              <w:rPr>
                <w:lang w:val="es-ES"/>
              </w:rPr>
              <w:t xml:space="preserve">Anthropic / OpenAI (vía rescate)</w:t>
            </w:r>
          </w:p>
        </w:tc>
        <w:tc>
          <w:tcPr/>
          <w:p>
            <w:pPr>
              <w:pStyle w:val="Compact"/>
            </w:pPr>
            <w:r>
              <w:rPr>
                <w:lang w:val="es-ES"/>
              </w:rPr>
              <w:t xml:space="preserve">Según el proveedor DPA: retención limitada</w:t>
            </w:r>
          </w:p>
        </w:tc>
        <w:tc>
          <w:tcPr/>
          <w:p>
            <w:pPr>
              <w:pStyle w:val="Compact"/>
            </w:pPr>
            <w:r>
              <w:rPr>
                <w:lang w:val="es-ES"/>
              </w:rPr>
              <w:t xml:space="preserve">No (sin entrenamiento («no-train»))</w:t>
            </w:r>
          </w:p>
        </w:tc>
      </w:tr>
      <w:tr>
        <w:trPr>
          <w:cantSplit/>
        </w:trPr>
        <w:tc>
          <w:tcPr/>
          <w:p>
            <w:pPr>
              <w:pStyle w:val="Compact"/>
            </w:pPr>
            <w:r>
              <w:rPr>
                <w:lang w:val="es-ES"/>
              </w:rPr>
              <w:t xml:space="preserve">LLM autohospedado (por organización)</w:t>
            </w:r>
          </w:p>
        </w:tc>
        <w:tc>
          <w:tcPr/>
          <w:p>
            <w:pPr>
              <w:pStyle w:val="Compact"/>
            </w:pPr>
            <w:r>
              <w:rPr>
                <w:lang w:val="es-ES"/>
              </w:rPr>
              <w:t xml:space="preserve">Según la política del Cliente (punto final bajo su control)</w:t>
            </w:r>
          </w:p>
        </w:tc>
        <w:tc>
          <w:tcPr/>
          <w:p>
            <w:pPr>
              <w:pStyle w:val="Compact"/>
            </w:pPr>
            <w:r>
              <w:rPr>
                <w:lang w:val="es-ES"/>
              </w:rPr>
              <w:t xml:space="preserve">Según el cliente</w:t>
            </w:r>
          </w:p>
        </w:tc>
      </w:tr>
    </w:tbl>
    <w:p>
      <w:pPr>
        <w:pStyle w:val="BlockText"/>
      </w:pPr>
      <w:r>
        <w:rPr>
          <w:b/>
          <w:bCs/>
          <w:lang w:val="es-ES"/>
        </w:rPr>
        <w:t xml:space="preserve">[A COMPLETAR por el proveedor]: </w:t>
      </w:r>
      <w:r>
        <w:rPr>
          <w:lang w:val="es-ES"/>
        </w:rPr>
        <w:t xml:space="preserve"/>
      </w:r>
      <w:r>
        <w:rPr>
          <w:lang w:val="es-ES"/>
        </w:rPr>
        <w:t xml:space="preserve">los períodos de retención exactos en el lado Anthropic y OpenAI (solo ruta de emergencia) los establecen sus respectivos DPA (retención transitoria por abuso/seguridad, sin entrenamiento («no-train»)). A especificar proveedor por proveedor antes de contratar.</w:t>
      </w:r>
    </w:p>
    <w:bookmarkEnd w:id="117"/>
    <w:bookmarkStart w:id="118" w:name="X76a0388a0a75e5cd732825608b5174151bb52b1"/>
    <w:p>
      <w:pPr>
        <w:pStyle w:val="Heading2"/>
        <w:keepNext/>
        <w:keepLines/>
      </w:pPr>
      <w:r>
        <w:rPr>
          <w:color w:val="000000"/>
          <w:lang w:val="es-ES"/>
        </w:rPr>
        <w:t xml:space="preserve">5. Posible acceso humano</w:t>
      </w:r>
    </w:p>
    <w:p>
      <w:pPr>
        <w:pStyle w:val="Compact"/>
        <w:numPr>
          <w:ilvl w:val="0"/>
          <w:numId w:val="1027"/>
        </w:numPr>
      </w:pPr>
      <w:r>
        <w:rPr>
          <w:b/>
          <w:bCs/>
          <w:lang w:val="es-ES"/>
        </w:rPr>
        <w:t xml:space="preserve">Lado OHADJA: </w:t>
      </w:r>
      <w:r>
        <w:rPr>
          <w:lang w:val="es-ES"/>
        </w:rPr>
        <w:t xml:space="preserve"/>
      </w:r>
      <w:r>
        <w:rPr>
          <w:lang w:val="es-ES"/>
        </w:rPr>
        <w:t xml:space="preserve"/>
      </w:r>
      <w:r>
        <w:rPr>
          <w:lang w:val="es-ES"/>
        </w:rPr>
        <w:t xml:space="preserve">no </w:t>
      </w:r>
      <w:r>
        <w:rPr>
          <w:b/>
          <w:bCs/>
          <w:lang w:val="es-ES"/>
        </w:rPr>
        <w:t xml:space="preserve">hay </w:t>
      </w:r>
      <w:r>
        <w:rPr>
          <w:lang w:val="es-ES"/>
        </w:rPr>
        <w:t xml:space="preserve"/>
      </w:r>
      <w:r>
        <w:rPr>
          <w:lang w:val="es-ES"/>
        </w:rPr>
        <w:t xml:space="preserve">acceso humano a las indicaciones. Las indicaciones son creadas y transmitidas automáticamente por la aplicación.</w:t>
      </w:r>
    </w:p>
    <w:p>
      <w:pPr>
        <w:pStyle w:val="Compact"/>
        <w:numPr>
          <w:ilvl w:val="0"/>
          <w:numId w:val="1027"/>
        </w:numPr>
      </w:pPr>
      <w:r>
        <w:rPr>
          <w:b/>
          <w:bCs/>
          <w:lang w:val="es-ES"/>
        </w:rPr>
        <w:t xml:space="preserve">Lado del proveedor: </w:t>
      </w:r>
      <w:r>
        <w:rPr>
          <w:lang w:val="es-ES"/>
        </w:rPr>
        <w:t xml:space="preserve"/>
      </w:r>
      <w:r>
        <w:rPr>
          <w:lang w:val="es-ES"/>
        </w:rPr>
        <w:t xml:space="preserve">regulado por la DPA del proveedor (acceso limitado a fines de seguridad/abuso, sin formación).</w:t>
      </w:r>
    </w:p>
    <w:bookmarkEnd w:id="118"/>
    <w:bookmarkStart w:id="119" w:name="X2d6d1fb352eec63ee42824fb7c8bbef9df44f01"/>
    <w:p>
      <w:pPr>
        <w:pStyle w:val="Heading2"/>
        <w:keepNext/>
        <w:keepLines/>
      </w:pPr>
      <w:r>
        <w:rPr>
          <w:color w:val="000000"/>
          <w:lang w:val="es-ES"/>
        </w:rPr>
        <w:t xml:space="preserve">6. Garantías de no formación y no reutilización</w:t>
      </w:r>
    </w:p>
    <w:p>
      <w:pPr>
        <w:pStyle w:val="Compact"/>
        <w:numPr>
          <w:ilvl w:val="0"/>
          <w:numId w:val="1028"/>
        </w:numPr>
      </w:pPr>
      <w:r>
        <w:rPr>
          <w:b/>
          <w:bCs/>
          <w:lang w:val="es-ES"/>
        </w:rPr>
        <w:t xml:space="preserve">Canal primario (EU </w:t>
      </w:r>
      <w:r>
        <w:rPr>
          <w:lang w:val="es-ES"/>
        </w:rPr>
        <w:t xml:space="preserve">vLLM): </w:t>
      </w:r>
      <w:r>
        <w:rPr>
          <w:lang w:val="es-ES"/>
        </w:rPr>
        <w:t xml:space="preserve">modelos </w:t>
      </w:r>
      <w:r>
        <w:rPr>
          <w:lang w:val="es-ES"/>
        </w:rPr>
        <w:t xml:space="preserve"/>
      </w:r>
      <w:r>
        <w:rPr>
          <w:b/>
          <w:bCs/>
          <w:lang w:val="es-ES"/>
        </w:rPr>
        <w:t xml:space="preserve">de peso </w:t>
      </w:r>
      <w:r>
        <w:rPr>
          <w:lang w:val="es-ES"/>
        </w:rPr>
        <w:t xml:space="preserve"/>
      </w:r>
      <w:r>
        <w:rPr>
          <w:lang w:val="es-ES"/>
        </w:rPr>
        <w:t xml:space="preserve">abierto ejecutados en servidores controlados; Las indicaciones </w:t>
      </w:r>
      <w:r>
        <w:rPr>
          <w:lang w:val="es-ES"/>
        </w:rPr>
        <w:t xml:space="preserve"/>
      </w:r>
      <w:r>
        <w:rPr>
          <w:b/>
          <w:bCs/>
          <w:lang w:val="es-ES"/>
        </w:rPr>
        <w:t xml:space="preserve"/>
      </w:r>
      <w:r>
        <w:rPr>
          <w:lang w:val="es-ES"/>
        </w:rPr>
        <w:t xml:space="preserve"/>
      </w:r>
      <w:r>
        <w:rPr>
          <w:lang w:val="es-ES"/>
        </w:rPr>
        <w:t xml:space="preserve">no se utilizan para entrenar modelos y no se transmiten </w:t>
      </w:r>
      <w:r>
        <w:rPr>
          <w:lang w:val="es-ES"/>
        </w:rPr>
        <w:t xml:space="preserve"/>
      </w:r>
      <w:r>
        <w:rPr>
          <w:b/>
          <w:bCs/>
          <w:lang w:val="es-ES"/>
        </w:rPr>
        <w:t xml:space="preserve">a </w:t>
      </w:r>
      <w:r>
        <w:rPr>
          <w:lang w:val="es-ES"/>
        </w:rPr>
        <w:t xml:space="preserve">terceros.</w:t>
      </w:r>
    </w:p>
    <w:p>
      <w:pPr>
        <w:pStyle w:val="Compact"/>
        <w:numPr>
          <w:ilvl w:val="0"/>
          <w:numId w:val="1028"/>
        </w:numPr>
      </w:pPr>
      <w:r>
        <w:rPr>
          <w:b/>
          <w:bCs/>
          <w:lang w:val="es-ES"/>
        </w:rPr>
        <w:t xml:space="preserve">Ruta de emergencia: </w:t>
      </w:r>
      <w:r>
        <w:rPr>
          <w:lang w:val="es-ES"/>
        </w:rPr>
        <w:t xml:space="preserve"/>
      </w:r>
      <w:r>
        <w:rPr>
          <w:lang w:val="es-ES"/>
        </w:rPr>
        <w:t xml:space="preserve"/>
      </w:r>
      <w:r>
        <w:rPr>
          <w:lang w:val="es-ES"/>
        </w:rPr>
        <w:t xml:space="preserve">bandera </w:t>
      </w:r>
      <w:r>
        <w:rPr>
          <w:b/>
          <w:bCs/>
          <w:lang w:val="es-ES"/>
        </w:rPr>
        <w:t xml:space="preserve">de no entrenamiento </w:t>
      </w:r>
      <w:r>
        <w:rPr>
          <w:lang w:val="es-ES"/>
        </w:rPr>
        <w:t xml:space="preserve"/>
      </w:r>
      <w:r>
        <w:rPr>
          <w:lang w:val="es-ES"/>
        </w:rPr>
        <w:t xml:space="preserve">(«no-train») activada en la puerta de enlace de OpenRouter.</w:t>
      </w:r>
    </w:p>
    <w:p>
      <w:pPr>
        <w:pStyle w:val="Compact"/>
        <w:numPr>
          <w:ilvl w:val="0"/>
          <w:numId w:val="1028"/>
        </w:numPr>
      </w:pPr>
      <w:r>
        <w:rPr>
          <w:lang w:val="es-ES"/>
        </w:rPr>
        <w:t xml:space="preserve">Compromiso contractual de no formación incluido en el </w:t>
      </w:r>
      <w:r>
        <w:rPr>
          <w:lang w:val="es-ES"/>
        </w:rPr>
        <w:t xml:space="preserve">DPA </w:t>
      </w:r>
      <w:r>
        <w:rPr>
          <w:b/>
          <w:bCs/>
          <w:lang w:val="es-ES"/>
        </w:rPr>
        <w:t xml:space="preserve">(Anexo 3 §8): los </w:t>
      </w:r>
      <w:r>
        <w:rPr>
          <w:lang w:val="es-ES"/>
        </w:rPr>
        <w:t xml:space="preserve"/>
      </w:r>
      <w:r>
        <w:rPr>
          <w:lang w:val="es-ES"/>
        </w:rPr>
        <w:t xml:space="preserve">datos transmitidos al encargados del tratamiento IA no son utilizados por OHADJA para entrenar sus propios modelos, a menos que el Cliente lo indique expresamente y por separado.</w:t>
      </w:r>
    </w:p>
    <w:p>
      <w:pPr>
        <w:pStyle w:val="Compact"/>
        <w:numPr>
          <w:ilvl w:val="0"/>
          <w:numId w:val="1028"/>
        </w:numPr>
      </w:pPr>
      <w:r>
        <w:rPr>
          <w:lang w:val="es-ES"/>
        </w:rPr>
        <w:t xml:space="preserve">No se permite la reutilización del contenido para fines distintos de la ejecución de la solicitud del Cliente.</w:t>
      </w:r>
    </w:p>
    <w:bookmarkEnd w:id="119"/>
    <w:bookmarkStart w:id="120" w:name="Xbbcbe0aef55d7b3e216a9333077b0de9e5a8f3f"/>
    <w:p>
      <w:pPr>
        <w:pStyle w:val="Heading2"/>
        <w:keepNext/>
        <w:keepLines/>
      </w:pPr>
      <w:r>
        <w:rPr>
          <w:color w:val="000000"/>
          <w:lang w:val="es-ES"/>
        </w:rPr>
        <w:t xml:space="preserve">7. Modalidades de cambio de modelo/proveedor</w:t>
      </w:r>
    </w:p>
    <w:p>
      <w:pPr>
        <w:pStyle w:val="Compact"/>
        <w:numPr>
          <w:ilvl w:val="0"/>
          <w:numId w:val="1029"/>
        </w:numPr>
      </w:pPr>
      <w:r>
        <w:rPr>
          <w:lang w:val="es-ES"/>
        </w:rPr>
        <w:t xml:space="preserve">El cambio de modelo o proveedor lo puede realizar </w:t>
      </w:r>
      <w:r>
        <w:rPr>
          <w:lang w:val="es-ES"/>
        </w:rPr>
        <w:t xml:space="preserve"/>
      </w:r>
      <w:r>
        <w:rPr>
          <w:b/>
          <w:bCs/>
          <w:lang w:val="es-ES"/>
        </w:rPr>
        <w:t xml:space="preserve">la plataforma o </w:t>
      </w:r>
      <w:r>
        <w:rPr>
          <w:lang w:val="es-ES"/>
        </w:rPr>
        <w:t xml:space="preserve"/>
      </w:r>
      <w:r>
        <w:rPr>
          <w:lang w:val="es-ES"/>
        </w:rPr>
        <w:t xml:space="preserve">la </w:t>
      </w:r>
      <w:r>
        <w:rPr>
          <w:lang w:val="es-ES"/>
        </w:rPr>
        <w:t xml:space="preserve"/>
      </w:r>
      <w:r>
        <w:rPr>
          <w:b/>
          <w:bCs/>
          <w:lang w:val="es-ES"/>
        </w:rPr>
        <w:t xml:space="preserve">organización </w:t>
      </w:r>
      <w:r>
        <w:rPr>
          <w:lang w:val="es-ES"/>
        </w:rPr>
        <w:t xml:space="preserve"/>
      </w:r>
      <w:r>
        <w:rPr>
          <w:lang w:val="es-ES"/>
        </w:rPr>
        <w:t xml:space="preserve">(configuración LLM por organización).</w:t>
      </w:r>
    </w:p>
    <w:p>
      <w:pPr>
        <w:pStyle w:val="Compact"/>
        <w:numPr>
          <w:ilvl w:val="0"/>
          <w:numId w:val="1029"/>
        </w:numPr>
      </w:pPr>
      <w:r>
        <w:rPr>
          <w:lang w:val="es-ES"/>
        </w:rPr>
        <w:t xml:space="preserve">Cualquier </w:t>
      </w:r>
      <w:r>
        <w:rPr>
          <w:lang w:val="es-ES"/>
        </w:rPr>
        <w:t xml:space="preserve"/>
      </w:r>
      <w:r>
        <w:rPr>
          <w:b/>
          <w:bCs/>
          <w:lang w:val="es-ES"/>
        </w:rPr>
        <w:t xml:space="preserve">incorporación o </w:t>
      </w:r>
      <w:r>
        <w:rPr>
          <w:lang w:val="es-ES"/>
        </w:rPr>
        <w:t xml:space="preserve"/>
      </w:r>
      <w:r>
        <w:rPr>
          <w:lang w:val="es-ES"/>
        </w:rPr>
        <w:t xml:space="preserve">sustitución de proveedor a nivel de plataforma está sujeta </w:t>
      </w:r>
      <w:r>
        <w:rPr>
          <w:lang w:val="es-ES"/>
        </w:rPr>
        <w:t xml:space="preserve"/>
      </w:r>
      <w:r>
        <w:rPr>
          <w:b/>
          <w:bCs/>
          <w:lang w:val="es-ES"/>
        </w:rPr>
        <w:t xml:space="preserve">a un aviso de 30 días + el derecho de objeción </w:t>
      </w:r>
      <w:r>
        <w:rPr>
          <w:lang w:val="es-ES"/>
        </w:rPr>
        <w:t xml:space="preserve"/>
      </w:r>
      <w:r>
        <w:rPr>
          <w:lang w:val="es-ES"/>
        </w:rPr>
        <w:t xml:space="preserve">del Cliente (DPA §6).</w:t>
      </w:r>
    </w:p>
    <w:p>
      <w:pPr>
        <w:pStyle w:val="Compact"/>
        <w:numPr>
          <w:ilvl w:val="0"/>
          <w:numId w:val="1029"/>
        </w:numPr>
      </w:pPr>
      <w:r>
        <w:rPr>
          <w:lang w:val="es-ES"/>
        </w:rPr>
        <w:t xml:space="preserve">El Cliente puede, en cualquier </w:t>
      </w:r>
      <w:r>
        <w:rPr>
          <w:lang w:val="es-ES"/>
        </w:rPr>
        <w:t xml:space="preserve"/>
      </w:r>
      <w:r>
        <w:rPr>
          <w:b/>
          <w:bCs/>
          <w:lang w:val="es-ES"/>
        </w:rPr>
        <w:t xml:space="preserve">momento, elegir </w:t>
      </w:r>
      <w:r>
        <w:rPr>
          <w:lang w:val="es-ES"/>
        </w:rPr>
        <w:t xml:space="preserve">su </w:t>
      </w:r>
      <w:r>
        <w:rPr>
          <w:lang w:val="es-ES"/>
        </w:rPr>
        <w:t xml:space="preserve">propio proveedor mediante la configuración por organización, incluido un LLM autohospedado.</w:t>
      </w:r>
    </w:p>
    <w:bookmarkEnd w:id="120"/>
    <w:bookmarkStart w:id="121" w:name="Xd7f952ce444fe0cff542caac7e328f2beb9cd73"/>
    <w:p>
      <w:pPr>
        <w:pStyle w:val="Heading2"/>
        <w:keepNext/>
        <w:keepLines/>
      </w:pPr>
      <w:r>
        <w:rPr>
          <w:color w:val="000000"/>
          <w:lang w:val="es-ES"/>
        </w:rPr>
        <w:t xml:space="preserve">8. Transparencia de salida</w:t>
      </w:r>
    </w:p>
    <w:p>
      <w:pPr>
        <w:pStyle w:val="Compact"/>
        <w:numPr>
          <w:ilvl w:val="0"/>
          <w:numId w:val="1030"/>
        </w:numPr>
      </w:pPr>
      <w:r>
        <w:rPr>
          <w:lang w:val="es-ES"/>
        </w:rPr>
        <w:t xml:space="preserve">Las salidas de IA se </w:t>
      </w:r>
      <w:r>
        <w:rPr>
          <w:lang w:val="es-ES"/>
        </w:rPr>
        <w:t xml:space="preserve"/>
      </w:r>
      <w:r>
        <w:rPr>
          <w:b/>
          <w:bCs/>
          <w:lang w:val="es-ES"/>
        </w:rPr>
        <w:t xml:space="preserve">almacenan en el inquilino </w:t>
      </w:r>
      <w:r>
        <w:rPr>
          <w:lang w:val="es-ES"/>
        </w:rPr>
        <w:t xml:space="preserve"/>
      </w:r>
      <w:r>
        <w:rPr>
          <w:lang w:val="es-ES"/>
        </w:rPr>
        <w:t xml:space="preserve">del Cliente.</w:t>
      </w:r>
    </w:p>
    <w:p>
      <w:pPr>
        <w:pStyle w:val="Compact"/>
        <w:numPr>
          <w:ilvl w:val="0"/>
          <w:numId w:val="1030"/>
        </w:numPr>
      </w:pPr>
      <w:r>
        <w:rPr>
          <w:lang w:val="es-ES"/>
        </w:rPr>
        <w:t xml:space="preserve">Pueden </w:t>
      </w:r>
      <w:r>
        <w:rPr>
          <w:lang w:val="es-ES"/>
        </w:rPr>
        <w:t xml:space="preserve">ser </w:t>
      </w:r>
      <w:r>
        <w:rPr>
          <w:b/>
          <w:bCs/>
          <w:lang w:val="es-ES"/>
        </w:rPr>
        <w:t xml:space="preserve">editados </w:t>
      </w:r>
      <w:r>
        <w:rPr>
          <w:lang w:val="es-ES"/>
        </w:rPr>
        <w:t xml:space="preserve"/>
      </w:r>
      <w:r>
        <w:rPr>
          <w:lang w:val="es-ES"/>
        </w:rPr>
        <w:t xml:space="preserve">por usuarios autorizados.</w:t>
      </w:r>
    </w:p>
    <w:p>
      <w:pPr>
        <w:pStyle w:val="Compact"/>
        <w:numPr>
          <w:ilvl w:val="0"/>
          <w:numId w:val="1030"/>
        </w:numPr>
      </w:pPr>
      <w:r>
        <w:rPr>
          <w:lang w:val="es-ES"/>
        </w:rPr>
        <w:t xml:space="preserve">Están sujetos a validación </w:t>
      </w:r>
      <w:r>
        <w:rPr>
          <w:lang w:val="es-ES"/>
        </w:rPr>
        <w:t xml:space="preserve"/>
      </w:r>
      <w:r>
        <w:rPr>
          <w:b/>
          <w:bCs/>
          <w:lang w:val="es-ES"/>
        </w:rPr>
        <w:t xml:space="preserve">humana antes de </w:t>
      </w:r>
      <w:r>
        <w:rPr>
          <w:lang w:val="es-ES"/>
        </w:rPr>
        <w:t xml:space="preserve"/>
      </w:r>
      <w:r>
        <w:rPr>
          <w:lang w:val="es-ES"/>
        </w:rPr>
        <w:t xml:space="preserve">ser conservados (en particular, para sugerencias de identificación de oradores, consulte OHA-RGPD-07).</w:t>
      </w:r>
    </w:p>
    <w:p>
      <w:pPr>
        <w:pStyle w:val="Compact"/>
        <w:numPr>
          <w:ilvl w:val="0"/>
          <w:numId w:val="1030"/>
        </w:numPr>
      </w:pPr>
      <w:r>
        <w:rPr>
          <w:lang w:val="es-ES"/>
        </w:rPr>
        <w:t xml:space="preserve">La plataforma no toma ninguna decisión que produzca efectos jurídicos de forma totalmente automatizada.</w:t>
      </w:r>
    </w:p>
    <w:p>
      <w:r>
        <w:pict>
          <v:rect style="width:0;height:1.5pt" o:hralign="center" o:hrstd="t" o:hr="t"/>
        </w:pict>
      </w:r>
    </w:p>
    <w:p>
      <w:pPr>
        <w:pStyle w:val="FirstParagraph"/>
      </w:pPr>
      <w:r>
        <w:rPr>
          <w:i/>
          <w:iCs/>
          <w:lang w:val="es-ES"/>
        </w:rPr>
        <w:t xml:space="preserve">Documento de trabajo establecido por OHADJA — para ser validado por su asesor legal / DPO antes de la firma.</w:t>
      </w:r>
    </w:p>
    <w:p>
      <w:r>
        <w:br w:type="page"/>
      </w:r>
    </w:p>
    <w:bookmarkEnd w:id="121"/>
    <w:bookmarkEnd w:id="122"/>
    <w:bookmarkStart w:id="139" w:name="X60112580242ccd233cbd012b1ec70b56adebcf6"/>
    <w:p>
      <w:pPr>
        <w:pStyle w:val="Heading1"/>
        <w:keepNext/>
        <w:keepLines/>
      </w:pPr>
      <w:r>
        <w:rPr>
          <w:color w:val="000000"/>
          <w:lang w:val="es-ES"/>
        </w:rPr>
        <w:t xml:space="preserve">Nota técnica de análisis RGPD: identificación del hablante y correlación de voz</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Referencia</w:t>
            </w:r>
          </w:p>
        </w:tc>
        <w:tc>
          <w:tcPr/>
          <w:p>
            <w:pPr>
              <w:pStyle w:val="Compact"/>
            </w:pPr>
            <w:r>
              <w:rPr>
                <w:lang w:val="es-ES"/>
              </w:rPr>
              <w:t xml:space="preserve">OHA-RGPD-07</w:t>
            </w:r>
          </w:p>
        </w:tc>
      </w:tr>
      <w:tr>
        <w:trPr>
          <w:cantSplit/>
        </w:trPr>
        <w:tc>
          <w:tcPr/>
          <w:p>
            <w:pPr>
              <w:pStyle w:val="Compact"/>
            </w:pPr>
            <w:r>
              <w:rPr>
                <w:lang w:val="es-ES"/>
              </w:rPr>
              <w:t xml:space="preserve">Propósito</w:t>
            </w:r>
          </w:p>
        </w:tc>
        <w:tc>
          <w:tcPr/>
          <w:p>
            <w:pPr>
              <w:pStyle w:val="Compact"/>
            </w:pPr>
            <w:r>
              <w:rPr>
                <w:lang w:val="es-ES"/>
              </w:rPr>
              <w:t xml:space="preserve">RGPD análisis de diarización, atribución manual y correlación de voz efímera</w:t>
            </w:r>
          </w:p>
        </w:tc>
      </w:tr>
      <w:tr>
        <w:trPr>
          <w:cantSplit/>
        </w:trPr>
        <w:tc>
          <w:tcPr/>
          <w:p>
            <w:pPr>
              <w:pStyle w:val="Compact"/>
            </w:pPr>
            <w:r>
              <w:rPr>
                <w:lang w:val="es-ES"/>
              </w:rPr>
              <w:t xml:space="preserve">Versión</w:t>
            </w:r>
          </w:p>
        </w:tc>
        <w:tc>
          <w:tcPr/>
          <w:p>
            <w:pPr>
              <w:pStyle w:val="Compact"/>
            </w:pPr>
            <w:r>
              <w:rPr>
                <w:lang w:val="es-ES"/>
              </w:rPr>
              <w:t xml:space="preserve">1.0</w:t>
            </w:r>
          </w:p>
        </w:tc>
      </w:tr>
      <w:tr>
        <w:trPr>
          <w:cantSplit/>
        </w:trPr>
        <w:tc>
          <w:tcPr/>
          <w:p>
            <w:pPr>
              <w:pStyle w:val="Compact"/>
            </w:pPr>
            <w:r>
              <w:rPr>
                <w:lang w:val="es-ES"/>
              </w:rPr>
              <w:t xml:space="preserve">Fecha</w:t>
            </w:r>
          </w:p>
        </w:tc>
        <w:tc>
          <w:tcPr/>
          <w:p>
            <w:pPr>
              <w:pStyle w:val="Compact"/>
            </w:pPr>
            <w:r>
              <w:rPr>
                <w:lang w:val="es-ES"/>
              </w:rPr>
              <w:t xml:space="preserve">2026-07-24</w:t>
            </w:r>
          </w:p>
        </w:tc>
      </w:tr>
      <w:tr>
        <w:trPr>
          <w:cantSplit/>
        </w:trPr>
        <w:tc>
          <w:tcPr/>
          <w:p>
            <w:pPr>
              <w:pStyle w:val="Compact"/>
            </w:pPr>
            <w:r>
              <w:rPr>
                <w:lang w:val="es-ES"/>
              </w:rPr>
              <w:t xml:space="preserve">Redactor</w:t>
            </w:r>
          </w:p>
        </w:tc>
        <w:tc>
          <w:tcPr/>
          <w:p>
            <w:pPr>
              <w:pStyle w:val="Compact"/>
            </w:pPr>
            <w:r>
              <w:rPr>
                <w:lang w:val="es-ES"/>
              </w:rPr>
              <w:t xml:space="preserve">OHADJA</w:t>
            </w:r>
          </w:p>
        </w:tc>
      </w:tr>
      <w:tr>
        <w:trPr>
          <w:cantSplit/>
        </w:trPr>
        <w:tc>
          <w:tcPr/>
          <w:p>
            <w:pPr>
              <w:pStyle w:val="Compact"/>
            </w:pPr>
            <w:r>
              <w:rPr>
                <w:lang w:val="es-ES"/>
              </w:rPr>
              <w:t xml:space="preserve">Destinatario</w:t>
            </w:r>
          </w:p>
        </w:tc>
        <w:tc>
          <w:tcPr/>
          <w:p>
            <w:pPr>
              <w:pStyle w:val="Compact"/>
            </w:pPr>
            <w:r>
              <w:rPr>
                <w:lang w:val="es-ES"/>
              </w:rPr>
              <w:t xml:space="preserve">Organización del cliente (documento estándar)</w:t>
            </w:r>
          </w:p>
        </w:tc>
      </w:tr>
      <w:tr>
        <w:trPr>
          <w:cantSplit/>
        </w:trPr>
        <w:tc>
          <w:tcPr/>
          <w:p>
            <w:pPr>
              <w:pStyle w:val="Compact"/>
            </w:pPr>
            <w:r>
              <w:rPr>
                <w:lang w:val="es-ES"/>
              </w:rPr>
              <w:t xml:space="preserve">Clasificación</w:t>
            </w:r>
          </w:p>
        </w:tc>
        <w:tc>
          <w:tcPr/>
          <w:p>
            <w:pPr>
              <w:pStyle w:val="Compact"/>
            </w:pPr>
            <w:r>
              <w:rPr>
                <w:lang w:val="es-ES"/>
              </w:rPr>
              <w:t xml:space="preserve">Público: documento estándar, especificado durante cada contratación.</w:t>
            </w:r>
          </w:p>
        </w:tc>
      </w:tr>
    </w:tbl>
    <w:bookmarkStart w:id="123" w:name="sommaire"/>
    <w:p>
      <w:pPr>
        <w:pStyle w:val="Heading2"/>
        <w:keepNext/>
        <w:keepLines/>
      </w:pPr>
      <w:r>
        <w:rPr>
          <w:color w:val="000000"/>
          <w:lang w:val="es-ES"/>
        </w:rPr>
        <w:t xml:space="preserve">Resumen</w:t>
      </w:r>
    </w:p>
    <w:p>
      <w:pPr>
        <w:pStyle w:val="Compact"/>
        <w:numPr>
          <w:ilvl w:val="0"/>
          <w:numId w:val="1031"/>
        </w:numPr>
      </w:pPr>
      <w:r>
        <w:rPr>
          <w:lang w:val="es-ES"/>
        </w:rPr>
        <w:t xml:space="preserve">Contexto y funcionalidades afectadas</w:t>
      </w:r>
    </w:p>
    <w:p>
      <w:pPr>
        <w:pStyle w:val="Compact"/>
        <w:numPr>
          <w:ilvl w:val="0"/>
          <w:numId w:val="1031"/>
        </w:numPr>
      </w:pPr>
      <w:r>
        <w:rPr>
          <w:lang w:val="es-ES"/>
        </w:rPr>
        <w:t xml:space="preserve">Descripción técnica precisa</w:t>
      </w:r>
    </w:p>
    <w:p>
      <w:pPr>
        <w:pStyle w:val="Compact"/>
        <w:numPr>
          <w:ilvl w:val="0"/>
          <w:numId w:val="1031"/>
        </w:numPr>
      </w:pPr>
      <w:r>
        <w:rPr>
          <w:lang w:val="es-ES"/>
        </w:rPr>
        <w:t xml:space="preserve">Análisis jurídico (artículos 4.14 y 9 RGPD)</w:t>
      </w:r>
    </w:p>
    <w:p>
      <w:pPr>
        <w:pStyle w:val="Compact"/>
        <w:numPr>
          <w:ilvl w:val="0"/>
          <w:numId w:val="1031"/>
        </w:numPr>
      </w:pPr>
      <w:r>
        <w:rPr>
          <w:lang w:val="es-ES"/>
        </w:rPr>
        <w:t xml:space="preserve">Marco establecido</w:t>
      </w:r>
    </w:p>
    <w:p>
      <w:pPr>
        <w:pStyle w:val="Compact"/>
        <w:numPr>
          <w:ilvl w:val="0"/>
          <w:numId w:val="1031"/>
        </w:numPr>
      </w:pPr>
      <w:r>
        <w:rPr>
          <w:lang w:val="es-ES"/>
        </w:rPr>
        <w:t xml:space="preserve">Medidas técnicas y organizativas específicas</w:t>
      </w:r>
    </w:p>
    <w:p>
      <w:pPr>
        <w:pStyle w:val="Compact"/>
        <w:numPr>
          <w:ilvl w:val="0"/>
          <w:numId w:val="1031"/>
        </w:numPr>
      </w:pPr>
      <w:r>
        <w:rPr>
          <w:lang w:val="es-ES"/>
        </w:rPr>
        <w:t xml:space="preserve">Limitaciones y recomendaciones en responsable del tratamiento</w:t>
      </w:r>
    </w:p>
    <w:p>
      <w:r>
        <w:pict>
          <v:rect style="width:0;height:1.5pt" o:hralign="center" o:hrstd="t" o:hr="t"/>
        </w:pict>
      </w:r>
    </w:p>
    <w:bookmarkEnd w:id="123"/>
    <w:bookmarkStart w:id="127" w:name="X2eef3329d32e5831a22b5ff6ee8d5d9ac74e61a"/>
    <w:p>
      <w:pPr>
        <w:pStyle w:val="Heading2"/>
        <w:keepNext/>
        <w:keepLines/>
      </w:pPr>
      <w:r>
        <w:rPr>
          <w:color w:val="000000"/>
          <w:lang w:val="es-ES"/>
        </w:rPr>
        <w:t xml:space="preserve">1. Contexto y funcionalidades afectadas</w:t>
      </w:r>
    </w:p>
    <w:p>
      <w:pPr>
        <w:pStyle w:val="FirstParagraph"/>
      </w:pPr>
      <w:r>
        <w:rPr>
          <w:lang w:val="es-ES"/>
        </w:rPr>
        <w:t xml:space="preserve">TranscribIA implementa la identificación de stakeholders </w:t>
      </w:r>
      <w:r>
        <w:rPr>
          <w:lang w:val="es-ES"/>
        </w:rPr>
        <w:t xml:space="preserve"/>
      </w:r>
      <w:r>
        <w:rPr>
          <w:b/>
          <w:bCs/>
          <w:lang w:val="es-ES"/>
        </w:rPr>
        <w:t xml:space="preserve">mediante tres procesos </w:t>
      </w:r>
      <w:r>
        <w:rPr>
          <w:lang w:val="es-ES"/>
        </w:rPr>
        <w:t xml:space="preserve">distintos, cuyo marco RGPD difiere. Es fundamental no confundirlos.</w:t>
      </w:r>
    </w:p>
    <w:bookmarkStart w:id="124" w:name="Xfc860c796c8e649ab4456ed892617adad2d30ce"/>
    <w:p>
      <w:pPr>
        <w:pStyle w:val="Heading3"/>
        <w:keepNext/>
        <w:keepLines/>
      </w:pPr>
      <w:r>
        <w:rPr>
          <w:color w:val="000000"/>
          <w:lang w:val="es-ES"/>
        </w:rPr>
        <w:t xml:space="preserve">1.1 diarización posicional automático</w:t>
      </w:r>
    </w:p>
    <w:p>
      <w:pPr>
        <w:pStyle w:val="FirstParagraph"/>
      </w:pPr>
      <w:r>
        <w:rPr>
          <w:lang w:val="es-ES"/>
        </w:rPr>
        <w:t xml:space="preserve">Al recibir un archivo de audio, la diarización mediante </w:t>
      </w:r>
      <w:r>
        <w:rPr>
          <w:lang w:val="es-ES"/>
        </w:rPr>
        <w:t xml:space="preserve"/>
      </w:r>
      <w:r>
        <w:rPr>
          <w:rStyle w:val="VerbatimChar"/>
          <w:lang w:val="es-ES"/>
        </w:rPr>
        <w:t xml:space="preserve">pyannote.audio</w:t>
      </w:r>
      <w:r>
        <w:rPr>
          <w:lang w:val="es-ES"/>
        </w:rPr>
        <w:t xml:space="preserve"> </w:t>
      </w:r>
      <w:r>
        <w:rPr>
          <w:lang w:val="es-ES"/>
        </w:rPr>
        <w:t xml:space="preserve">produce etiquetas </w:t>
      </w:r>
      <w:r>
        <w:rPr>
          <w:lang w:val="es-ES"/>
        </w:rPr>
        <w:t xml:space="preserve"/>
      </w:r>
      <w:r>
        <w:rPr>
          <w:b/>
          <w:bCs/>
          <w:lang w:val="es-ES"/>
        </w:rPr>
        <w:t xml:space="preserve">posicionales («Speaker 1», «Speaker 2»…) que </w:t>
      </w:r>
      <w:r>
        <w:rPr>
          <w:lang w:val="es-ES"/>
        </w:rPr>
        <w:t xml:space="preserve"/>
      </w:r>
      <w:r>
        <w:rPr>
          <w:lang w:val="es-ES"/>
        </w:rPr>
        <w:t xml:space="preserve">indican los segmentos atribuidos a un mismo hablante sin mostrar su nombre. Estas etiquetas siguen siendo datos personales si el hablante </w:t>
      </w:r>
      <w:r>
        <w:rPr>
          <w:lang w:val="es-ES"/>
        </w:rPr>
        <w:t xml:space="preserve"/>
      </w:r>
      <w:r>
        <w:rPr>
          <w:b/>
          <w:bCs/>
          <w:lang w:val="es-ES"/>
        </w:rPr>
        <w:t xml:space="preserve">es </w:t>
      </w:r>
      <w:r>
        <w:rPr>
          <w:lang w:val="es-ES"/>
        </w:rPr>
        <w:t xml:space="preserve"/>
      </w:r>
      <w:r>
        <w:rPr>
          <w:lang w:val="es-ES"/>
        </w:rPr>
        <w:t xml:space="preserve">identificable. No se conserva </w:t>
      </w:r>
      <w:r>
        <w:rPr>
          <w:lang w:val="es-ES"/>
        </w:rPr>
        <w:t xml:space="preserve"/>
      </w:r>
      <w:r>
        <w:rPr>
          <w:b/>
          <w:bCs/>
          <w:lang w:val="es-ES"/>
        </w:rPr>
        <w:t xml:space="preserve"/>
      </w:r>
      <w:r>
        <w:rPr>
          <w:lang w:val="es-ES"/>
        </w:rPr>
        <w:t xml:space="preserve"/>
      </w:r>
      <w:r>
        <w:rPr>
          <w:lang w:val="es-ES"/>
        </w:rPr>
        <w:t xml:space="preserve">ninguna plantilla vocal una vez finalizado el procesamiento de la tarea, según la configuración documentada.</w:t>
      </w:r>
    </w:p>
    <w:bookmarkEnd w:id="124"/>
    <w:bookmarkStart w:id="125" w:name="Xfe6b3bdac694c9f53024d943134b553687eec1a"/>
    <w:p>
      <w:pPr>
        <w:pStyle w:val="Heading3"/>
        <w:keepNext/>
        <w:keepLines/>
      </w:pPr>
      <w:r>
        <w:rPr>
          <w:color w:val="000000"/>
          <w:lang w:val="es-ES"/>
        </w:rPr>
        <w:t xml:space="preserve">1.2 Ayudas de asignación y llenado manuales</w:t>
      </w:r>
    </w:p>
    <w:p>
      <w:pPr>
        <w:pStyle w:val="FirstParagraph"/>
      </w:pPr>
      <w:r>
        <w:rPr>
          <w:lang w:val="es-ES"/>
        </w:rPr>
        <w:t xml:space="preserve">Un operador autorizado del Cliente abre la sesión transcrita e introduce, para cada “Orador N”, un </w:t>
      </w:r>
      <w:r>
        <w:rPr>
          <w:lang w:val="es-ES"/>
        </w:rPr>
        <w:t xml:space="preserve">nombre </w:t>
      </w:r>
      <w:r>
        <w:rPr>
          <w:b/>
          <w:bCs/>
          <w:lang w:val="es-ES"/>
        </w:rPr>
        <w:t xml:space="preserve">humano </w:t>
      </w:r>
      <w:r>
        <w:rPr>
          <w:lang w:val="es-ES"/>
        </w:rPr>
        <w:t xml:space="preserve"/>
      </w:r>
      <w:r>
        <w:rPr>
          <w:lang w:val="es-ES"/>
        </w:rPr>
        <w:t xml:space="preserve">(“Marie Dupont”, “Señor Presidente”, “Relator”…). Esta operación es estrictamente </w:t>
      </w:r>
      <w:r>
        <w:rPr>
          <w:lang w:val="es-ES"/>
        </w:rPr>
        <w:t xml:space="preserve"/>
      </w:r>
      <w:r>
        <w:rPr>
          <w:b/>
          <w:bCs/>
          <w:lang w:val="es-ES"/>
        </w:rPr>
        <w:t xml:space="preserve">manual. Las ayudas </w:t>
      </w:r>
      <w:r>
        <w:rPr>
          <w:lang w:val="es-ES"/>
        </w:rPr>
        <w:t xml:space="preserve">aceleran la entrada sin siquiera </w:t>
      </w:r>
      <w:r>
        <w:rPr>
          <w:lang w:val="es-ES"/>
        </w:rPr>
        <w:t xml:space="preserve"/>
      </w:r>
      <w:r>
        <w:rPr>
          <w:b/>
          <w:bCs/>
          <w:lang w:val="es-ES"/>
        </w:rPr>
        <w:t xml:space="preserve">analizar la voz: detección de </w:t>
      </w:r>
      <w:r>
        <w:rPr>
          <w:lang w:val="es-ES"/>
        </w:rPr>
        <w:t xml:space="preserve"/>
      </w:r>
      <w:r>
        <w:rPr>
          <w:lang w:val="es-ES"/>
        </w:rPr>
        <w:t xml:space="preserve">menciones de nombres mediante procesamiento de texto (NLP), autocompletado a partir de la lista de miembros conocidos del inquilino, historial de etiquetas ya introducidas.</w:t>
      </w:r>
    </w:p>
    <w:bookmarkEnd w:id="125"/>
    <w:bookmarkStart w:id="126" w:name="Xa8943c0f25401ec25616e1f35c33523ff19503a"/>
    <w:p>
      <w:pPr>
        <w:pStyle w:val="Heading3"/>
        <w:keepNext/>
        <w:keepLines/>
      </w:pPr>
      <w:r>
        <w:rPr>
          <w:color w:val="000000"/>
          <w:lang w:val="es-ES"/>
        </w:rPr>
        <w:t xml:space="preserve">1.3 Correlación de voz efímera (“correlación de voz”)</w:t>
      </w:r>
    </w:p>
    <w:p>
      <w:pPr>
        <w:pStyle w:val="FirstParagraph"/>
      </w:pPr>
      <w:r>
        <w:rPr>
          <w:lang w:val="es-ES"/>
        </w:rPr>
        <w:t xml:space="preserve">Desde el </w:t>
      </w:r>
      <w:r>
        <w:rPr>
          <w:lang w:val="es-ES"/>
        </w:rPr>
        <w:t xml:space="preserve"/>
      </w:r>
      <w:r>
        <w:rPr>
          <w:b/>
          <w:bCs/>
          <w:lang w:val="es-ES"/>
        </w:rPr>
        <w:t xml:space="preserve">18 de mayo </w:t>
      </w:r>
      <w:r>
        <w:rPr>
          <w:lang w:val="es-ES"/>
        </w:rPr>
        <w:t xml:space="preserve">de 2026, TranscribIA ofrece una funcionalidad </w:t>
      </w:r>
      <w:r>
        <w:rPr>
          <w:lang w:val="es-ES"/>
        </w:rPr>
        <w:t xml:space="preserve"/>
      </w:r>
      <w:r>
        <w:rPr>
          <w:b/>
          <w:bCs/>
          <w:lang w:val="es-ES"/>
        </w:rPr>
        <w:t xml:space="preserve">deshabilitada por </w:t>
      </w:r>
      <w:r>
        <w:rPr>
          <w:lang w:val="es-ES"/>
        </w:rPr>
        <w:t xml:space="preserve"/>
      </w:r>
      <w:r>
        <w:rPr>
          <w:lang w:val="es-ES"/>
        </w:rPr>
        <w:t xml:space="preserve">defecto que </w:t>
      </w:r>
      <w:r>
        <w:rPr>
          <w:lang w:val="es-ES"/>
        </w:rPr>
        <w:t xml:space="preserve"/>
      </w:r>
      <w:r>
        <w:rPr>
          <w:b/>
          <w:bCs/>
          <w:lang w:val="es-ES"/>
        </w:rPr>
        <w:t xml:space="preserve">permite, dentro de un mismo </w:t>
      </w:r>
      <w:r>
        <w:rPr>
          <w:lang w:val="es-ES"/>
        </w:rPr>
        <w:t xml:space="preserve">inquilino, una comparación </w:t>
      </w:r>
      <w:r>
        <w:rPr>
          <w:lang w:val="es-ES"/>
        </w:rPr>
        <w:t xml:space="preserve"/>
      </w:r>
      <w:r>
        <w:rPr>
          <w:b/>
          <w:bCs/>
          <w:lang w:val="es-ES"/>
        </w:rPr>
        <w:t xml:space="preserve">vocal </w:t>
      </w:r>
      <w:r>
        <w:rPr>
          <w:lang w:val="es-ES"/>
        </w:rPr>
        <w:t xml:space="preserve"/>
      </w:r>
      <w:r>
        <w:rPr>
          <w:lang w:val="es-ES"/>
        </w:rPr>
        <w:t xml:space="preserve">efímera entre segmentos (o incluso entre </w:t>
      </w:r>
      <w:r>
        <w:rPr>
          <w:lang w:val="es-ES"/>
        </w:rPr>
        <w:t xml:space="preserve"/>
      </w:r>
      <w:r>
        <w:rPr>
          <w:b/>
          <w:bCs/>
          <w:lang w:val="es-ES"/>
        </w:rPr>
        <w:t xml:space="preserve">sesiones) para </w:t>
      </w:r>
      <w:r>
        <w:rPr>
          <w:lang w:val="es-ES"/>
        </w:rPr>
        <w:t xml:space="preserve"/>
      </w:r>
      <w:r>
        <w:rPr>
          <w:lang w:val="es-ES"/>
        </w:rPr>
        <w:t xml:space="preserve">proponer una conexión entre un locutor detectado y un nombre de locutor ya ingresado. Este procesamiento calcula temporalmente las características vocales en la </w:t>
      </w:r>
      <w:r>
        <w:rPr>
          <w:lang w:val="es-ES"/>
        </w:rPr>
        <w:t xml:space="preserve">RAM, </w:t>
      </w:r>
      <w:r>
        <w:rPr>
          <w:b/>
          <w:bCs/>
          <w:lang w:val="es-ES"/>
        </w:rPr>
        <w:t xml:space="preserve">sin crear una plantilla biométrica persistente. </w:t>
      </w:r>
      <w:r>
        <w:rPr>
          <w:lang w:val="es-ES"/>
        </w:rPr>
        <w:t xml:space="preserve">Solo puede activarse mediante responsable del tratamiento, es estrictamente </w:t>
      </w:r>
      <w:r>
        <w:rPr>
          <w:lang w:val="es-ES"/>
        </w:rPr>
        <w:t xml:space="preserve">voluntaria </w:t>
      </w:r>
      <w:r>
        <w:rPr>
          <w:b/>
          <w:bCs/>
          <w:lang w:val="es-ES"/>
        </w:rPr>
        <w:t xml:space="preserve"/>
      </w:r>
      <w:r>
        <w:rPr>
          <w:lang w:val="es-ES"/>
        </w:rPr>
        <w:t xml:space="preserve">y requiere la firma previa de un apéndice </w:t>
      </w:r>
      <w:r>
        <w:rPr>
          <w:lang w:val="es-ES"/>
        </w:rPr>
        <w:t xml:space="preserve"/>
      </w:r>
      <w:r>
        <w:rPr>
          <w:b/>
          <w:bCs/>
          <w:lang w:val="es-ES"/>
        </w:rPr>
        <w:t xml:space="preserve">DPA específico y </w:t>
      </w:r>
      <w:r>
        <w:rPr>
          <w:lang w:val="es-ES"/>
        </w:rPr>
        <w:t xml:space="preserve">la </w:t>
      </w:r>
      <w:r>
        <w:rPr>
          <w:lang w:val="es-ES"/>
        </w:rPr>
        <w:t xml:space="preserve">cumplimentación de una </w:t>
      </w:r>
      <w:r>
        <w:rPr>
          <w:lang w:val="es-ES"/>
        </w:rPr>
        <w:t xml:space="preserve"/>
      </w:r>
      <w:r>
        <w:rPr>
          <w:b/>
          <w:bCs/>
          <w:lang w:val="es-ES"/>
        </w:rPr>
        <w:t xml:space="preserve">EIPD </w:t>
      </w:r>
      <w:r>
        <w:rPr>
          <w:lang w:val="es-ES"/>
        </w:rPr>
        <w:t xml:space="preserve"/>
      </w:r>
      <w:r>
        <w:rPr>
          <w:lang w:val="es-ES"/>
        </w:rPr>
        <w:t xml:space="preserve">(artículo 35).</w:t>
      </w:r>
    </w:p>
    <w:p>
      <w:pPr>
        <w:pStyle w:val="BodyText"/>
      </w:pPr>
      <w:r>
        <w:rPr>
          <w:b/>
          <w:bCs/>
          <w:lang w:val="es-ES"/>
        </w:rPr>
        <w:t xml:space="preserve">Estos tres tratamientos deben distinguirse según sus finalidades y medios: diarización posicional, asignación manual sin análisis vocal y comparación vocal opcional. Debe documentarse la clasificación jurídica de cada uno; la mera ausencia de una plantilla persistente no implica una exclusión general del artículo 9.</w:t>
      </w:r>
    </w:p>
    <w:p>
      <w:r>
        <w:pict>
          <v:rect style="width:0;height:1.5pt" o:hralign="center" o:hrstd="t" o:hr="t"/>
        </w:pict>
      </w:r>
    </w:p>
    <w:bookmarkEnd w:id="126"/>
    <w:bookmarkEnd w:id="127"/>
    <w:bookmarkStart w:id="131" w:name="Xb589f5d8bbdf56a9351a5d7e25535f1fb8a904c"/>
    <w:p>
      <w:pPr>
        <w:pStyle w:val="Heading2"/>
        <w:keepNext/>
        <w:keepLines/>
      </w:pPr>
      <w:r>
        <w:rPr>
          <w:color w:val="000000"/>
          <w:lang w:val="es-ES"/>
        </w:rPr>
        <w:t xml:space="preserve">2. Descripción técnica precisa</w:t>
      </w:r>
    </w:p>
    <w:bookmarkStart w:id="128" w:name="X664890d8427c66974ee0053fac4e14594a425d7"/>
    <w:p>
      <w:pPr>
        <w:pStyle w:val="Heading3"/>
        <w:keepNext/>
        <w:keepLines/>
      </w:pPr>
      <w:r>
        <w:rPr>
          <w:color w:val="000000"/>
          <w:lang w:val="es-ES"/>
        </w:rPr>
        <w:t xml:space="preserve">2.1 Cadena de diarización</w:t>
      </w:r>
    </w:p>
    <w:p>
      <w:pPr>
        <w:pStyle w:val="Compact"/>
        <w:numPr>
          <w:ilvl w:val="0"/>
          <w:numId w:val="1032"/>
        </w:numPr>
      </w:pPr>
      <w:r>
        <w:rPr>
          <w:lang w:val="es-ES"/>
        </w:rPr>
        <w:t xml:space="preserve">Motor: </w:t>
      </w:r>
      <w:r>
        <w:rPr>
          <w:lang w:val="es-ES"/>
        </w:rPr>
        <w:t xml:space="preserve"/>
      </w:r>
      <w:r>
        <w:rPr>
          <w:rStyle w:val="VerbatimChar"/>
          <w:lang w:val="es-ES"/>
        </w:rPr>
        <w:t xml:space="preserve">pyannote.audio</w:t>
      </w:r>
      <w:r>
        <w:rPr>
          <w:lang w:val="es-ES"/>
        </w:rPr>
        <w:t xml:space="preserve">, ejecutado en el servidor GPU de transcripción (UE cuando sea necesario; GPU local en la opción B).</w:t>
      </w:r>
    </w:p>
    <w:p>
      <w:pPr>
        <w:pStyle w:val="Compact"/>
        <w:numPr>
          <w:ilvl w:val="0"/>
          <w:numId w:val="1032"/>
        </w:numPr>
      </w:pPr>
      <w:r>
        <w:rPr>
          <w:lang w:val="es-ES"/>
        </w:rPr>
        <w:t xml:space="preserve">Salida: segmentos con marca de tiempo con </w:t>
      </w:r>
      <w:r>
        <w:rPr>
          <w:lang w:val="es-ES"/>
        </w:rPr>
        <w:t xml:space="preserve"/>
      </w:r>
      <w:r>
        <w:rPr>
          <w:b/>
          <w:bCs/>
          <w:lang w:val="es-ES"/>
        </w:rPr>
        <w:t xml:space="preserve">una etiqueta posicional </w:t>
      </w:r>
      <w:r>
        <w:rPr>
          <w:lang w:val="es-ES"/>
        </w:rPr>
        <w:t xml:space="preserve">de </w:t>
      </w:r>
      <w:r>
        <w:rPr>
          <w:lang w:val="es-ES"/>
        </w:rPr>
        <w:t xml:space="preserve">"Orador N" específica de la sesión.</w:t>
      </w:r>
    </w:p>
    <w:p>
      <w:pPr>
        <w:pStyle w:val="Compact"/>
        <w:numPr>
          <w:ilvl w:val="0"/>
          <w:numId w:val="1032"/>
        </w:numPr>
      </w:pPr>
      <w:r>
        <w:rPr>
          <w:lang w:val="es-ES"/>
        </w:rPr>
        <w:t xml:space="preserve">Las incrustaciones calculadas internamente para distinguir a los oradores de una sesión </w:t>
      </w:r>
      <w:r>
        <w:rPr>
          <w:lang w:val="es-ES"/>
        </w:rPr>
        <w:t xml:space="preserve"/>
      </w:r>
      <w:r>
        <w:rPr>
          <w:b/>
          <w:bCs/>
          <w:lang w:val="es-ES"/>
        </w:rPr>
        <w:t xml:space="preserve">existen en la RAM </w:t>
      </w:r>
      <w:r>
        <w:rPr>
          <w:lang w:val="es-ES"/>
        </w:rPr>
        <w:t xml:space="preserve"/>
      </w:r>
      <w:r>
        <w:rPr>
          <w:lang w:val="es-ES"/>
        </w:rPr>
        <w:t xml:space="preserve">durante el procesamiento y se </w:t>
      </w:r>
      <w:r>
        <w:rPr>
          <w:lang w:val="es-ES"/>
        </w:rPr>
        <w:t xml:space="preserve"/>
      </w:r>
      <w:r>
        <w:rPr>
          <w:b/>
          <w:bCs/>
          <w:lang w:val="es-ES"/>
        </w:rPr>
        <w:t xml:space="preserve">liberan al final del </w:t>
      </w:r>
      <w:r>
        <w:rPr>
          <w:lang w:val="es-ES"/>
        </w:rPr>
        <w:t xml:space="preserve">trabajo. No se escriben huellas de voz en el disco de forma persistente.</w:t>
      </w:r>
    </w:p>
    <w:bookmarkEnd w:id="128"/>
    <w:bookmarkStart w:id="129" w:name="Xe0659354dd6c47a68f8590356d1261887329b03"/>
    <w:p>
      <w:pPr>
        <w:pStyle w:val="Heading3"/>
        <w:keepNext/>
        <w:keepLines/>
      </w:pPr>
      <w:r>
        <w:rPr>
          <w:color w:val="000000"/>
          <w:lang w:val="es-ES"/>
        </w:rPr>
        <w:t xml:space="preserve">2.2 Ciclo de vida de las incrustaciones de voz (correlación de voz)</w:t>
      </w:r>
    </w:p>
    <w:p>
      <w:pPr>
        <w:pStyle w:val="SourceCode"/>
      </w:pPr>
      <w:r>
        <w:rPr>
          <w:rStyle w:val="VerbatimChar"/>
          <w:rFonts w:ascii="Courier New" w:hAnsi="Courier New" w:eastAsia="Courier New" w:cs="Courier New"/>
          <w:sz w:val="17"/>
          <w:szCs w:val="17"/>
        </w:rPr>
        <w:t xml:space="preserve">Solicitud de correlación de voz (adhesión, tenant activado)</w:t>
        <w:br/>
        <w:t xml:space="preserve">  |-- extracción de características vocales -&gt; EMBEDDINGS EN RAM</w:t>
        <w:br/>
        <w:t xml:space="preserve">  |     (tmpfs si el entorno lo permite; swap desactivado</w:t>
        <w:br/>
        <w:t xml:space="preserve">  |      para los workers afectados cuando sea posible)</w:t>
        <w:br/>
        <w:t xml:space="preserve">  |-- comparación efímera -&gt; SUGERENCIA de asociación (puntuación)</w:t>
        <w:br/>
        <w:t xml:space="preserve">  |-- validación HUMANA obligatoria antes de cualquier atribución</w:t>
        <w:br/>
        <w:t xml:space="preserve">  \-- DESTRUCCIÓN de embeddings y archivos temporales</w:t>
        <w:br/>
        <w:t xml:space="preserve">       al finalizar la solicitud (bloque `finally`)</w:t>
        <w:br/>
        <w:t xml:space="preserve">       -&gt; sin plantilla persistente ni huella vocal reutilizable conservada</w:t>
      </w:r>
    </w:p>
    <w:bookmarkEnd w:id="129"/>
    <w:bookmarkStart w:id="130" w:name="Xf92b267a21904b6a5b828e759033baaed12a0f1"/>
    <w:p>
      <w:pPr>
        <w:pStyle w:val="Heading3"/>
        <w:keepNext/>
        <w:keepLines/>
      </w:pPr>
      <w:r>
        <w:rPr>
          <w:color w:val="000000"/>
          <w:lang w:val="es-ES"/>
        </w:rPr>
        <w:t xml:space="preserve">2.3 Características clave</w:t>
      </w:r>
    </w:p>
    <w:p>
      <w:pPr>
        <w:pStyle w:val="Compact"/>
        <w:numPr>
          <w:ilvl w:val="0"/>
          <w:numId w:val="1033"/>
        </w:numPr>
      </w:pPr>
      <w:r>
        <w:rPr>
          <w:b/>
          <w:bCs/>
          <w:lang w:val="es-ES"/>
        </w:rPr>
        <w:t xml:space="preserve">Sin plantilla persistente: </w:t>
      </w:r>
      <w:r>
        <w:rPr>
          <w:lang w:val="es-ES"/>
        </w:rPr>
        <w:t xml:space="preserve"/>
      </w:r>
      <w:r>
        <w:rPr>
          <w:lang w:val="es-ES"/>
        </w:rPr>
        <w:t xml:space="preserve">no se crea ni se mantiene ninguna base de datos de huellas de voz.</w:t>
      </w:r>
    </w:p>
    <w:p>
      <w:pPr>
        <w:pStyle w:val="Compact"/>
        <w:numPr>
          <w:ilvl w:val="0"/>
          <w:numId w:val="1033"/>
        </w:numPr>
      </w:pPr>
      <w:r>
        <w:rPr>
          <w:b/>
          <w:bCs/>
          <w:lang w:val="es-ES"/>
        </w:rPr>
        <w:t xml:space="preserve">RAM </w:t>
      </w:r>
      <w:r>
        <w:rPr>
          <w:lang w:val="es-ES"/>
        </w:rPr>
        <w:t xml:space="preserve"/>
      </w:r>
      <w:r>
        <w:rPr>
          <w:lang w:val="es-ES"/>
        </w:rPr>
        <w:t xml:space="preserve">/ </w:t>
      </w:r>
      <w:r>
        <w:rPr>
          <w:lang w:val="es-ES"/>
        </w:rPr>
        <w:t xml:space="preserve"/>
      </w:r>
      <w:r>
        <w:rPr>
          <w:rStyle w:val="VerbatimChar"/>
          <w:lang w:val="es-ES"/>
        </w:rPr>
        <w:t xml:space="preserve">tmpfs</w:t>
      </w:r>
      <w:r>
        <w:rPr>
          <w:lang w:val="es-ES"/>
        </w:rPr>
        <w:t xml:space="preserve">: </w:t>
      </w:r>
      <w:r>
        <w:rPr>
          <w:lang w:val="es-ES"/>
        </w:rPr>
        <w:t xml:space="preserve">las incrustaciones se calculan en RAM; se utilizan espacios temporales de tipo tmpfs cuando el entorno lo permite; Se deshabilita el intercambio para los trabajadores afectados cuando sea compatible con la estabilidad de la infraestructura.</w:t>
      </w:r>
    </w:p>
    <w:p>
      <w:pPr>
        <w:pStyle w:val="Compact"/>
        <w:numPr>
          <w:ilvl w:val="0"/>
          <w:numId w:val="1033"/>
        </w:numPr>
      </w:pPr>
      <w:r>
        <w:rPr>
          <w:b/>
          <w:bCs/>
          <w:lang w:val="es-ES"/>
        </w:rPr>
        <w:t xml:space="preserve">Destrucción determinista: </w:t>
      </w:r>
      <w:r>
        <w:rPr>
          <w:lang w:val="es-ES"/>
        </w:rPr>
        <w:t xml:space="preserve"/>
      </w:r>
      <w:r>
        <w:rPr>
          <w:lang w:val="es-ES"/>
        </w:rPr>
        <w:t xml:space="preserve">limpieza en bloques de fin de procesamiento (</w:t>
      </w:r>
      <w:r>
        <w:rPr>
          <w:rStyle w:val="VerbatimChar"/>
          <w:lang w:val="es-ES"/>
        </w:rPr>
        <w:t xml:space="preserve">finally</w:t>
      </w:r>
      <w:r>
        <w:rPr>
          <w:lang w:val="es-ES"/>
        </w:rPr>
        <w:t xml:space="preserve">), incluso en caso de error.</w:t>
      </w:r>
    </w:p>
    <w:p>
      <w:pPr>
        <w:pStyle w:val="Compact"/>
        <w:numPr>
          <w:ilvl w:val="0"/>
          <w:numId w:val="1033"/>
        </w:numPr>
      </w:pPr>
      <w:r>
        <w:rPr>
          <w:b/>
          <w:bCs/>
          <w:lang w:val="es-ES"/>
        </w:rPr>
        <w:t xml:space="preserve">Aislamiento por </w:t>
      </w:r>
      <w:r>
        <w:rPr>
          <w:lang w:val="es-ES"/>
        </w:rPr>
        <w:t xml:space="preserve"/>
      </w:r>
      <w:r>
        <w:rPr>
          <w:lang w:val="es-ES"/>
        </w:rPr>
        <w:t xml:space="preserve">inquilino: la comparación nunca traspasa las fronteras de una organización.</w:t>
      </w:r>
    </w:p>
    <w:p>
      <w:pPr>
        <w:pStyle w:val="Compact"/>
        <w:numPr>
          <w:ilvl w:val="0"/>
          <w:numId w:val="1033"/>
        </w:numPr>
      </w:pPr>
      <w:r>
        <w:rPr>
          <w:b/>
          <w:bCs/>
          <w:lang w:val="es-ES"/>
        </w:rPr>
        <w:t xml:space="preserve">Sin entrenamiento: </w:t>
      </w:r>
      <w:r>
        <w:rPr>
          <w:lang w:val="es-ES"/>
        </w:rPr>
        <w:t xml:space="preserve"/>
      </w:r>
      <w:r>
        <w:rPr>
          <w:lang w:val="es-ES"/>
        </w:rPr>
        <w:t xml:space="preserve">las incrustaciones nunca se utilizan para entrenar un modelo.</w:t>
      </w:r>
    </w:p>
    <w:p>
      <w:pPr>
        <w:pStyle w:val="Compact"/>
        <w:numPr>
          <w:ilvl w:val="0"/>
          <w:numId w:val="1033"/>
        </w:numPr>
      </w:pPr>
      <w:r>
        <w:rPr>
          <w:b/>
          <w:bCs/>
          <w:lang w:val="es-ES"/>
        </w:rPr>
        <w:t xml:space="preserve">Registro mínimo: los </w:t>
      </w:r>
      <w:r>
        <w:rPr>
          <w:lang w:val="es-ES"/>
        </w:rPr>
        <w:t xml:space="preserve"/>
      </w:r>
      <w:r>
        <w:rPr>
          <w:lang w:val="es-ES"/>
        </w:rPr>
        <w:t xml:space="preserve">registros se limitan a los eventos técnicos necesarios; no contienen huellas dactilares, vectores ni extractos de voz.</w:t>
      </w:r>
    </w:p>
    <w:p>
      <w:r>
        <w:pict>
          <v:rect style="width:0;height:1.5pt" o:hralign="center" o:hrstd="t" o:hr="t"/>
        </w:pict>
      </w:r>
    </w:p>
    <w:bookmarkEnd w:id="130"/>
    <w:bookmarkEnd w:id="131"/>
    <w:bookmarkStart w:id="135" w:name="Xbbcb5772bf69e66207c72d41906a9a28473aea2"/>
    <w:p>
      <w:pPr>
        <w:pStyle w:val="Heading2"/>
        <w:keepNext/>
        <w:keepLines/>
      </w:pPr>
      <w:r>
        <w:rPr>
          <w:color w:val="000000"/>
          <w:lang w:val="es-ES"/>
        </w:rPr>
        <w:t xml:space="preserve">3. Análisis jurídico (artículos 4.14 y 9 RGPD)</w:t>
      </w:r>
    </w:p>
    <w:bookmarkStart w:id="132" w:name="Xcc24839d29b6498a7812c1d11362bc190165131"/>
    <w:p>
      <w:pPr>
        <w:pStyle w:val="Heading3"/>
        <w:keepNext/>
        <w:keepLines/>
      </w:pPr>
      <w:r>
        <w:rPr>
          <w:color w:val="000000"/>
          <w:lang w:val="es-ES"/>
        </w:rPr>
        <w:t xml:space="preserve">3.1 Definición de datos biométricos</w:t>
      </w:r>
    </w:p>
    <w:p>
      <w:pPr>
        <w:pStyle w:val="FirstParagraph"/>
      </w:pPr>
      <w:r>
        <w:rPr>
          <w:lang w:val="es-ES"/>
        </w:rPr>
        <w:t xml:space="preserve">El artículo </w:t>
      </w:r>
      <w:r>
        <w:rPr>
          <w:lang w:val="es-ES"/>
        </w:rPr>
        <w:t xml:space="preserve"/>
      </w:r>
      <w:r>
        <w:rPr>
          <w:b/>
          <w:bCs/>
          <w:lang w:val="es-ES"/>
        </w:rPr>
        <w:t xml:space="preserve"/>
      </w:r>
      <w:r>
        <w:rPr>
          <w:lang w:val="es-ES"/>
        </w:rPr>
        <w:t xml:space="preserve"/>
      </w:r>
      <w:r>
        <w:rPr>
          <w:lang w:val="es-ES"/>
        </w:rPr>
        <w:t xml:space="preserve">4.14 de RGPD define datos biométricos como “datos personales resultantes de un procesamiento técnico específico, relativo a las características físicas, fisiológicas o de comportamiento de una persona física, que </w:t>
      </w:r>
      <w:r>
        <w:rPr>
          <w:lang w:val="es-ES"/>
        </w:rPr>
        <w:t xml:space="preserve"/>
      </w:r>
      <w:r>
        <w:rPr>
          <w:b/>
          <w:bCs/>
          <w:lang w:val="es-ES"/>
        </w:rPr>
        <w:t xml:space="preserve">permite o confirma su identificación única”. El artículo </w:t>
      </w:r>
      <w:r>
        <w:rPr>
          <w:lang w:val="es-ES"/>
        </w:rPr>
        <w:t xml:space="preserve"/>
      </w:r>
      <w:r>
        <w:rPr>
          <w:lang w:val="es-ES"/>
        </w:rPr>
        <w:t xml:space="preserve">9 prohíbe, </w:t>
      </w:r>
      <w:r>
        <w:rPr>
          <w:lang w:val="es-ES"/>
        </w:rPr>
        <w:t xml:space="preserve"/>
      </w:r>
      <w:r>
        <w:rPr>
          <w:b/>
          <w:bCs/>
          <w:lang w:val="es-ES"/>
        </w:rPr>
        <w:t xml:space="preserve"/>
      </w:r>
      <w:r>
        <w:rPr>
          <w:lang w:val="es-ES"/>
        </w:rPr>
        <w:t xml:space="preserve"/>
      </w:r>
      <w:r>
        <w:rPr>
          <w:lang w:val="es-ES"/>
        </w:rPr>
        <w:t xml:space="preserve">en principio, el tratamiento de datos biométricos con el </w:t>
      </w:r>
      <w:r>
        <w:rPr>
          <w:lang w:val="es-ES"/>
        </w:rPr>
        <w:t xml:space="preserve"/>
      </w:r>
      <w:r>
        <w:rPr>
          <w:b/>
          <w:bCs/>
          <w:lang w:val="es-ES"/>
        </w:rPr>
        <w:t xml:space="preserve">fin de identificar de forma única a una persona física, </w:t>
      </w:r>
      <w:r>
        <w:rPr>
          <w:lang w:val="es-ES"/>
        </w:rPr>
        <w:t xml:space="preserve">salvo excepciones.</w:t>
      </w:r>
    </w:p>
    <w:bookmarkEnd w:id="132"/>
    <w:bookmarkStart w:id="133" w:name="X283329c369380fcd20427ac76dfaeceb715812a"/>
    <w:p>
      <w:pPr>
        <w:pStyle w:val="Heading3"/>
        <w:keepNext/>
        <w:keepLines/>
      </w:pPr>
      <w:r>
        <w:rPr>
          <w:color w:val="000000"/>
          <w:lang w:val="es-ES"/>
        </w:rPr>
        <w:t xml:space="preserve">3.2 Posición retenida</w:t>
      </w:r>
    </w:p>
    <w:p>
      <w:pPr>
        <w:pStyle w:val="FirstParagraph"/>
      </w:pPr>
      <w:r>
        <w:rPr>
          <w:lang w:val="es-ES"/>
        </w:rPr>
        <w:t xml:space="preserve">El artículo 4.14 del RGPD define los datos biométricos por el tratamiento técnico de características físicas, fisiológicas o conductuales que permiten o confirman la identificación unívoca. El artículo 9 contempla los datos biométricos tratados para identificar de manera unívoca a una </w:t>
      </w:r>
      <w:r>
        <w:rPr>
          <w:lang w:val="es-ES"/>
        </w:rPr>
        <w:t xml:space="preserve">persona. </w:t>
      </w:r>
      <w:r>
        <w:rPr>
          <w:b/>
          <w:bCs/>
          <w:lang w:val="es-ES"/>
        </w:rPr>
        <w:t xml:space="preserve">El plazo de conservación de una plantilla no es una condición de </w:t>
      </w:r>
      <w:r>
        <w:rPr>
          <w:lang w:val="es-ES"/>
        </w:rPr>
        <w:t xml:space="preserve"/>
      </w:r>
      <w:r>
        <w:rPr>
          <w:lang w:val="es-ES"/>
        </w:rPr>
        <w:t xml:space="preserve">estas definiciones; las directrices 3/2019 del CEPD muestran, en particular, </w:t>
      </w:r>
      <w:r>
        <w:rPr>
          <w:lang w:val="es-ES"/>
        </w:rPr>
        <w:t xml:space="preserve"/>
      </w:r>
      <w:r>
        <w:rPr>
          <w:b/>
          <w:bCs/>
          <w:lang w:val="es-ES"/>
        </w:rPr>
        <w:t xml:space="preserve">que las plantillas temporales </w:t>
      </w:r>
      <w:r>
        <w:rPr>
          <w:lang w:val="es-ES"/>
        </w:rPr>
        <w:t xml:space="preserve"/>
      </w:r>
      <w:r>
        <w:rPr>
          <w:lang w:val="es-ES"/>
        </w:rPr>
        <w:t xml:space="preserve">pueden estar sujetas al artículo 9.</w:t>
      </w:r>
    </w:p>
    <w:p>
      <w:pPr>
        <w:pStyle w:val="Compact"/>
        <w:numPr>
          <w:ilvl w:val="0"/>
          <w:numId w:val="1034"/>
        </w:numPr>
      </w:pPr>
      <w:r>
        <w:rPr>
          <w:b/>
          <w:bCs/>
          <w:lang w:val="es-ES"/>
        </w:rPr>
        <w:t xml:space="preserve">Diarización posicional (1.1): la asignación de etiquetas </w:t>
      </w:r>
      <w:r>
        <w:rPr>
          <w:lang w:val="es-ES"/>
        </w:rPr>
        <w:t xml:space="preserve"/>
      </w:r>
      <w:r>
        <w:rPr>
          <w:lang w:val="es-ES"/>
        </w:rPr>
        <w:t xml:space="preserve">sin nombre no permite por sí sola concluir que exista anonimato o ausencia </w:t>
      </w:r>
      <w:r>
        <w:rPr>
          <w:lang w:val="es-ES"/>
        </w:rPr>
        <w:t xml:space="preserve"/>
      </w:r>
      <w:r>
        <w:rPr>
          <w:b/>
          <w:bCs/>
          <w:lang w:val="es-ES"/>
        </w:rPr>
        <w:t xml:space="preserve">de biometría. Debe documentarse si las </w:t>
      </w:r>
      <w:r>
        <w:rPr>
          <w:lang w:val="es-ES"/>
        </w:rPr>
        <w:t xml:space="preserve"/>
      </w:r>
      <w:r>
        <w:rPr>
          <w:lang w:val="es-ES"/>
        </w:rPr>
        <w:t xml:space="preserve">características tratadas permiten o confirman la identificación unívoca y si </w:t>
      </w:r>
      <w:r>
        <w:rPr>
          <w:lang w:val="es-ES"/>
        </w:rPr>
        <w:t xml:space="preserve"/>
      </w:r>
      <w:r>
        <w:rPr>
          <w:b/>
          <w:bCs/>
          <w:lang w:val="es-ES"/>
        </w:rPr>
        <w:t xml:space="preserve">esa es la finalidad </w:t>
      </w:r>
      <w:r>
        <w:rPr>
          <w:lang w:val="es-ES"/>
        </w:rPr>
        <w:t xml:space="preserve"/>
      </w:r>
      <w:r>
        <w:rPr>
          <w:lang w:val="es-ES"/>
        </w:rPr>
        <w:t xml:space="preserve">del tratamiento; el artículo 9 también puede aplicarse al contenido de las grabaciones.</w:t>
      </w:r>
    </w:p>
    <w:p>
      <w:pPr>
        <w:pStyle w:val="Compact"/>
        <w:numPr>
          <w:ilvl w:val="0"/>
          <w:numId w:val="1034"/>
        </w:numPr>
      </w:pPr>
      <w:r>
        <w:rPr>
          <w:b/>
          <w:bCs/>
          <w:lang w:val="es-ES"/>
        </w:rPr>
        <w:t xml:space="preserve">Atribución manual </w:t>
      </w:r>
      <w:r>
        <w:rPr>
          <w:lang w:val="es-ES"/>
        </w:rPr>
        <w:t xml:space="preserve"/>
      </w:r>
      <w:r>
        <w:rPr>
          <w:lang w:val="es-ES"/>
        </w:rPr>
        <w:t xml:space="preserve">(1.2): no analiza la voz; no es biométrico.</w:t>
      </w:r>
    </w:p>
    <w:p>
      <w:pPr>
        <w:pStyle w:val="Compact"/>
        <w:numPr>
          <w:ilvl w:val="0"/>
          <w:numId w:val="1034"/>
        </w:numPr>
      </w:pPr>
      <w:r>
        <w:rPr>
          <w:b/>
          <w:bCs/>
          <w:lang w:val="es-ES"/>
        </w:rPr>
        <w:t xml:space="preserve">Correlación vocal efímera (1.3): la </w:t>
      </w:r>
      <w:r>
        <w:rPr>
          <w:lang w:val="es-ES"/>
        </w:rPr>
        <w:t xml:space="preserve"/>
      </w:r>
      <w:r>
        <w:rPr>
          <w:lang w:val="es-ES"/>
        </w:rPr>
        <w:t xml:space="preserve">comparación de características vocales para proponer el nombre de un </w:t>
      </w:r>
      <w:r>
        <w:rPr>
          <w:lang w:val="es-ES"/>
        </w:rPr>
        <w:t xml:space="preserve"/>
      </w:r>
      <w:r>
        <w:rPr>
          <w:b/>
          <w:bCs/>
          <w:lang w:val="es-ES"/>
        </w:rPr>
        <w:t xml:space="preserve">participante puede constituir un tratamiento biométrico con </w:t>
      </w:r>
      <w:r>
        <w:rPr>
          <w:lang w:val="es-ES"/>
        </w:rPr>
        <w:t xml:space="preserve"/>
      </w:r>
      <w:r>
        <w:rPr>
          <w:lang w:val="es-ES"/>
        </w:rPr>
        <w:t xml:space="preserve">fines de identificación unívoca. La supresión inmediata de las representaciones y la validación humana no </w:t>
      </w:r>
      <w:r>
        <w:rPr>
          <w:lang w:val="es-ES"/>
        </w:rPr>
        <w:t xml:space="preserve">descartan </w:t>
      </w:r>
      <w:r>
        <w:rPr>
          <w:b/>
          <w:bCs/>
          <w:lang w:val="es-ES"/>
        </w:rPr>
        <w:t xml:space="preserve">esta clasificación. Debe documentarse una excepción aplicable del </w:t>
      </w:r>
      <w:r>
        <w:rPr>
          <w:lang w:val="es-ES"/>
        </w:rPr>
        <w:t xml:space="preserve"/>
      </w:r>
      <w:r>
        <w:rPr>
          <w:lang w:val="es-ES"/>
        </w:rPr>
        <w:t xml:space="preserve">artículo 9 además de la base jurídica del artículo 6.</w:t>
      </w:r>
    </w:p>
    <w:bookmarkEnd w:id="133"/>
    <w:bookmarkStart w:id="134" w:name="X470b402a547457927122d4841351e7a4d626738"/>
    <w:p>
      <w:pPr>
        <w:pStyle w:val="Heading3"/>
        <w:keepNext/>
        <w:keepLines/>
      </w:pPr>
      <w:r>
        <w:rPr>
          <w:color w:val="000000"/>
          <w:lang w:val="es-ES"/>
        </w:rPr>
        <w:t xml:space="preserve">3.3 Calificación retenida por precaución</w:t>
      </w:r>
    </w:p>
    <w:p>
      <w:pPr>
        <w:pStyle w:val="FirstParagraph"/>
      </w:pPr>
      <w:r>
        <w:rPr>
          <w:lang w:val="es-ES"/>
        </w:rPr>
        <w:t xml:space="preserve">La clasificación como biometría depende del tratamiento técnico y de su finalidad de identificación unívoca, no de la conservación duradera de una plantilla. La ausencia de una plantilla </w:t>
      </w:r>
      <w:r>
        <w:rPr>
          <w:lang w:val="es-ES"/>
        </w:rPr>
        <w:t xml:space="preserve"/>
      </w:r>
      <w:r>
        <w:rPr>
          <w:b/>
          <w:bCs/>
          <w:lang w:val="es-ES"/>
        </w:rPr>
        <w:t xml:space="preserve">persistente y la validación humana son garantías de </w:t>
      </w:r>
      <w:r>
        <w:rPr>
          <w:lang w:val="es-ES"/>
        </w:rPr>
        <w:t xml:space="preserve"/>
      </w:r>
      <w:r>
        <w:rPr>
          <w:lang w:val="es-ES"/>
        </w:rPr>
        <w:t xml:space="preserve">minimización; no constituyen </w:t>
      </w:r>
      <w:r>
        <w:rPr>
          <w:b/>
          <w:bCs/>
          <w:lang w:val="es-ES"/>
        </w:rPr>
        <w:t xml:space="preserve">una </w:t>
      </w:r>
      <w:r>
        <w:rPr>
          <w:lang w:val="es-ES"/>
        </w:rPr>
        <w:t xml:space="preserve">exención. </w:t>
      </w:r>
      <w:r>
        <w:rPr>
          <w:lang w:val="es-ES"/>
        </w:rPr>
        <w:t xml:space="preserve">Antes de activar cualquier comparación destinada a identificar de manera unívoca a una persona, el responsable del tratamiento debe documentar una base jurídica del artículo 6 y una excepción </w:t>
      </w:r>
      <w:r>
        <w:rPr>
          <w:lang w:val="es-ES"/>
        </w:rPr>
        <w:t xml:space="preserve"/>
      </w:r>
      <w:r>
        <w:rPr>
          <w:b/>
          <w:bCs/>
          <w:lang w:val="es-ES"/>
        </w:rPr>
        <w:t xml:space="preserve">aplicable del artículo 9, así como los requisitos </w:t>
      </w:r>
      <w:r>
        <w:rPr>
          <w:lang w:val="es-ES"/>
        </w:rPr>
        <w:t xml:space="preserve"/>
      </w:r>
      <w:r>
        <w:rPr>
          <w:lang w:val="es-ES"/>
        </w:rPr>
        <w:t xml:space="preserve">nacionales pertinentes. Una EIPD y un anexo al DPA no bastan por sí solos para autorizar el tratamiento.</w:t>
      </w:r>
    </w:p>
    <w:p>
      <w:r>
        <w:pict>
          <v:rect style="width:0;height:1.5pt" o:hralign="center" o:hrstd="t" o:hr="t"/>
        </w:pict>
      </w:r>
    </w:p>
    <w:bookmarkEnd w:id="134"/>
    <w:bookmarkEnd w:id="135"/>
    <w:bookmarkStart w:id="136" w:name="X874bb38eabf3ca55151ad884c45ce5790670e42"/>
    <w:p>
      <w:pPr>
        <w:pStyle w:val="Heading2"/>
        <w:keepNext/>
        <w:keepLines/>
      </w:pPr>
      <w:r>
        <w:rPr>
          <w:color w:val="000000"/>
          <w:lang w:val="es-ES"/>
        </w:rPr>
        <w:t xml:space="preserve">4. Marco establecido</w:t>
      </w:r>
    </w:p>
    <w:p>
      <w:pPr>
        <w:pStyle w:val="Compact"/>
        <w:numPr>
          <w:ilvl w:val="0"/>
          <w:numId w:val="1035"/>
        </w:numPr>
      </w:pPr>
      <w:r>
        <w:rPr>
          <w:b/>
          <w:bCs/>
          <w:lang w:val="es-ES"/>
        </w:rPr>
        <w:t xml:space="preserve">Deshabilitado por </w:t>
      </w:r>
      <w:r>
        <w:rPr>
          <w:lang w:val="es-ES"/>
        </w:rPr>
        <w:t xml:space="preserve">defecto: </w:t>
      </w:r>
      <w:r>
        <w:rPr>
          <w:lang w:val="es-ES"/>
        </w:rPr>
        <w:t xml:space="preserve">la correlación de voz nunca está activa sin una decisión explícita.</w:t>
      </w:r>
    </w:p>
    <w:p>
      <w:pPr>
        <w:pStyle w:val="Compact"/>
        <w:numPr>
          <w:ilvl w:val="0"/>
          <w:numId w:val="1035"/>
        </w:numPr>
      </w:pPr>
      <w:r>
        <w:rPr>
          <w:b/>
          <w:bCs/>
          <w:lang w:val="es-ES"/>
        </w:rPr>
        <w:t xml:space="preserve">Opción de inclusión responsable del </w:t>
      </w:r>
      <w:r>
        <w:rPr>
          <w:lang w:val="es-ES"/>
        </w:rPr>
        <w:t xml:space="preserve"/>
      </w:r>
      <w:r>
        <w:rPr>
          <w:lang w:val="es-ES"/>
        </w:rPr>
        <w:t xml:space="preserve">tratamiento: solo la organización cliente puede activarla.</w:t>
      </w:r>
    </w:p>
    <w:p>
      <w:pPr>
        <w:pStyle w:val="Compact"/>
        <w:numPr>
          <w:ilvl w:val="0"/>
          <w:numId w:val="1035"/>
        </w:numPr>
      </w:pPr>
      <w:r>
        <w:rPr>
          <w:b/>
          <w:bCs/>
          <w:lang w:val="es-ES"/>
        </w:rPr>
        <w:t xml:space="preserve">Enmienda DPA </w:t>
      </w:r>
      <w:r>
        <w:rPr>
          <w:lang w:val="es-ES"/>
        </w:rPr>
        <w:t xml:space="preserve"/>
      </w:r>
      <w:r>
        <w:rPr>
          <w:lang w:val="es-ES"/>
        </w:rPr>
        <w:t xml:space="preserve">dedicada: su activación requiere la firma previa de una enmienda específica.</w:t>
      </w:r>
    </w:p>
    <w:p>
      <w:pPr>
        <w:pStyle w:val="Compact"/>
        <w:numPr>
          <w:ilvl w:val="0"/>
          <w:numId w:val="1035"/>
        </w:numPr>
      </w:pPr>
      <w:r>
        <w:rPr>
          <w:b/>
          <w:bCs/>
          <w:lang w:val="es-ES"/>
        </w:rPr>
        <w:t xml:space="preserve">EIPD previa: se </w:t>
      </w:r>
      <w:r>
        <w:rPr>
          <w:lang w:val="es-ES"/>
        </w:rPr>
        <w:t xml:space="preserve"/>
      </w:r>
      <w:r>
        <w:rPr>
          <w:lang w:val="es-ES"/>
        </w:rPr>
        <w:t xml:space="preserve">requiere un análisis de impacto (artículo 35) antes de la activación.</w:t>
      </w:r>
    </w:p>
    <w:p>
      <w:pPr>
        <w:pStyle w:val="Compact"/>
        <w:numPr>
          <w:ilvl w:val="0"/>
          <w:numId w:val="1035"/>
        </w:numPr>
      </w:pPr>
      <w:r>
        <w:rPr>
          <w:b/>
          <w:bCs/>
          <w:lang w:val="es-ES"/>
        </w:rPr>
        <w:t xml:space="preserve">Validación humana: </w:t>
      </w:r>
      <w:r>
        <w:rPr>
          <w:lang w:val="es-ES"/>
        </w:rPr>
        <w:t xml:space="preserve"/>
      </w:r>
      <w:r>
        <w:rPr>
          <w:lang w:val="es-ES"/>
        </w:rPr>
        <w:t xml:space="preserve">las sugerencias nunca son decisiones automáticas definitivas; un usuario válido autorizado por el Cliente antes de cualquier asignación.</w:t>
      </w:r>
    </w:p>
    <w:p>
      <w:pPr>
        <w:pStyle w:val="Compact"/>
        <w:numPr>
          <w:ilvl w:val="0"/>
          <w:numId w:val="1035"/>
        </w:numPr>
      </w:pPr>
      <w:r>
        <w:rPr>
          <w:b/>
          <w:bCs/>
          <w:lang w:val="es-ES"/>
        </w:rPr>
        <w:t xml:space="preserve">Compromiso de no desarrollo: </w:t>
      </w:r>
      <w:r>
        <w:rPr>
          <w:lang w:val="es-ES"/>
        </w:rPr>
        <w:t xml:space="preserve"/>
      </w:r>
      <w:r>
        <w:rPr>
          <w:lang w:val="es-ES"/>
        </w:rPr>
        <w:t xml:space="preserve">OHADJA se compromete </w:t>
      </w:r>
      <w:r>
        <w:rPr>
          <w:lang w:val="es-ES"/>
        </w:rPr>
        <w:t xml:space="preserve">a </w:t>
      </w:r>
      <w:r>
        <w:rPr>
          <w:b/>
          <w:bCs/>
          <w:lang w:val="es-ES"/>
        </w:rPr>
        <w:t xml:space="preserve">no introducir </w:t>
      </w:r>
      <w:r>
        <w:rPr>
          <w:lang w:val="es-ES"/>
        </w:rPr>
        <w:t xml:space="preserve"/>
      </w:r>
      <w:r>
        <w:rPr>
          <w:lang w:val="es-ES"/>
        </w:rPr>
        <w:t xml:space="preserve">nunca tratamientos biométricos automáticos </w:t>
      </w:r>
      <w:r>
        <w:rPr>
          <w:lang w:val="es-ES"/>
        </w:rPr>
        <w:t xml:space="preserve"/>
      </w:r>
      <w:r>
        <w:rPr>
          <w:b/>
          <w:bCs/>
          <w:lang w:val="es-ES"/>
        </w:rPr>
        <w:t xml:space="preserve">persistentes </w:t>
      </w:r>
      <w:r>
        <w:rPr>
          <w:lang w:val="es-ES"/>
        </w:rPr>
        <w:t xml:space="preserve"/>
      </w:r>
      <w:r>
        <w:rPr>
          <w:lang w:val="es-ES"/>
        </w:rPr>
        <w:t xml:space="preserve">(reconocimiento de voz con base de huellas de voz) sin una </w:t>
      </w:r>
      <w:r>
        <w:rPr>
          <w:lang w:val="es-ES"/>
        </w:rPr>
        <w:t xml:space="preserve"/>
      </w:r>
      <w:r>
        <w:rPr>
          <w:b/>
          <w:bCs/>
          <w:lang w:val="es-ES"/>
        </w:rPr>
        <w:t xml:space="preserve">actualización explícita de la DPA </w:t>
      </w:r>
      <w:r>
        <w:rPr>
          <w:lang w:val="es-ES"/>
        </w:rPr>
        <w:t xml:space="preserve"/>
      </w:r>
      <w:r>
        <w:rPr>
          <w:lang w:val="es-ES"/>
        </w:rPr>
        <w:t xml:space="preserve">sujeta a la aceptación previa por parte del Cliente, con </w:t>
      </w:r>
      <w:r>
        <w:rPr>
          <w:lang w:val="es-ES"/>
        </w:rPr>
        <w:t xml:space="preserve"/>
      </w:r>
      <w:r>
        <w:rPr>
          <w:b/>
          <w:bCs/>
          <w:lang w:val="es-ES"/>
        </w:rPr>
        <w:t xml:space="preserve">un preaviso mínimo de 60 </w:t>
      </w:r>
      <w:r>
        <w:rPr>
          <w:lang w:val="es-ES"/>
        </w:rPr>
        <w:t xml:space="preserve">días.</w:t>
      </w:r>
    </w:p>
    <w:p>
      <w:r>
        <w:pict>
          <v:rect style="width:0;height:1.5pt" o:hralign="center" o:hrstd="t" o:hr="t"/>
        </w:pict>
      </w:r>
    </w:p>
    <w:bookmarkEnd w:id="136"/>
    <w:bookmarkStart w:id="137" w:name="X5cb896f79fde2817fdfc340537e1d6f68249cb8"/>
    <w:p>
      <w:pPr>
        <w:pStyle w:val="Heading2"/>
        <w:keepNext/>
        <w:keepLines/>
      </w:pPr>
      <w:r>
        <w:rPr>
          <w:color w:val="000000"/>
          <w:lang w:val="es-ES"/>
        </w:rPr>
        <w:t xml:space="preserve">5. Medidas técnicas y organizativas específicas</w:t>
      </w:r>
    </w:p>
    <w:p>
      <w:pPr>
        <w:pStyle w:val="FirstParagraph"/>
      </w:pPr>
      <w:r>
        <w:rPr>
          <w:lang w:val="es-ES"/>
        </w:rPr>
        <w:t xml:space="preserve">Los MTO dedicados a la correlación de voz (DPA Anexo 3 §9) son los siguientes:</w:t>
      </w:r>
    </w:p>
    <w:p>
      <w:pPr>
        <w:pStyle w:val="Compact"/>
        <w:numPr>
          <w:ilvl w:val="0"/>
          <w:numId w:val="1036"/>
        </w:numPr>
      </w:pPr>
      <w:r>
        <w:rPr>
          <w:lang w:val="es-ES"/>
        </w:rPr>
        <w:t xml:space="preserve">activación a nivel de inquilino o por configuración del cliente cuando esté disponible;</w:t>
      </w:r>
    </w:p>
    <w:p>
      <w:pPr>
        <w:pStyle w:val="Compact"/>
        <w:numPr>
          <w:ilvl w:val="0"/>
          <w:numId w:val="1036"/>
        </w:numPr>
      </w:pPr>
      <w:r>
        <w:rPr>
          <w:lang w:val="es-ES"/>
        </w:rPr>
        <w:t xml:space="preserve">ausencia de creación de perfil de voz persistente por defecto;</w:t>
      </w:r>
    </w:p>
    <w:p>
      <w:pPr>
        <w:pStyle w:val="Compact"/>
        <w:numPr>
          <w:ilvl w:val="0"/>
          <w:numId w:val="1036"/>
        </w:numPr>
      </w:pPr>
      <w:r>
        <w:rPr>
          <w:lang w:val="es-ES"/>
        </w:rPr>
        <w:t xml:space="preserve">cálculo de incrustaciones temporales en RAM cuando sea técnicamente posible;</w:t>
      </w:r>
    </w:p>
    <w:p>
      <w:pPr>
        <w:pStyle w:val="Compact"/>
        <w:numPr>
          <w:ilvl w:val="0"/>
          <w:numId w:val="1036"/>
        </w:numPr>
      </w:pPr>
      <w:r>
        <w:rPr>
          <w:lang w:val="es-ES"/>
        </w:rPr>
        <w:t xml:space="preserve">uso de espacios temporales tipo </w:t>
      </w:r>
      <w:r>
        <w:rPr>
          <w:lang w:val="es-ES"/>
        </w:rPr>
        <w:t xml:space="preserve"/>
      </w:r>
      <w:r>
        <w:rPr>
          <w:rStyle w:val="VerbatimChar"/>
          <w:lang w:val="es-ES"/>
        </w:rPr>
        <w:t xml:space="preserve">tmpfs</w:t>
      </w:r>
      <w:r>
        <w:rPr>
          <w:lang w:val="es-ES"/>
        </w:rPr>
        <w:t xml:space="preserve"> </w:t>
      </w:r>
      <w:r>
        <w:rPr>
          <w:lang w:val="es-ES"/>
        </w:rPr>
        <w:t xml:space="preserve">cuando el entorno lo permita;</w:t>
      </w:r>
    </w:p>
    <w:p>
      <w:pPr>
        <w:pStyle w:val="Compact"/>
        <w:numPr>
          <w:ilvl w:val="0"/>
          <w:numId w:val="1036"/>
        </w:numPr>
      </w:pPr>
      <w:r>
        <w:rPr>
          <w:lang w:val="es-ES"/>
        </w:rPr>
        <w:t xml:space="preserve">inhabilitar el intercambio de trabajadores afectados cuando el entorno y la estabilidad lo permitan;</w:t>
      </w:r>
    </w:p>
    <w:p>
      <w:pPr>
        <w:pStyle w:val="Compact"/>
        <w:numPr>
          <w:ilvl w:val="0"/>
          <w:numId w:val="1036"/>
        </w:numPr>
      </w:pPr>
      <w:r>
        <w:rPr>
          <w:lang w:val="es-ES"/>
        </w:rPr>
        <w:t xml:space="preserve">eliminación de archivos temporales e incrustaciones al final de la solicitud;</w:t>
      </w:r>
    </w:p>
    <w:p>
      <w:pPr>
        <w:pStyle w:val="Compact"/>
        <w:numPr>
          <w:ilvl w:val="0"/>
          <w:numId w:val="1036"/>
        </w:numPr>
      </w:pPr>
      <w:r>
        <w:rPr>
          <w:lang w:val="es-ES"/>
        </w:rPr>
        <w:t xml:space="preserve">limpieza en bloques de fin de procesamiento, incluidos los mecanismos </w:t>
      </w:r>
      <w:r>
        <w:rPr>
          <w:lang w:val="es-ES"/>
        </w:rPr>
        <w:t xml:space="preserve"/>
      </w:r>
      <w:r>
        <w:rPr>
          <w:rStyle w:val="VerbatimChar"/>
          <w:lang w:val="es-ES"/>
        </w:rPr>
        <w:t xml:space="preserve">finally</w:t>
      </w:r>
      <w:r>
        <w:rPr>
          <w:lang w:val="es-ES"/>
        </w:rPr>
        <w:t xml:space="preserve">;</w:t>
      </w:r>
      <w:r>
        <w:rPr>
          <w:lang w:val="es-ES"/>
        </w:rPr>
        <w:t xml:space="preserve"/>
      </w:r>
    </w:p>
    <w:p>
      <w:pPr>
        <w:pStyle w:val="Compact"/>
        <w:numPr>
          <w:ilvl w:val="0"/>
          <w:numId w:val="1036"/>
        </w:numPr>
      </w:pPr>
      <w:r>
        <w:rPr>
          <w:lang w:val="es-ES"/>
        </w:rPr>
        <w:t xml:space="preserve">ausencia de uso de embeddings para entrenar modelos propios;</w:t>
      </w:r>
    </w:p>
    <w:p>
      <w:pPr>
        <w:pStyle w:val="Compact"/>
        <w:numPr>
          <w:ilvl w:val="0"/>
          <w:numId w:val="1036"/>
        </w:numPr>
      </w:pPr>
      <w:r>
        <w:rPr>
          <w:lang w:val="es-ES"/>
        </w:rPr>
        <w:t xml:space="preserve">validación humana obligatoria de sugerencias antes de la atribución final;</w:t>
      </w:r>
    </w:p>
    <w:p>
      <w:pPr>
        <w:pStyle w:val="Compact"/>
        <w:numPr>
          <w:ilvl w:val="0"/>
          <w:numId w:val="1036"/>
        </w:numPr>
      </w:pPr>
      <w:r>
        <w:rPr>
          <w:lang w:val="es-ES"/>
        </w:rPr>
        <w:t xml:space="preserve">registro limitado a eventos técnicos necesarios;</w:t>
      </w:r>
    </w:p>
    <w:p>
      <w:pPr>
        <w:pStyle w:val="Compact"/>
        <w:numPr>
          <w:ilvl w:val="0"/>
          <w:numId w:val="1036"/>
        </w:numPr>
      </w:pPr>
      <w:r>
        <w:rPr>
          <w:lang w:val="es-ES"/>
        </w:rPr>
        <w:t xml:space="preserve">limpiar/reducir registros para evitar registrar huellas dactilares, vectores o extractos de voz innecesarios;</w:t>
      </w:r>
    </w:p>
    <w:p>
      <w:pPr>
        <w:pStyle w:val="Compact"/>
        <w:numPr>
          <w:ilvl w:val="0"/>
          <w:numId w:val="1036"/>
        </w:numPr>
      </w:pPr>
      <w:r>
        <w:rPr>
          <w:lang w:val="es-ES"/>
        </w:rPr>
        <w:t xml:space="preserve">separación de la tramitación por inquilino;</w:t>
      </w:r>
    </w:p>
    <w:p>
      <w:pPr>
        <w:pStyle w:val="Compact"/>
        <w:numPr>
          <w:ilvl w:val="0"/>
          <w:numId w:val="1036"/>
        </w:numPr>
      </w:pPr>
      <w:r>
        <w:rPr>
          <w:lang w:val="es-ES"/>
        </w:rPr>
        <w:t xml:space="preserve">restricción de acceso a trabajadores y salidas técnicas;</w:t>
      </w:r>
    </w:p>
    <w:p>
      <w:pPr>
        <w:pStyle w:val="Compact"/>
        <w:numPr>
          <w:ilvl w:val="0"/>
          <w:numId w:val="1036"/>
        </w:numPr>
      </w:pPr>
      <w:r>
        <w:rPr>
          <w:lang w:val="es-ES"/>
        </w:rPr>
        <w:t xml:space="preserve">posibilidad de desactivar la funcionalidad a petición del cliente o por cláusula contractual;</w:t>
      </w:r>
    </w:p>
    <w:p>
      <w:pPr>
        <w:pStyle w:val="Compact"/>
        <w:numPr>
          <w:ilvl w:val="0"/>
          <w:numId w:val="1036"/>
        </w:numPr>
      </w:pPr>
      <w:r>
        <w:rPr>
          <w:lang w:val="es-ES"/>
        </w:rPr>
        <w:t xml:space="preserve">selección de recursos de GPU ubicados en la UE/EEE cuando sea necesario.</w:t>
      </w:r>
    </w:p>
    <w:p>
      <w:r>
        <w:pict>
          <v:rect style="width:0;height:1.5pt" o:hralign="center" o:hrstd="t" o:hr="t"/>
        </w:pict>
      </w:r>
    </w:p>
    <w:bookmarkEnd w:id="137"/>
    <w:bookmarkStart w:id="138" w:name="X78fc07a469ca6699f328a51971f58213a3ffac5"/>
    <w:p>
      <w:pPr>
        <w:pStyle w:val="Heading2"/>
        <w:keepNext/>
        <w:keepLines/>
      </w:pPr>
      <w:r>
        <w:rPr>
          <w:color w:val="000000"/>
          <w:lang w:val="es-ES"/>
        </w:rPr>
        <w:t xml:space="preserve">6. Limitaciones y recomendaciones de responsable del tratamiento</w:t>
      </w:r>
    </w:p>
    <w:p>
      <w:pPr>
        <w:pStyle w:val="FirstParagraph"/>
      </w:pPr>
      <w:r>
        <w:rPr>
          <w:lang w:val="es-ES"/>
        </w:rPr>
        <w:t xml:space="preserve">Como responsable del tratamiento, el Cliente conserva el control y la responsabilidad de los siguientes elementos, ya sea que la correlación de voz esté activada o no:</w:t>
      </w:r>
    </w:p>
    <w:p>
      <w:pPr>
        <w:pStyle w:val="Compact"/>
        <w:numPr>
          <w:ilvl w:val="0"/>
          <w:numId w:val="1037"/>
        </w:numPr>
      </w:pPr>
      <w:r>
        <w:rPr>
          <w:b/>
          <w:bCs/>
          <w:lang w:val="es-ES"/>
        </w:rPr>
        <w:t xml:space="preserve">Información de los interesados: </w:t>
      </w:r>
      <w:r>
        <w:rPr>
          <w:lang w:val="es-ES"/>
        </w:rPr>
        <w:t xml:space="preserve"/>
      </w:r>
      <w:r>
        <w:rPr>
          <w:lang w:val="es-ES"/>
        </w:rPr>
        <w:t xml:space="preserve">informar a los interesados de la implantación de la diarización y, en su caso, de la correlación de voces (artículos 12 a 14).</w:t>
      </w:r>
    </w:p>
    <w:p>
      <w:pPr>
        <w:pStyle w:val="Compact"/>
        <w:numPr>
          <w:ilvl w:val="0"/>
          <w:numId w:val="1037"/>
        </w:numPr>
      </w:pPr>
      <w:r>
        <w:rPr>
          <w:b/>
          <w:bCs/>
          <w:lang w:val="es-ES"/>
        </w:rPr>
        <w:t xml:space="preserve">Base jurídica: documentar la </w:t>
      </w:r>
      <w:r>
        <w:rPr>
          <w:lang w:val="es-ES"/>
        </w:rPr>
        <w:t xml:space="preserve">base </w:t>
      </w:r>
      <w:r>
        <w:rPr>
          <w:lang w:val="es-ES"/>
        </w:rPr>
        <w:t xml:space="preserve">del artículo 6 y, si se tratan categorías especiales, una condición aplicable del artículo 9. En las relaciones laborales, no se presume que el consentimiento sea libre debido a la subordinación; solo resulta adecuado si la elección es real, no conlleva perjuicios y es revocable. El acuerdo del empleador o de los representantes no sustituye este análisis.</w:t>
      </w:r>
    </w:p>
    <w:p>
      <w:pPr>
        <w:pStyle w:val="Compact"/>
        <w:numPr>
          <w:ilvl w:val="0"/>
          <w:numId w:val="1037"/>
        </w:numPr>
      </w:pPr>
      <w:r>
        <w:rPr>
          <w:b/>
          <w:bCs/>
          <w:lang w:val="es-ES"/>
        </w:rPr>
        <w:t xml:space="preserve">Proporcionalidad y necesidad: </w:t>
      </w:r>
      <w:r>
        <w:rPr>
          <w:lang w:val="es-ES"/>
        </w:rPr>
        <w:t xml:space="preserve"/>
      </w:r>
      <w:r>
        <w:rPr>
          <w:lang w:val="es-ES"/>
        </w:rPr>
        <w:t xml:space="preserve">activar la correlación de voz solo si es necesaria y proporcionada al propósito previsto; En su defecto, limítese a la diarización posicional y la atribución manual.</w:t>
      </w:r>
    </w:p>
    <w:p>
      <w:pPr>
        <w:pStyle w:val="Compact"/>
        <w:numPr>
          <w:ilvl w:val="0"/>
          <w:numId w:val="1037"/>
        </w:numPr>
      </w:pPr>
      <w:r>
        <w:rPr>
          <w:b/>
          <w:bCs/>
          <w:lang w:val="es-ES"/>
        </w:rPr>
        <w:t xml:space="preserve">EIPD: </w:t>
      </w:r>
      <w:r>
        <w:rPr>
          <w:lang w:val="es-ES"/>
        </w:rPr>
        <w:t xml:space="preserve"/>
      </w:r>
      <w:r>
        <w:rPr>
          <w:lang w:val="es-ES"/>
        </w:rPr>
        <w:t xml:space="preserve">realizar el análisis de impacto previo a cualquier activación de la correlación de voz; OHADJA proporciona el soporte y la documentación técnica necesarios (arquitectura, MTO, garantías de no persistencia).</w:t>
      </w:r>
    </w:p>
    <w:p>
      <w:pPr>
        <w:pStyle w:val="Compact"/>
        <w:numPr>
          <w:ilvl w:val="0"/>
          <w:numId w:val="1037"/>
        </w:numPr>
      </w:pPr>
      <w:r>
        <w:rPr>
          <w:b/>
          <w:bCs/>
          <w:lang w:val="es-ES"/>
        </w:rPr>
        <w:t xml:space="preserve">Validación humana: </w:t>
      </w:r>
      <w:r>
        <w:rPr>
          <w:lang w:val="es-ES"/>
        </w:rPr>
        <w:t xml:space="preserve"/>
      </w:r>
      <w:r>
        <w:rPr>
          <w:lang w:val="es-ES"/>
        </w:rPr>
        <w:t xml:space="preserve">mantenga una revisión humana sistemática de las sugerencias antes de la atribución.</w:t>
      </w:r>
    </w:p>
    <w:p>
      <w:pPr>
        <w:pStyle w:val="FirstParagraph"/>
      </w:pPr>
      <w:r>
        <w:rPr>
          <w:b/>
          <w:bCs/>
          <w:lang w:val="es-ES"/>
        </w:rPr>
        <w:t xml:space="preserve">Recomendación de OHADJA: </w:t>
      </w:r>
      <w:r>
        <w:rPr>
          <w:lang w:val="es-ES"/>
        </w:rPr>
        <w:t xml:space="preserve"/>
      </w:r>
      <w:r>
        <w:rPr>
          <w:lang w:val="es-ES"/>
        </w:rPr>
        <w:t xml:space="preserve">priorizar la solución menos intrusiva que responda a la necesidad documentada. Incluso la diarización y la asignación manual </w:t>
      </w:r>
      <w:r>
        <w:rPr>
          <w:lang w:val="es-ES"/>
        </w:rPr>
        <w:t xml:space="preserve"/>
      </w:r>
      <w:r>
        <w:rPr>
          <w:b/>
          <w:bCs/>
          <w:lang w:val="es-ES"/>
        </w:rPr>
        <w:t xml:space="preserve">requieren un análisis de los riesgos asociados a la </w:t>
      </w:r>
      <w:r>
        <w:rPr>
          <w:lang w:val="es-ES"/>
        </w:rPr>
        <w:t xml:space="preserve">grabación </w:t>
      </w:r>
      <w:r>
        <w:rPr>
          <w:lang w:val="es-ES"/>
        </w:rPr>
        <w:t xml:space="preserve">y su contenido. La correlación vocal solo debe plantearse tras justificar su necesidad, examinar los artículos 6 y 9, realizar una EIPD previa y suscribir un anexo específico.</w:t>
      </w:r>
    </w:p>
    <w:p>
      <w:r>
        <w:pict>
          <v:rect style="width:0;height:1.5pt" o:hralign="center" o:hrstd="t" o:hr="t"/>
        </w:pict>
      </w:r>
    </w:p>
    <w:p>
      <w:pPr>
        <w:pStyle w:val="FirstParagraph"/>
      </w:pPr>
      <w:r>
        <w:rPr>
          <w:i/>
          <w:iCs/>
          <w:lang w:val="es-ES"/>
        </w:rPr>
        <w:t xml:space="preserve">Documento de trabajo establecido por OHADJA — para ser validado por su asesor legal / DPO antes de la firma.</w:t>
      </w:r>
    </w:p>
    <w:p>
      <w:r>
        <w:br w:type="page"/>
      </w:r>
    </w:p>
    <w:bookmarkEnd w:id="138"/>
    <w:bookmarkEnd w:id="139"/>
    <w:bookmarkStart w:id="147" w:name="Xbb174e7fcc237e3b8817e4a78ba18c05179a16d"/>
    <w:p>
      <w:pPr>
        <w:pStyle w:val="Heading1"/>
        <w:keepNext/>
        <w:keepLines/>
      </w:pPr>
      <w:r>
        <w:rPr>
          <w:color w:val="000000"/>
          <w:lang w:val="es-ES"/>
        </w:rPr>
        <w:t xml:space="preserve">Procedimientos de atención al cliente RGPD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Referencia</w:t>
            </w:r>
          </w:p>
        </w:tc>
        <w:tc>
          <w:tcPr/>
          <w:p>
            <w:pPr>
              <w:pStyle w:val="Compact"/>
            </w:pPr>
            <w:r>
              <w:rPr>
                <w:lang w:val="es-ES"/>
              </w:rPr>
              <w:t xml:space="preserve">OHA-RGPD-08</w:t>
            </w:r>
          </w:p>
        </w:tc>
      </w:tr>
      <w:tr>
        <w:trPr>
          <w:cantSplit/>
        </w:trPr>
        <w:tc>
          <w:tcPr/>
          <w:p>
            <w:pPr>
              <w:pStyle w:val="Compact"/>
            </w:pPr>
            <w:r>
              <w:rPr>
                <w:lang w:val="es-ES"/>
              </w:rPr>
              <w:t xml:space="preserve">Propósito</w:t>
            </w:r>
          </w:p>
        </w:tc>
        <w:tc>
          <w:tcPr/>
          <w:p>
            <w:pPr>
              <w:pStyle w:val="Compact"/>
            </w:pPr>
            <w:r>
              <w:rPr>
                <w:lang w:val="es-ES"/>
              </w:rPr>
              <w:t xml:space="preserve">Fichas de procedimientos de asistencia operativa RGPD (derechos, vulneraciones, restitución, EIPD, auditoría)</w:t>
            </w:r>
          </w:p>
        </w:tc>
      </w:tr>
      <w:tr>
        <w:trPr>
          <w:cantSplit/>
        </w:trPr>
        <w:tc>
          <w:tcPr/>
          <w:p>
            <w:pPr>
              <w:pStyle w:val="Compact"/>
            </w:pPr>
            <w:r>
              <w:rPr>
                <w:lang w:val="es-ES"/>
              </w:rPr>
              <w:t xml:space="preserve">Versión</w:t>
            </w:r>
          </w:p>
        </w:tc>
        <w:tc>
          <w:tcPr/>
          <w:p>
            <w:pPr>
              <w:pStyle w:val="Compact"/>
            </w:pPr>
            <w:r>
              <w:rPr>
                <w:lang w:val="es-ES"/>
              </w:rPr>
              <w:t xml:space="preserve">1.0</w:t>
            </w:r>
          </w:p>
        </w:tc>
      </w:tr>
      <w:tr>
        <w:trPr>
          <w:cantSplit/>
        </w:trPr>
        <w:tc>
          <w:tcPr/>
          <w:p>
            <w:pPr>
              <w:pStyle w:val="Compact"/>
            </w:pPr>
            <w:r>
              <w:rPr>
                <w:lang w:val="es-ES"/>
              </w:rPr>
              <w:t xml:space="preserve">Fecha</w:t>
            </w:r>
          </w:p>
        </w:tc>
        <w:tc>
          <w:tcPr/>
          <w:p>
            <w:pPr>
              <w:pStyle w:val="Compact"/>
            </w:pPr>
            <w:r>
              <w:rPr>
                <w:lang w:val="es-ES"/>
              </w:rPr>
              <w:t xml:space="preserve">2026-07-24</w:t>
            </w:r>
          </w:p>
        </w:tc>
      </w:tr>
      <w:tr>
        <w:trPr>
          <w:cantSplit/>
        </w:trPr>
        <w:tc>
          <w:tcPr/>
          <w:p>
            <w:pPr>
              <w:pStyle w:val="Compact"/>
            </w:pPr>
            <w:r>
              <w:rPr>
                <w:lang w:val="es-ES"/>
              </w:rPr>
              <w:t xml:space="preserve">Redactor</w:t>
            </w:r>
          </w:p>
        </w:tc>
        <w:tc>
          <w:tcPr/>
          <w:p>
            <w:pPr>
              <w:pStyle w:val="Compact"/>
            </w:pPr>
            <w:r>
              <w:rPr>
                <w:lang w:val="es-ES"/>
              </w:rPr>
              <w:t xml:space="preserve">OHADJA</w:t>
            </w:r>
          </w:p>
        </w:tc>
      </w:tr>
      <w:tr>
        <w:trPr>
          <w:cantSplit/>
        </w:trPr>
        <w:tc>
          <w:tcPr/>
          <w:p>
            <w:pPr>
              <w:pStyle w:val="Compact"/>
            </w:pPr>
            <w:r>
              <w:rPr>
                <w:lang w:val="es-ES"/>
              </w:rPr>
              <w:t xml:space="preserve">Destinatario</w:t>
            </w:r>
          </w:p>
        </w:tc>
        <w:tc>
          <w:tcPr/>
          <w:p>
            <w:pPr>
              <w:pStyle w:val="Compact"/>
            </w:pPr>
            <w:r>
              <w:rPr>
                <w:lang w:val="es-ES"/>
              </w:rPr>
              <w:t xml:space="preserve">Organización del cliente (documento estándar)</w:t>
            </w:r>
          </w:p>
        </w:tc>
      </w:tr>
      <w:tr>
        <w:trPr>
          <w:cantSplit/>
        </w:trPr>
        <w:tc>
          <w:tcPr/>
          <w:p>
            <w:pPr>
              <w:pStyle w:val="Compact"/>
            </w:pPr>
            <w:r>
              <w:rPr>
                <w:lang w:val="es-ES"/>
              </w:rPr>
              <w:t xml:space="preserve">Clasificación</w:t>
            </w:r>
          </w:p>
        </w:tc>
        <w:tc>
          <w:tcPr/>
          <w:p>
            <w:pPr>
              <w:pStyle w:val="Compact"/>
            </w:pPr>
            <w:r>
              <w:rPr>
                <w:lang w:val="es-ES"/>
              </w:rPr>
              <w:t xml:space="preserve">Público: documento estándar, especificado durante cada contratación.</w:t>
            </w:r>
          </w:p>
        </w:tc>
      </w:tr>
    </w:tbl>
    <w:bookmarkStart w:id="140" w:name="objet"/>
    <w:p>
      <w:pPr>
        <w:pStyle w:val="Heading2"/>
        <w:keepNext/>
        <w:keepLines/>
      </w:pPr>
      <w:r>
        <w:rPr>
          <w:color w:val="000000"/>
          <w:lang w:val="es-ES"/>
        </w:rPr>
        <w:t xml:space="preserve">Propósito</w:t>
      </w:r>
    </w:p>
    <w:p>
      <w:pPr>
        <w:pStyle w:val="FirstParagraph"/>
      </w:pPr>
      <w:r>
        <w:rPr>
          <w:lang w:val="es-ES"/>
        </w:rPr>
        <w:t xml:space="preserve">Este documento describe, en forma de hojas, los procedimientos operativos mediante los cuales OHADJA ayuda al Cliente a cumplir con sus obligaciones RGPD. El Cliente sigue siendo responsable del tratamiento; OHADJA actúa en apoyo, dentro de los límites de la DPA.</w:t>
      </w:r>
    </w:p>
    <w:p>
      <w:pPr>
        <w:pStyle w:val="BodyText"/>
      </w:pPr>
      <w:r>
        <w:rPr>
          <w:b/>
          <w:bCs/>
          <w:lang w:val="es-ES"/>
        </w:rPr>
        <w:t xml:space="preserve">Contacto único: </w:t>
      </w:r>
      <w:r>
        <w:rPr>
          <w:lang w:val="es-ES"/>
        </w:rPr>
        <w:t xml:space="preserve"/>
      </w:r>
      <w:hyperlink r:id="rId9">
        <w:r>
          <w:rPr>
            <w:rStyle w:val="Hyperlink"/>
            <w:lang w:val="es-ES"/>
          </w:rPr>
          <w:t xml:space="preserve">privacy@transcribia.eu</w:t>
        </w:r>
      </w:hyperlink>
      <w:r>
        <w:rPr>
          <w:lang w:val="es-ES"/>
        </w:rPr>
        <w:t xml:space="preserve">.</w:t>
      </w:r>
    </w:p>
    <w:p>
      <w:r>
        <w:pict>
          <v:rect style="width:0;height:1.5pt" o:hralign="center" o:hrstd="t" o:hr="t"/>
        </w:pict>
      </w:r>
    </w:p>
    <w:bookmarkEnd w:id="140"/>
    <w:bookmarkStart w:id="141" w:name="Xd4924d66601c499ace1dd22e56ade19d3c4cae9"/>
    <w:p>
      <w:pPr>
        <w:pStyle w:val="Heading2"/>
        <w:keepNext/>
        <w:keepLines/>
      </w:pPr>
      <w:r>
        <w:rPr>
          <w:color w:val="000000"/>
          <w:lang w:val="es-ES"/>
        </w:rPr>
        <w:t xml:space="preserve">PROC-01 — Solicitudes de ejercicio de derechos individuales</w:t>
      </w:r>
    </w:p>
    <w:p>
      <w:pPr>
        <w:pStyle w:val="FirstParagraph"/>
      </w:pPr>
      <w:r>
        <w:rPr>
          <w:b/>
          <w:bCs/>
          <w:lang w:val="es-ES"/>
        </w:rPr>
        <w:t xml:space="preserve">Canal de recepción. </w:t>
      </w:r>
      <w:r>
        <w:rPr>
          <w:lang w:val="es-ES"/>
        </w:rPr>
        <w:t xml:space="preserve"/>
      </w:r>
      <w:r>
        <w:rPr>
          <w:lang w:val="es-ES"/>
        </w:rPr>
        <w:t xml:space="preserve">Las solicitudes de los clientes se envían por escrito </w:t>
      </w:r>
      <w:r>
        <w:rPr>
          <w:lang w:val="es-ES"/>
        </w:rPr>
        <w:t xml:space="preserve">a </w:t>
      </w:r>
      <w:hyperlink r:id="rId9">
        <w:r>
          <w:rPr>
            <w:rStyle w:val="Hyperlink"/>
            <w:lang w:val="es-ES"/>
          </w:rPr>
          <w:t xml:space="preserve">privacy@transcribia.eu</w:t>
        </w:r>
      </w:hyperlink>
      <w:r>
        <w:rPr>
          <w:lang w:val="es-ES"/>
        </w:rPr>
        <w:t xml:space="preserve">.</w:t>
      </w:r>
    </w:p>
    <w:p>
      <w:pPr>
        <w:pStyle w:val="BodyText"/>
      </w:pPr>
      <w:r>
        <w:rPr>
          <w:b/>
          <w:bCs/>
          <w:lang w:val="es-ES"/>
        </w:rPr>
        <w:t xml:space="preserve">Tiempo de soporte. </w:t>
      </w:r>
      <w:r>
        <w:rPr>
          <w:lang w:val="es-ES"/>
        </w:rPr>
        <w:t xml:space="preserve"/>
      </w:r>
      <w:r>
        <w:rPr>
          <w:lang w:val="es-ES"/>
        </w:rPr>
        <w:t xml:space="preserve">OHADJA asiste al Cliente dentro de los 7 días </w:t>
      </w:r>
      <w:r>
        <w:rPr>
          <w:lang w:val="es-ES"/>
        </w:rPr>
        <w:t xml:space="preserve"/>
      </w:r>
      <w:r>
        <w:rPr>
          <w:b/>
          <w:bCs/>
          <w:lang w:val="es-ES"/>
        </w:rPr>
        <w:t xml:space="preserve">hábiles a partir </w:t>
      </w:r>
      <w:r>
        <w:rPr>
          <w:lang w:val="es-ES"/>
        </w:rPr>
        <w:t xml:space="preserve">de </w:t>
      </w:r>
      <w:r>
        <w:rPr>
          <w:lang w:val="es-ES"/>
        </w:rPr>
        <w:t xml:space="preserve">una solicitud escrita completa (excepto en caso de emergencia justificada o complejidad que justifique un período adicional razonable).</w:t>
      </w:r>
    </w:p>
    <w:p>
      <w:pPr>
        <w:pStyle w:val="BodyText"/>
      </w:pPr>
      <w:r>
        <w:rPr>
          <w:b/>
          <w:bCs/>
          <w:lang w:val="es-ES"/>
        </w:rPr>
        <w:t xml:space="preserve">Principio. </w:t>
      </w:r>
      <w:r>
        <w:rPr>
          <w:lang w:val="es-ES"/>
        </w:rPr>
        <w:t xml:space="preserve"/>
      </w:r>
      <w:r>
        <w:rPr>
          <w:lang w:val="es-ES"/>
        </w:rPr>
        <w:t xml:space="preserve"/>
      </w:r>
      <w:r>
        <w:rPr>
          <w:lang w:val="es-ES"/>
        </w:rPr>
        <w:t xml:space="preserve">OHADJA </w:t>
      </w:r>
      <w:r>
        <w:rPr>
          <w:b/>
          <w:bCs/>
          <w:lang w:val="es-ES"/>
        </w:rPr>
        <w:t xml:space="preserve">no responde directamente </w:t>
      </w:r>
      <w:r>
        <w:rPr>
          <w:lang w:val="es-ES"/>
        </w:rPr>
        <w:t xml:space="preserve"/>
      </w:r>
      <w:r>
        <w:rPr>
          <w:lang w:val="es-ES"/>
        </w:rPr>
        <w:t xml:space="preserve">al interesado; asiste al Cliente, quien evalúa la acción a tomar. Si OHADJA recibe directamente una solicitud de una persona, la reenvía al Cliente.</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Derecho</w:t>
            </w:r>
          </w:p>
        </w:tc>
        <w:tc>
          <w:tcPr/>
          <w:p>
            <w:pPr>
              <w:pStyle w:val="Compact"/>
            </w:pPr>
            <w:r>
              <w:rPr>
                <w:lang w:val="es-ES"/>
              </w:rPr>
              <w:t xml:space="preserve">Operación posible</w:t>
            </w:r>
          </w:p>
        </w:tc>
        <w:tc>
          <w:tcPr/>
          <w:p>
            <w:pPr>
              <w:pStyle w:val="Compact"/>
            </w:pPr>
            <w:r>
              <w:rPr>
                <w:lang w:val="es-ES"/>
              </w:rPr>
              <w:t xml:space="preserve">¿Quién hace qué?</w:t>
            </w:r>
          </w:p>
        </w:tc>
      </w:tr>
      <w:tr>
        <w:trPr>
          <w:cantSplit/>
        </w:trPr>
        <w:tc>
          <w:tcPr/>
          <w:p>
            <w:pPr>
              <w:pStyle w:val="Compact"/>
            </w:pPr>
            <w:r>
              <w:rPr>
                <w:lang w:val="es-ES"/>
              </w:rPr>
              <w:t xml:space="preserve">Acceso (artículo 15)</w:t>
            </w:r>
          </w:p>
        </w:tc>
        <w:tc>
          <w:tcPr/>
          <w:p>
            <w:pPr>
              <w:pStyle w:val="Compact"/>
            </w:pPr>
            <w:r>
              <w:rPr>
                <w:lang w:val="es-ES"/>
              </w:rPr>
              <w:t xml:space="preserve">Exportación/búsqueda de sesiones y contenidos</w:t>
            </w:r>
          </w:p>
        </w:tc>
        <w:tc>
          <w:tcPr/>
          <w:p>
            <w:pPr>
              <w:pStyle w:val="Compact"/>
            </w:pPr>
            <w:r>
              <w:rPr>
                <w:lang w:val="es-ES"/>
              </w:rPr>
              <w:t xml:space="preserve">Cliente a través de la aplicación; OHADJA en soporte técnico</w:t>
            </w:r>
          </w:p>
        </w:tc>
      </w:tr>
      <w:tr>
        <w:trPr>
          <w:cantSplit/>
        </w:trPr>
        <w:tc>
          <w:tcPr/>
          <w:p>
            <w:pPr>
              <w:pStyle w:val="Compact"/>
            </w:pPr>
            <w:r>
              <w:rPr>
                <w:lang w:val="es-ES"/>
              </w:rPr>
              <w:t xml:space="preserve">Rectificación (art. 16)</w:t>
            </w:r>
          </w:p>
        </w:tc>
        <w:tc>
          <w:tcPr/>
          <w:p>
            <w:pPr>
              <w:pStyle w:val="Compact"/>
            </w:pPr>
            <w:r>
              <w:rPr>
                <w:lang w:val="es-ES"/>
              </w:rPr>
              <w:t xml:space="preserve">Edición gratuita de transcripciones y contenidos.</w:t>
            </w:r>
          </w:p>
        </w:tc>
        <w:tc>
          <w:tcPr/>
          <w:p>
            <w:pPr>
              <w:pStyle w:val="Compact"/>
            </w:pPr>
            <w:r>
              <w:rPr>
                <w:lang w:val="es-ES"/>
              </w:rPr>
              <w:t xml:space="preserve">Cliente (autoservicio)</w:t>
            </w:r>
          </w:p>
        </w:tc>
      </w:tr>
      <w:tr>
        <w:trPr>
          <w:cantSplit/>
        </w:trPr>
        <w:tc>
          <w:tcPr/>
          <w:p>
            <w:pPr>
              <w:pStyle w:val="Compact"/>
            </w:pPr>
            <w:r>
              <w:rPr>
                <w:lang w:val="es-ES"/>
              </w:rPr>
              <w:t xml:space="preserve">Supresión (art. 17)</w:t>
            </w:r>
          </w:p>
        </w:tc>
        <w:tc>
          <w:tcPr/>
          <w:p>
            <w:pPr>
              <w:pStyle w:val="Compact"/>
            </w:pPr>
            <w:r>
              <w:rPr>
                <w:lang w:val="es-ES"/>
              </w:rPr>
              <w:t xml:space="preserve">Eliminación certificada rastreada + certificado</w:t>
            </w:r>
          </w:p>
        </w:tc>
        <w:tc>
          <w:tcPr/>
          <w:p>
            <w:pPr>
              <w:pStyle w:val="Compact"/>
            </w:pPr>
            <w:r>
              <w:rPr>
                <w:lang w:val="es-ES"/>
              </w:rPr>
              <w:t xml:space="preserve">Activadores del cliente (Configuración → Portabilidad); OHADJA soporte/purga de copias de seguridad</w:t>
            </w:r>
          </w:p>
        </w:tc>
      </w:tr>
      <w:tr>
        <w:trPr>
          <w:cantSplit/>
        </w:trPr>
        <w:tc>
          <w:tcPr/>
          <w:p>
            <w:pPr>
              <w:pStyle w:val="Compact"/>
            </w:pPr>
            <w:r>
              <w:rPr>
                <w:lang w:val="es-ES"/>
              </w:rPr>
              <w:t xml:space="preserve">Portabilidad (art. 20)</w:t>
            </w:r>
          </w:p>
        </w:tc>
        <w:tc>
          <w:tcPr/>
          <w:p>
            <w:pPr>
              <w:pStyle w:val="Compact"/>
            </w:pPr>
            <w:r>
              <w:rPr>
                <w:lang w:val="es-ES"/>
              </w:rPr>
              <w:t xml:space="preserve">Exportar </w:t>
            </w:r>
            <w:r>
              <w:rPr>
                <w:lang w:val="es-ES"/>
              </w:rPr>
              <w:t xml:space="preserve"/>
            </w:r>
            <w:r>
              <w:rPr>
                <w:rStyle w:val="VerbatimChar"/>
                <w:lang w:val="es-ES"/>
              </w:rPr>
              <w:t xml:space="preserve">.tar.gz</w:t>
            </w:r>
            <w:r>
              <w:rPr>
                <w:lang w:val="es-ES"/>
              </w:rPr>
              <w:t xml:space="preserve"> </w:t>
            </w:r>
            <w:r>
              <w:rPr>
                <w:lang w:val="es-ES"/>
              </w:rPr>
              <w:t xml:space="preserve">firmado SHA-256 por el inquilino</w:t>
            </w:r>
          </w:p>
        </w:tc>
        <w:tc>
          <w:tcPr/>
          <w:p>
            <w:pPr>
              <w:pStyle w:val="Compact"/>
            </w:pPr>
            <w:r>
              <w:rPr>
                <w:lang w:val="es-ES"/>
              </w:rPr>
              <w:t xml:space="preserve">Cliente (autoservicio)</w:t>
            </w:r>
          </w:p>
        </w:tc>
      </w:tr>
      <w:tr>
        <w:trPr>
          <w:cantSplit/>
        </w:trPr>
        <w:tc>
          <w:tcPr/>
          <w:p>
            <w:pPr>
              <w:pStyle w:val="Compact"/>
            </w:pPr>
            <w:r>
              <w:rPr>
                <w:lang w:val="es-ES"/>
              </w:rPr>
              <w:t xml:space="preserve">Limitación (artículo 18)</w:t>
            </w:r>
          </w:p>
        </w:tc>
        <w:tc>
          <w:tcPr/>
          <w:p>
            <w:pPr>
              <w:pStyle w:val="Compact"/>
            </w:pPr>
            <w:r>
              <w:rPr>
                <w:lang w:val="es-ES"/>
              </w:rPr>
              <w:t xml:space="preserve">Restricción de acceso/procesamiento de contenidos específicos</w:t>
            </w:r>
          </w:p>
        </w:tc>
        <w:tc>
          <w:tcPr/>
          <w:p>
            <w:pPr>
              <w:pStyle w:val="Compact"/>
            </w:pPr>
            <w:r>
              <w:rPr>
                <w:lang w:val="es-ES"/>
              </w:rPr>
              <w:t xml:space="preserve">Cliente; OHADJA en soporte técnico</w:t>
            </w:r>
          </w:p>
        </w:tc>
      </w:tr>
      <w:tr>
        <w:trPr>
          <w:cantSplit/>
        </w:trPr>
        <w:tc>
          <w:tcPr/>
          <w:p>
            <w:pPr>
              <w:pStyle w:val="Compact"/>
            </w:pPr>
            <w:r>
              <w:rPr>
                <w:lang w:val="es-ES"/>
              </w:rPr>
              <w:t xml:space="preserve">Oposición (artículo 21)</w:t>
            </w:r>
          </w:p>
        </w:tc>
        <w:tc>
          <w:tcPr/>
          <w:p>
            <w:pPr>
              <w:pStyle w:val="Compact"/>
            </w:pPr>
            <w:r>
              <w:rPr>
                <w:lang w:val="es-ES"/>
              </w:rPr>
              <w:t xml:space="preserve">Cese del tratamiento en cuestión según la decisión del Cliente</w:t>
            </w:r>
          </w:p>
        </w:tc>
        <w:tc>
          <w:tcPr/>
          <w:p>
            <w:pPr>
              <w:pStyle w:val="Compact"/>
            </w:pPr>
            <w:r>
              <w:rPr>
                <w:lang w:val="es-ES"/>
              </w:rPr>
              <w:t xml:space="preserve">El cliente aprecia; OHADJA ejecuta operaciones técnicas</w:t>
            </w:r>
          </w:p>
        </w:tc>
      </w:tr>
    </w:tbl>
    <w:p>
      <w:r>
        <w:pict>
          <v:rect style="width:0;height:1.5pt" o:hralign="center" o:hrstd="t" o:hr="t"/>
        </w:pict>
      </w:r>
    </w:p>
    <w:bookmarkEnd w:id="141"/>
    <w:bookmarkStart w:id="142" w:name="Xf2dfb29b41ebd5e3b0b22ee6a749e96ee0a58c3"/>
    <w:p>
      <w:pPr>
        <w:pStyle w:val="Heading2"/>
        <w:keepNext/>
        <w:keepLines/>
      </w:pPr>
      <w:r>
        <w:rPr>
          <w:color w:val="000000"/>
          <w:lang w:val="es-ES"/>
        </w:rPr>
        <w:t xml:space="preserve">PROC-02: Notificación de violación de datos</w:t>
      </w:r>
    </w:p>
    <w:p>
      <w:pPr>
        <w:pStyle w:val="FirstParagraph"/>
      </w:pPr>
      <w:r>
        <w:rPr>
          <w:b/>
          <w:bCs/>
          <w:lang w:val="es-ES"/>
        </w:rPr>
        <w:t xml:space="preserve">Detección. </w:t>
      </w:r>
      <w:r>
        <w:rPr>
          <w:lang w:val="es-ES"/>
        </w:rPr>
        <w:t xml:space="preserve"/>
      </w:r>
      <w:r>
        <w:rPr>
          <w:lang w:val="es-ES"/>
        </w:rPr>
        <w:t xml:space="preserve">Monitoreo 24 horas al día, 7 días a la semana (cola, disco, certificados, dependencias), seguimiento de auditoría, alertas (ClamAV, seguridad).</w:t>
      </w:r>
    </w:p>
    <w:p>
      <w:pPr>
        <w:pStyle w:val="BodyText"/>
      </w:pPr>
      <w:r>
        <w:rPr>
          <w:b/>
          <w:bCs/>
          <w:lang w:val="es-ES"/>
        </w:rPr>
        <w:t xml:space="preserve">Calificación. </w:t>
      </w:r>
      <w:r>
        <w:rPr>
          <w:lang w:val="es-ES"/>
        </w:rPr>
        <w:t xml:space="preserve"/>
      </w:r>
      <w:r>
        <w:rPr>
          <w:lang w:val="es-ES"/>
        </w:rPr>
        <w:t xml:space="preserve">OHADJA analiza el evento, limita sus efectos, restablece la seguridad y preserva los elementos de investigación.</w:t>
      </w:r>
    </w:p>
    <w:p>
      <w:pPr>
        <w:pStyle w:val="BodyText"/>
      </w:pPr>
      <w:r>
        <w:rPr>
          <w:b/>
          <w:bCs/>
          <w:lang w:val="es-ES"/>
        </w:rPr>
        <w:t xml:space="preserve">Notificación al Cliente. En caso </w:t>
      </w:r>
      <w:r>
        <w:rPr>
          <w:lang w:val="es-ES"/>
        </w:rPr>
        <w:t xml:space="preserve">de </w:t>
      </w:r>
      <w:r>
        <w:rPr>
          <w:lang w:val="es-ES"/>
        </w:rPr>
        <w:t xml:space="preserve">violación que afecte a los datos del Cliente, OHADJA le informa sin dilación indebida tras tener </w:t>
      </w:r>
      <w:r>
        <w:rPr>
          <w:lang w:val="es-ES"/>
        </w:rPr>
        <w:t xml:space="preserve"/>
      </w:r>
      <w:r>
        <w:rPr>
          <w:b/>
          <w:bCs/>
          <w:lang w:val="es-ES"/>
        </w:rPr>
        <w:t xml:space="preserve">conocimiento de ella, también fuera de los días laborables (DPA §8), con los elementos disponibles </w:t>
      </w:r>
      <w:r>
        <w:rPr>
          <w:lang w:val="es-ES"/>
        </w:rPr>
        <w:t xml:space="preserve"/>
      </w:r>
      <w:r>
        <w:rPr>
          <w:lang w:val="es-ES"/>
        </w:rPr>
        <w:t xml:space="preserve">del artículo 33.3; se facilitan ampliaciones sin dilación indebida:</w:t>
      </w:r>
    </w:p>
    <w:p>
      <w:pPr>
        <w:pStyle w:val="Compact"/>
        <w:numPr>
          <w:ilvl w:val="0"/>
          <w:numId w:val="1038"/>
        </w:numPr>
      </w:pPr>
      <w:r>
        <w:rPr>
          <w:lang w:val="es-ES"/>
        </w:rPr>
        <w:t xml:space="preserve">naturaleza de la violación;</w:t>
      </w:r>
    </w:p>
    <w:p>
      <w:pPr>
        <w:pStyle w:val="Compact"/>
        <w:numPr>
          <w:ilvl w:val="0"/>
          <w:numId w:val="1038"/>
        </w:numPr>
      </w:pPr>
      <w:r>
        <w:rPr>
          <w:lang w:val="es-ES"/>
        </w:rPr>
        <w:t xml:space="preserve">categorías de datos en cuestión;</w:t>
      </w:r>
    </w:p>
    <w:p>
      <w:pPr>
        <w:pStyle w:val="Compact"/>
        <w:numPr>
          <w:ilvl w:val="0"/>
          <w:numId w:val="1038"/>
        </w:numPr>
      </w:pPr>
      <w:r>
        <w:rPr>
          <w:lang w:val="es-ES"/>
        </w:rPr>
        <w:t xml:space="preserve">categorías y número aproximado de personas interesadas (si están disponibles);</w:t>
      </w:r>
    </w:p>
    <w:p>
      <w:pPr>
        <w:pStyle w:val="Compact"/>
        <w:numPr>
          <w:ilvl w:val="0"/>
          <w:numId w:val="1038"/>
        </w:numPr>
      </w:pPr>
      <w:r>
        <w:rPr>
          <w:lang w:val="es-ES"/>
        </w:rPr>
        <w:t xml:space="preserve">categorías y número aproximado de registros afectados (si están disponibles);</w:t>
      </w:r>
    </w:p>
    <w:p>
      <w:pPr>
        <w:pStyle w:val="Compact"/>
        <w:numPr>
          <w:ilvl w:val="0"/>
          <w:numId w:val="1038"/>
        </w:numPr>
      </w:pPr>
      <w:r>
        <w:rPr>
          <w:lang w:val="es-ES"/>
        </w:rPr>
        <w:t xml:space="preserve">consecuencias probables;</w:t>
      </w:r>
    </w:p>
    <w:p>
      <w:pPr>
        <w:pStyle w:val="Compact"/>
        <w:numPr>
          <w:ilvl w:val="0"/>
          <w:numId w:val="1038"/>
        </w:numPr>
      </w:pPr>
      <w:r>
        <w:rPr>
          <w:lang w:val="es-ES"/>
        </w:rPr>
        <w:t xml:space="preserve">medidas tomadas o propuestas para remediar y mitigar;</w:t>
      </w:r>
    </w:p>
    <w:p>
      <w:pPr>
        <w:pStyle w:val="Compact"/>
        <w:numPr>
          <w:ilvl w:val="0"/>
          <w:numId w:val="1038"/>
        </w:numPr>
      </w:pPr>
      <w:r>
        <w:rPr>
          <w:lang w:val="es-ES"/>
        </w:rPr>
        <w:t xml:space="preserve">punto de contacto para más información.</w:t>
      </w:r>
    </w:p>
    <w:p>
      <w:pPr>
        <w:pStyle w:val="FirstParagraph"/>
      </w:pPr>
      <w:r>
        <w:rPr>
          <w:b/>
          <w:bCs/>
          <w:lang w:val="es-ES"/>
        </w:rPr>
        <w:t xml:space="preserve">Información escalonada. </w:t>
      </w:r>
      <w:r>
        <w:rPr>
          <w:lang w:val="es-ES"/>
        </w:rPr>
        <w:t xml:space="preserve"/>
      </w:r>
      <w:r>
        <w:rPr>
          <w:lang w:val="es-ES"/>
        </w:rPr>
        <w:t xml:space="preserve">Cuando no se disponga de toda la información simultáneamente, se comunicará de forma escalonada, sin dilaciones indebidas (art. 33.4).</w:t>
      </w:r>
    </w:p>
    <w:p>
      <w:pPr>
        <w:pStyle w:val="BodyText"/>
      </w:pPr>
      <w:r>
        <w:rPr>
          <w:b/>
          <w:bCs/>
          <w:lang w:val="es-ES"/>
        </w:rPr>
        <w:t xml:space="preserve">Reparto de responsabilidades. El Cliente, </w:t>
      </w:r>
      <w:r>
        <w:rPr>
          <w:lang w:val="es-ES"/>
        </w:rPr>
        <w:t xml:space="preserve"/>
      </w:r>
      <w:r>
        <w:rPr>
          <w:lang w:val="es-ES"/>
        </w:rPr>
        <w:t xml:space="preserve">responsable del tratamiento, evalúa si se requiere una notificación a la autoridad de control competente según el artículo 33 del RGPD; cuando sea obligatoria, la realiza sin dilación indebida y, de </w:t>
      </w:r>
      <w:r>
        <w:rPr>
          <w:b/>
          <w:bCs/>
          <w:lang w:val="es-ES"/>
        </w:rPr>
        <w:t xml:space="preserve">ser posible, en </w:t>
      </w:r>
      <w:r>
        <w:rPr>
          <w:lang w:val="es-ES"/>
        </w:rPr>
        <w:t xml:space="preserve">las 72 horas siguientes a tener conocimiento de la violación. La autoridad no viene determinada por el idioma del documento; la CNIL es la autoridad francesa. Evalúa por separado la comunicación a los interesados cuando exista un alto riesgo, con las condiciones del artículo 34.</w:t>
      </w:r>
    </w:p>
    <w:p>
      <w:pPr>
        <w:pStyle w:val="BodyText"/>
      </w:pPr>
      <w:r>
        <w:rPr>
          <w:b/>
          <w:bCs/>
          <w:lang w:val="es-ES"/>
        </w:rPr>
        <w:t xml:space="preserve">Regístrese. </w:t>
      </w:r>
      <w:r>
        <w:rPr>
          <w:lang w:val="es-ES"/>
        </w:rPr>
        <w:t xml:space="preserve"/>
      </w:r>
      <w:r>
        <w:rPr>
          <w:lang w:val="es-ES"/>
        </w:rPr>
        <w:t xml:space="preserve">OHADJA realiza un seguimiento de las infracciones relativas al Cliente.</w:t>
      </w:r>
    </w:p>
    <w:p>
      <w:pPr>
        <w:pStyle w:val="SourceCode"/>
      </w:pPr>
      <w:r>
        <w:rPr>
          <w:rStyle w:val="VerbatimChar"/>
          <w:rFonts w:ascii="Courier New" w:hAnsi="Courier New" w:eastAsia="Courier New" w:cs="Courier New"/>
          <w:sz w:val="18"/>
          <w:szCs w:val="18"/>
        </w:rPr>
        <w:t xml:space="preserve">Detección -&gt; Evaluación (contención, preservación)</w:t>
        <w:br/>
        <w:t xml:space="preserve">  -&gt; Notificación al Cliente sin dilación indebida (contenido art. 33.3)</w:t>
        <w:br/>
        <w:t xml:space="preserve">  -&gt; [Cliente] notificación a la autoridad de control competente</w:t>
        <w:br/>
        <w:t xml:space="preserve">     &lt;= 72 h desde que se tenga constancia, si procede (art. 33)</w:t>
        <w:br/>
        <w:t xml:space="preserve">  -&gt; Información por fases si es necesario -&gt; Registro</w:t>
      </w:r>
    </w:p>
    <w:p>
      <w:r>
        <w:pict>
          <v:rect style="width:0;height:1.5pt" o:hralign="center" o:hrstd="t" o:hr="t"/>
        </w:pict>
      </w:r>
    </w:p>
    <w:bookmarkEnd w:id="142"/>
    <w:bookmarkStart w:id="143" w:name="X792fea81bfb021da122d0633eac6cb82ef8ab0f"/>
    <w:p>
      <w:pPr>
        <w:pStyle w:val="Heading2"/>
        <w:keepNext/>
        <w:keepLines/>
      </w:pPr>
      <w:r>
        <w:rPr>
          <w:color w:val="000000"/>
          <w:lang w:val="es-ES"/>
        </w:rPr>
        <w:t xml:space="preserve">PROC-03 — Devolución/eliminación al finalizar el contrato</w:t>
      </w:r>
    </w:p>
    <w:p>
      <w:pPr>
        <w:pStyle w:val="FirstParagraph"/>
      </w:pPr>
      <w:r>
        <w:rPr>
          <w:lang w:val="es-ES"/>
        </w:rPr>
        <w:t xml:space="preserve">De conformidad con la DPA §11, al finalizar el contrato el </w:t>
      </w:r>
      <w:r>
        <w:rPr>
          <w:lang w:val="es-ES"/>
        </w:rPr>
        <w:t xml:space="preserve"/>
      </w:r>
      <w:r>
        <w:rPr>
          <w:b/>
          <w:bCs/>
          <w:lang w:val="es-ES"/>
        </w:rPr>
        <w:t xml:space="preserve">Cliente elige por </w:t>
      </w:r>
      <w:r>
        <w:rPr>
          <w:lang w:val="es-ES"/>
        </w:rPr>
        <w:t xml:space="preserve"/>
      </w:r>
      <w:r>
        <w:rPr>
          <w:lang w:val="es-ES"/>
        </w:rPr>
        <w:t xml:space="preserve">escrito:</w:t>
      </w:r>
    </w:p>
    <w:p>
      <w:pPr>
        <w:pStyle w:val="Compact"/>
        <w:numPr>
          <w:ilvl w:val="0"/>
          <w:numId w:val="1039"/>
        </w:numPr>
      </w:pPr>
      <w:r>
        <w:rPr>
          <w:b/>
          <w:bCs/>
          <w:lang w:val="es-ES"/>
        </w:rPr>
        <w:t xml:space="preserve">Restitución: </w:t>
      </w:r>
      <w:r>
        <w:rPr>
          <w:lang w:val="es-ES"/>
        </w:rPr>
        <w:t xml:space="preserve"/>
      </w:r>
      <w:r>
        <w:rPr>
          <w:lang w:val="es-ES"/>
        </w:rPr>
        <w:t xml:space="preserve">exportación estándar </w:t>
      </w:r>
      <w:r>
        <w:rPr>
          <w:lang w:val="es-ES"/>
        </w:rPr>
        <w:t xml:space="preserve"/>
      </w:r>
      <w:r>
        <w:rPr>
          <w:rStyle w:val="VerbatimChar"/>
          <w:lang w:val="es-ES"/>
        </w:rPr>
        <w:t xml:space="preserve">.tar.gz</w:t>
      </w:r>
      <w:r>
        <w:rPr>
          <w:lang w:val="es-ES"/>
        </w:rPr>
        <w:t xml:space="preserve"> </w:t>
      </w:r>
      <w:r>
        <w:rPr>
          <w:lang w:val="es-ES"/>
        </w:rPr>
        <w:t xml:space="preserve">firmado SHA-256 por el inquilino.</w:t>
      </w:r>
    </w:p>
    <w:p>
      <w:pPr>
        <w:pStyle w:val="Compact"/>
        <w:numPr>
          <w:ilvl w:val="0"/>
          <w:numId w:val="1039"/>
        </w:numPr>
      </w:pPr>
      <w:r>
        <w:rPr>
          <w:b/>
          <w:bCs/>
          <w:lang w:val="es-ES"/>
        </w:rPr>
        <w:t xml:space="preserve">Eliminación: </w:t>
      </w:r>
      <w:r>
        <w:rPr>
          <w:lang w:val="es-ES"/>
        </w:rPr>
        <w:t xml:space="preserve"/>
      </w:r>
      <w:r>
        <w:rPr>
          <w:lang w:val="es-ES"/>
        </w:rPr>
        <w:t xml:space="preserve">producción eliminada ≤ </w:t>
      </w:r>
      <w:r>
        <w:rPr>
          <w:lang w:val="es-ES"/>
        </w:rPr>
        <w:t xml:space="preserve">30 </w:t>
      </w:r>
      <w:r>
        <w:rPr>
          <w:b/>
          <w:bCs/>
          <w:lang w:val="es-ES"/>
        </w:rPr>
        <w:t xml:space="preserve">días; copias </w:t>
      </w:r>
      <w:r>
        <w:rPr>
          <w:lang w:val="es-ES"/>
        </w:rPr>
        <w:t xml:space="preserve"/>
      </w:r>
      <w:r>
        <w:rPr>
          <w:lang w:val="es-ES"/>
        </w:rPr>
        <w:t xml:space="preserve">de seguridad eliminadas </w:t>
      </w:r>
      <w:r>
        <w:rPr>
          <w:lang w:val="es-ES"/>
        </w:rPr>
        <w:t xml:space="preserve"/>
      </w:r>
      <w:r>
        <w:rPr>
          <w:b/>
          <w:bCs/>
          <w:lang w:val="es-ES"/>
        </w:rPr>
        <w:t xml:space="preserve">≤ 90 </w:t>
      </w:r>
      <w:r>
        <w:rPr>
          <w:lang w:val="es-ES"/>
        </w:rPr>
        <w:t xml:space="preserve">días.</w:t>
      </w:r>
    </w:p>
    <w:p>
      <w:pPr>
        <w:pStyle w:val="Compact"/>
        <w:numPr>
          <w:ilvl w:val="0"/>
          <w:numId w:val="1039"/>
        </w:numPr>
      </w:pPr>
      <w:r>
        <w:rPr>
          <w:b/>
          <w:bCs/>
          <w:lang w:val="es-ES"/>
        </w:rPr>
        <w:t xml:space="preserve">Certificado </w:t>
      </w:r>
      <w:r>
        <w:rPr>
          <w:lang w:val="es-ES"/>
        </w:rPr>
        <w:t xml:space="preserve"/>
      </w:r>
      <w:r>
        <w:rPr>
          <w:lang w:val="es-ES"/>
        </w:rPr>
        <w:t xml:space="preserve">de retirada o devolución aportado ≤ 30 </w:t>
      </w:r>
      <w:r>
        <w:rPr>
          <w:lang w:val="es-ES"/>
        </w:rPr>
        <w:t xml:space="preserve"/>
      </w:r>
      <w:r>
        <w:rPr>
          <w:b/>
          <w:bCs/>
          <w:lang w:val="es-ES"/>
        </w:rPr>
        <w:t xml:space="preserve">días después </w:t>
      </w:r>
      <w:r>
        <w:rPr>
          <w:lang w:val="es-ES"/>
        </w:rPr>
        <w:t xml:space="preserve"/>
      </w:r>
      <w:r>
        <w:rPr>
          <w:lang w:val="es-ES"/>
        </w:rPr>
        <w:t xml:space="preserve">de su finalización.</w:t>
      </w:r>
    </w:p>
    <w:p>
      <w:r>
        <w:pict>
          <v:rect style="width:0;height:1.5pt" o:hralign="center" o:hrstd="t" o:hr="t"/>
        </w:pict>
      </w:r>
    </w:p>
    <w:bookmarkEnd w:id="143"/>
    <w:bookmarkStart w:id="144" w:name="X6001a8d9102cccbb3e345d0a66583a05f743cff"/>
    <w:p>
      <w:pPr>
        <w:pStyle w:val="Heading2"/>
        <w:keepNext/>
        <w:keepLines/>
      </w:pPr>
      <w:r>
        <w:rPr>
          <w:color w:val="000000"/>
          <w:lang w:val="es-ES"/>
        </w:rPr>
        <w:t xml:space="preserve">PROC-04 — Asistencia con análisis de impacto (EIPD)</w:t>
      </w:r>
    </w:p>
    <w:p>
      <w:pPr>
        <w:pStyle w:val="FirstParagraph"/>
      </w:pPr>
      <w:r>
        <w:rPr>
          <w:b/>
          <w:bCs/>
          <w:lang w:val="es-ES"/>
        </w:rPr>
        <w:t xml:space="preserve">Información proporcionada por </w:t>
      </w:r>
      <w:r>
        <w:rPr>
          <w:lang w:val="es-ES"/>
        </w:rPr>
        <w:t xml:space="preserve"/>
      </w:r>
      <w:r>
        <w:rPr>
          <w:lang w:val="es-ES"/>
        </w:rPr>
        <w:t xml:space="preserve">OHADJA: arquitectura del servicio, medidas técnicas y organizativas (MTO), listado de subencargados del tratamiento, mapeo de flujo, garantías específicas de correlación de voz.</w:t>
      </w:r>
    </w:p>
    <w:p>
      <w:pPr>
        <w:pStyle w:val="BodyText"/>
      </w:pPr>
      <w:r>
        <w:rPr>
          <w:b/>
          <w:bCs/>
          <w:lang w:val="es-ES"/>
        </w:rPr>
        <w:t xml:space="preserve">Entregables: </w:t>
      </w:r>
      <w:r>
        <w:rPr>
          <w:lang w:val="es-ES"/>
        </w:rPr>
        <w:t xml:space="preserve"/>
      </w:r>
      <w:r>
        <w:rPr>
          <w:lang w:val="es-ES"/>
        </w:rPr>
        <w:t xml:space="preserve"/>
      </w:r>
      <w:r>
        <w:rPr>
          <w:lang w:val="es-ES"/>
        </w:rPr>
        <w:t xml:space="preserve">una </w:t>
      </w:r>
      <w:r>
        <w:rPr>
          <w:b/>
          <w:bCs/>
          <w:lang w:val="es-ES"/>
        </w:rPr>
        <w:t xml:space="preserve">DPIA/EIPD genérica </w:t>
      </w:r>
      <w:r>
        <w:rPr>
          <w:lang w:val="es-ES"/>
        </w:rPr>
        <w:t xml:space="preserve"/>
      </w:r>
      <w:r>
        <w:rPr>
          <w:lang w:val="es-ES"/>
        </w:rPr>
        <w:t xml:space="preserve">está disponible previa solicitud para apoyo; EIPD sigue siendo responsabilidad del Cliente (responsable del </w:t>
      </w:r>
      <w:r>
        <w:rPr>
          <w:lang w:val="es-ES"/>
        </w:rPr>
        <w:t xml:space="preserve"/>
      </w:r>
      <w:r>
        <w:rPr>
          <w:b/>
          <w:bCs/>
          <w:lang w:val="es-ES"/>
        </w:rPr>
        <w:t xml:space="preserve">tratamiento). </w:t>
      </w:r>
      <w:r>
        <w:rPr>
          <w:lang w:val="es-ES"/>
        </w:rPr>
        <w:t xml:space="preserve"/>
      </w:r>
      <w:r>
        <w:rPr>
          <w:lang w:val="es-ES"/>
        </w:rPr>
        <w:t xml:space="preserve">Se puede organizar un taller de apoyo.</w:t>
      </w:r>
    </w:p>
    <w:p>
      <w:pPr>
        <w:pStyle w:val="BodyText"/>
      </w:pPr>
      <w:r>
        <w:rPr>
          <w:b/>
          <w:bCs/>
          <w:lang w:val="es-ES"/>
        </w:rPr>
        <w:t xml:space="preserve">Caso de correlación de voz: </w:t>
      </w:r>
      <w:r>
        <w:rPr>
          <w:lang w:val="es-ES"/>
        </w:rPr>
        <w:t xml:space="preserve"/>
      </w:r>
      <w:r>
        <w:rPr>
          <w:lang w:val="es-ES"/>
        </w:rPr>
        <w:t xml:space="preserve">EIPD </w:t>
      </w:r>
      <w:r>
        <w:rPr>
          <w:lang w:val="es-ES"/>
        </w:rPr>
        <w:t xml:space="preserve"/>
      </w:r>
      <w:r>
        <w:rPr>
          <w:b/>
          <w:bCs/>
          <w:lang w:val="es-ES"/>
        </w:rPr>
        <w:t xml:space="preserve">previo obligatorio antes </w:t>
      </w:r>
      <w:r>
        <w:rPr>
          <w:lang w:val="es-ES"/>
        </w:rPr>
        <w:t xml:space="preserve"/>
      </w:r>
      <w:r>
        <w:rPr>
          <w:lang w:val="es-ES"/>
        </w:rPr>
        <w:t xml:space="preserve">de la activación (ver OHA-RGPD-07).</w:t>
      </w:r>
    </w:p>
    <w:p>
      <w:r>
        <w:pict>
          <v:rect style="width:0;height:1.5pt" o:hralign="center" o:hrstd="t" o:hr="t"/>
        </w:pict>
      </w:r>
    </w:p>
    <w:bookmarkEnd w:id="144"/>
    <w:bookmarkStart w:id="145" w:name="proc-05--assistance-à-laudit"/>
    <w:p>
      <w:pPr>
        <w:pStyle w:val="Heading2"/>
        <w:keepNext/>
        <w:keepLines/>
      </w:pPr>
      <w:r>
        <w:rPr>
          <w:color w:val="000000"/>
          <w:lang w:val="es-ES"/>
        </w:rPr>
        <w:t xml:space="preserve">PROC-05 — Asistencia de auditoría</w:t>
      </w:r>
    </w:p>
    <w:p>
      <w:pPr>
        <w:pStyle w:val="Compact"/>
        <w:numPr>
          <w:ilvl w:val="0"/>
          <w:numId w:val="1040"/>
        </w:numPr>
      </w:pPr>
      <w:r>
        <w:rPr>
          <w:lang w:val="es-ES"/>
        </w:rPr>
        <w:t xml:space="preserve">Derecho del cliente a auditar: </w:t>
      </w:r>
      <w:r>
        <w:rPr>
          <w:lang w:val="es-ES"/>
        </w:rPr>
        <w:t xml:space="preserve"/>
      </w:r>
      <w:r>
        <w:rPr>
          <w:b/>
          <w:bCs/>
          <w:lang w:val="es-ES"/>
        </w:rPr>
        <w:t xml:space="preserve">1 auditoría por año </w:t>
      </w:r>
      <w:r>
        <w:rPr>
          <w:lang w:val="es-ES"/>
        </w:rPr>
        <w:t xml:space="preserve">calendario, aviso </w:t>
      </w:r>
      <w:r>
        <w:rPr>
          <w:lang w:val="es-ES"/>
        </w:rPr>
        <w:t xml:space="preserve"/>
      </w:r>
      <w:r>
        <w:rPr>
          <w:b/>
          <w:bCs/>
          <w:lang w:val="es-ES"/>
        </w:rPr>
        <w:t xml:space="preserve">escrito ≥ 30 </w:t>
      </w:r>
      <w:r>
        <w:rPr>
          <w:lang w:val="es-ES"/>
        </w:rPr>
        <w:t xml:space="preserve">días </w:t>
      </w:r>
      <w:r>
        <w:rPr>
          <w:lang w:val="es-ES"/>
        </w:rPr>
        <w:t xml:space="preserve">(excepto incidente grave o solicitud de autoridad).</w:t>
      </w:r>
    </w:p>
    <w:p>
      <w:pPr>
        <w:pStyle w:val="Compact"/>
        <w:numPr>
          <w:ilvl w:val="0"/>
          <w:numId w:val="1040"/>
        </w:numPr>
      </w:pPr>
      <w:r>
        <w:rPr>
          <w:lang w:val="es-ES"/>
        </w:rPr>
        <w:t xml:space="preserve">Realizado durante días/horarios hábiles, sin comprometer la seguridad, disponibilidad o confidencialidad de los datos de otros clientes.</w:t>
      </w:r>
    </w:p>
    <w:p>
      <w:pPr>
        <w:pStyle w:val="Compact"/>
        <w:numPr>
          <w:ilvl w:val="0"/>
          <w:numId w:val="1040"/>
        </w:numPr>
      </w:pPr>
      <w:r>
        <w:rPr>
          <w:lang w:val="es-ES"/>
        </w:rPr>
        <w:t xml:space="preserve">Posible tercer auditor (sujeto a confidencialidad, no concursante).</w:t>
      </w:r>
    </w:p>
    <w:p>
      <w:pPr>
        <w:pStyle w:val="Compact"/>
        <w:numPr>
          <w:ilvl w:val="0"/>
          <w:numId w:val="1040"/>
        </w:numPr>
      </w:pPr>
      <w:r>
        <w:rPr>
          <w:lang w:val="es-ES"/>
        </w:rPr>
        <w:t xml:space="preserve">Alcance: cumplimiento del artículo 28 y de la DPA; exclusión de datos de otros clientes, secretos comerciales, código fuente sin licencia.</w:t>
      </w:r>
    </w:p>
    <w:p>
      <w:pPr>
        <w:pStyle w:val="Compact"/>
        <w:numPr>
          <w:ilvl w:val="0"/>
          <w:numId w:val="1040"/>
        </w:numPr>
      </w:pPr>
      <w:r>
        <w:rPr>
          <w:lang w:val="es-ES"/>
        </w:rPr>
        <w:t xml:space="preserve">En caso de incumplimiento sustancial: plan de remediación proporcionado.</w:t>
      </w:r>
    </w:p>
    <w:p>
      <w:r>
        <w:pict>
          <v:rect style="width:0;height:1.5pt" o:hralign="center" o:hrstd="t" o:hr="t"/>
        </w:pict>
      </w:r>
    </w:p>
    <w:bookmarkEnd w:id="145"/>
    <w:bookmarkStart w:id="146" w:name="proc-06--escalade-et-contacts"/>
    <w:p>
      <w:pPr>
        <w:pStyle w:val="Heading2"/>
        <w:keepNext/>
        <w:keepLines/>
      </w:pPr>
      <w:r>
        <w:rPr>
          <w:color w:val="000000"/>
          <w:lang w:val="es-ES"/>
        </w:rPr>
        <w:t xml:space="preserve">PROC-06 — Escalamiento y contactos</w:t>
      </w:r>
    </w:p>
    <w:tbl>
      <w:tblPr>
        <w:tblStyle w:val="Table"/>
        <w:tblW w:type="auto" w:w="0"/>
        <w:tblLook w:firstRow="1" w:lastRow="0" w:firstColumn="0" w:lastColumn="0" w:noHBand="0" w:noVBand="0" w:val="0020"/>
      </w:tblPr>
      <w:tblGrid>
        <w:gridCol w:w="2640"/>
        <w:gridCol w:w="2640"/>
        <w:gridCol w:w="2640"/>
      </w:tblGrid>
      <w:tr>
        <w:trPr>
          <w:tblHeader w:val="on"/>
          <w:cantSplit/>
        </w:trPr>
        <w:tc>
          <w:tcPr/>
          <w:p>
            <w:pPr>
              <w:pStyle w:val="Compact"/>
            </w:pPr>
            <w:r>
              <w:rPr>
                <w:lang w:val="es-ES"/>
              </w:rPr>
              <w:t xml:space="preserve">Asunto</w:t>
            </w:r>
          </w:p>
        </w:tc>
        <w:tc>
          <w:tcPr/>
          <w:p>
            <w:pPr>
              <w:pStyle w:val="Compact"/>
            </w:pPr>
            <w:r>
              <w:rPr>
                <w:lang w:val="es-ES"/>
              </w:rPr>
              <w:t xml:space="preserve">Contacto</w:t>
            </w:r>
          </w:p>
        </w:tc>
        <w:tc>
          <w:tcPr/>
          <w:p>
            <w:pPr>
              <w:pStyle w:val="Compact"/>
            </w:pPr>
            <w:r>
              <w:rPr>
                <w:lang w:val="es-ES"/>
              </w:rPr>
              <w:t xml:space="preserve">Plazo objetivo</w:t>
            </w:r>
          </w:p>
        </w:tc>
      </w:tr>
      <w:tr>
        <w:trPr>
          <w:cantSplit/>
        </w:trPr>
        <w:tc>
          <w:tcPr/>
          <w:p>
            <w:pPr>
              <w:pStyle w:val="Compact"/>
            </w:pPr>
            <w:r>
              <w:rPr>
                <w:lang w:val="es-ES"/>
              </w:rPr>
              <w:t xml:space="preserve">Ejercicio de derechos</w:t>
            </w:r>
          </w:p>
        </w:tc>
        <w:tc>
          <w:tcPr/>
          <w:p>
            <w:pPr>
              <w:pStyle w:val="Compact"/>
            </w:pPr>
            <w:hyperlink r:id="rId9">
              <w:r>
                <w:rPr>
                  <w:rStyle w:val="Hyperlink"/>
                  <w:lang w:val="es-ES"/>
                </w:rPr>
                <w:t xml:space="preserve">privacy@transcribia.eu</w:t>
              </w:r>
            </w:hyperlink>
          </w:p>
        </w:tc>
        <w:tc>
          <w:tcPr/>
          <w:p>
            <w:pPr>
              <w:pStyle w:val="Compact"/>
            </w:pPr>
            <w:r>
              <w:rPr>
                <w:lang w:val="es-ES"/>
              </w:rPr>
              <w:t xml:space="preserve">Asistencia ≤ 7 días hábiles</w:t>
            </w:r>
          </w:p>
        </w:tc>
      </w:tr>
      <w:tr>
        <w:trPr>
          <w:cantSplit/>
        </w:trPr>
        <w:tc>
          <w:tcPr/>
          <w:p>
            <w:pPr>
              <w:pStyle w:val="Compact"/>
            </w:pPr>
            <w:r>
              <w:rPr>
                <w:lang w:val="es-ES"/>
              </w:rPr>
              <w:t xml:space="preserve">Violación de datos</w:t>
            </w:r>
          </w:p>
        </w:tc>
        <w:tc>
          <w:tcPr/>
          <w:p>
            <w:pPr>
              <w:pStyle w:val="Compact"/>
            </w:pPr>
            <w:hyperlink r:id="rId9">
              <w:r>
                <w:rPr>
                  <w:rStyle w:val="Hyperlink"/>
                  <w:lang w:val="es-ES"/>
                </w:rPr>
                <w:t xml:space="preserve">privacy@transcribia.eu</w:t>
              </w:r>
            </w:hyperlink>
          </w:p>
        </w:tc>
        <w:tc>
          <w:tcPr/>
          <w:p>
            <w:pPr>
              <w:pStyle w:val="Compact"/>
            </w:pPr>
            <w:r>
              <w:rPr>
                <w:lang w:val="es-ES"/>
              </w:rPr>
              <w:t xml:space="preserve">Notificación sin dilación indebida tras tener conocimiento, también fuera de los días laborables</w:t>
            </w:r>
          </w:p>
        </w:tc>
      </w:tr>
      <w:tr>
        <w:trPr>
          <w:cantSplit/>
        </w:trPr>
        <w:tc>
          <w:tcPr/>
          <w:p>
            <w:pPr>
              <w:pStyle w:val="Compact"/>
            </w:pPr>
            <w:r>
              <w:rPr>
                <w:lang w:val="es-ES"/>
              </w:rPr>
              <w:t xml:space="preserve">Restitución/supresión</w:t>
            </w:r>
          </w:p>
        </w:tc>
        <w:tc>
          <w:tcPr/>
          <w:p>
            <w:pPr>
              <w:pStyle w:val="Compact"/>
            </w:pPr>
            <w:hyperlink r:id="rId9">
              <w:r>
                <w:rPr>
                  <w:rStyle w:val="Hyperlink"/>
                  <w:lang w:val="es-ES"/>
                </w:rPr>
                <w:t xml:space="preserve">privacy@transcribia.eu</w:t>
              </w:r>
            </w:hyperlink>
          </w:p>
        </w:tc>
        <w:tc>
          <w:tcPr/>
          <w:p>
            <w:pPr>
              <w:pStyle w:val="Compact"/>
            </w:pPr>
            <w:r>
              <w:rPr>
                <w:lang w:val="es-ES"/>
              </w:rPr>
              <w:t xml:space="preserve">Eliminación ≤ 30 días / certificado ≤ 30 días</w:t>
            </w:r>
          </w:p>
        </w:tc>
      </w:tr>
      <w:tr>
        <w:trPr>
          <w:cantSplit/>
        </w:trPr>
        <w:tc>
          <w:tcPr/>
          <w:p>
            <w:pPr>
              <w:pStyle w:val="Compact"/>
            </w:pPr>
            <w:r>
              <w:rPr>
                <w:lang w:val="es-ES"/>
              </w:rPr>
              <w:t xml:space="preserve">EIPD / documentación</w:t>
            </w:r>
          </w:p>
        </w:tc>
        <w:tc>
          <w:tcPr/>
          <w:p>
            <w:pPr>
              <w:pStyle w:val="Compact"/>
            </w:pPr>
            <w:hyperlink r:id="rId9">
              <w:r>
                <w:rPr>
                  <w:rStyle w:val="Hyperlink"/>
                  <w:lang w:val="es-ES"/>
                </w:rPr>
                <w:t xml:space="preserve">privacy@transcribia.eu</w:t>
              </w:r>
            </w:hyperlink>
          </w:p>
        </w:tc>
        <w:tc>
          <w:tcPr/>
          <w:p>
            <w:pPr>
              <w:pStyle w:val="Compact"/>
            </w:pPr>
            <w:r>
              <w:rPr>
                <w:lang w:val="es-ES"/>
              </w:rPr>
              <w:t xml:space="preserve">A pedido</w:t>
            </w:r>
          </w:p>
        </w:tc>
      </w:tr>
      <w:tr>
        <w:trPr>
          <w:cantSplit/>
        </w:trPr>
        <w:tc>
          <w:tcPr/>
          <w:p>
            <w:pPr>
              <w:pStyle w:val="Compact"/>
            </w:pPr>
            <w:r>
              <w:rPr>
                <w:lang w:val="es-ES"/>
              </w:rPr>
              <w:t xml:space="preserve">Auditoría</w:t>
            </w:r>
          </w:p>
        </w:tc>
        <w:tc>
          <w:tcPr/>
          <w:p>
            <w:pPr>
              <w:pStyle w:val="Compact"/>
            </w:pPr>
            <w:hyperlink r:id="rId9">
              <w:r>
                <w:rPr>
                  <w:rStyle w:val="Hyperlink"/>
                  <w:lang w:val="es-ES"/>
                </w:rPr>
                <w:t xml:space="preserve">privacy@transcribia.eu</w:t>
              </w:r>
            </w:hyperlink>
          </w:p>
        </w:tc>
        <w:tc>
          <w:tcPr/>
          <w:p>
            <w:pPr>
              <w:pStyle w:val="Compact"/>
            </w:pPr>
            <w:r>
              <w:rPr>
                <w:lang w:val="es-ES"/>
              </w:rPr>
              <w:t xml:space="preserve">Aviso ≥ 30 días</w:t>
            </w:r>
          </w:p>
        </w:tc>
      </w:tr>
    </w:tbl>
    <w:p>
      <w:pPr>
        <w:pStyle w:val="BlockText"/>
      </w:pPr>
      <w:r>
        <w:rPr>
          <w:lang w:val="es-ES"/>
        </w:rPr>
        <w:t xml:space="preserve">Los datos de contacto de la persona de contacto del lado del Cliente (persona de contacto, DPO) deben ser completados por el Cliente; consulte OHA-RGPD-09.</w:t>
      </w:r>
    </w:p>
    <w:p>
      <w:r>
        <w:pict>
          <v:rect style="width:0;height:1.5pt" o:hralign="center" o:hrstd="t" o:hr="t"/>
        </w:pict>
      </w:r>
    </w:p>
    <w:p>
      <w:pPr>
        <w:pStyle w:val="FirstParagraph"/>
      </w:pPr>
      <w:r>
        <w:rPr>
          <w:i/>
          <w:iCs/>
          <w:lang w:val="es-ES"/>
        </w:rPr>
        <w:t xml:space="preserve">Documento de trabajo establecido por OHADJA — para ser validado por su asesor legal / DPO antes de la firma.</w:t>
      </w:r>
    </w:p>
    <w:p>
      <w:r>
        <w:br w:type="page"/>
      </w:r>
    </w:p>
    <w:bookmarkEnd w:id="146"/>
    <w:bookmarkEnd w:id="147"/>
    <w:bookmarkStart w:id="152" w:name="Xd09627a6906f0cfd013e0f21fecf00b43a25682"/>
    <w:p>
      <w:pPr>
        <w:pStyle w:val="Heading1"/>
        <w:keepNext/>
        <w:keepLines/>
      </w:pPr>
      <w:r>
        <w:rPr>
          <w:color w:val="000000"/>
          <w:lang w:val="es-ES"/>
        </w:rPr>
        <w:t xml:space="preserve">Contacto y persona de referencia para protección de datos —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Referencia</w:t>
            </w:r>
          </w:p>
        </w:tc>
        <w:tc>
          <w:tcPr/>
          <w:p>
            <w:pPr>
              <w:pStyle w:val="Compact"/>
            </w:pPr>
            <w:r>
              <w:rPr>
                <w:lang w:val="es-ES"/>
              </w:rPr>
              <w:t xml:space="preserve">OHA-RGPD-09</w:t>
            </w:r>
          </w:p>
        </w:tc>
      </w:tr>
      <w:tr>
        <w:trPr>
          <w:cantSplit/>
        </w:trPr>
        <w:tc>
          <w:tcPr/>
          <w:p>
            <w:pPr>
              <w:pStyle w:val="Compact"/>
            </w:pPr>
            <w:r>
              <w:rPr>
                <w:lang w:val="es-ES"/>
              </w:rPr>
              <w:t xml:space="preserve">Propósito</w:t>
            </w:r>
          </w:p>
        </w:tc>
        <w:tc>
          <w:tcPr/>
          <w:p>
            <w:pPr>
              <w:pStyle w:val="Compact"/>
            </w:pPr>
            <w:r>
              <w:rPr>
                <w:lang w:val="es-ES"/>
              </w:rPr>
              <w:t xml:space="preserve">Persona de contacto de OHADJA para protección de datos y contactos</w:t>
            </w:r>
          </w:p>
        </w:tc>
      </w:tr>
      <w:tr>
        <w:trPr>
          <w:cantSplit/>
        </w:trPr>
        <w:tc>
          <w:tcPr/>
          <w:p>
            <w:pPr>
              <w:pStyle w:val="Compact"/>
            </w:pPr>
            <w:r>
              <w:rPr>
                <w:lang w:val="es-ES"/>
              </w:rPr>
              <w:t xml:space="preserve">Versión</w:t>
            </w:r>
          </w:p>
        </w:tc>
        <w:tc>
          <w:tcPr/>
          <w:p>
            <w:pPr>
              <w:pStyle w:val="Compact"/>
            </w:pPr>
            <w:r>
              <w:rPr>
                <w:lang w:val="es-ES"/>
              </w:rPr>
              <w:t xml:space="preserve">1.0</w:t>
            </w:r>
          </w:p>
        </w:tc>
      </w:tr>
      <w:tr>
        <w:trPr>
          <w:cantSplit/>
        </w:trPr>
        <w:tc>
          <w:tcPr/>
          <w:p>
            <w:pPr>
              <w:pStyle w:val="Compact"/>
            </w:pPr>
            <w:r>
              <w:rPr>
                <w:lang w:val="es-ES"/>
              </w:rPr>
              <w:t xml:space="preserve">Fecha</w:t>
            </w:r>
          </w:p>
        </w:tc>
        <w:tc>
          <w:tcPr/>
          <w:p>
            <w:pPr>
              <w:pStyle w:val="Compact"/>
            </w:pPr>
            <w:r>
              <w:rPr>
                <w:lang w:val="es-ES"/>
              </w:rPr>
              <w:t xml:space="preserve">2026-07-24</w:t>
            </w:r>
          </w:p>
        </w:tc>
      </w:tr>
      <w:tr>
        <w:trPr>
          <w:cantSplit/>
        </w:trPr>
        <w:tc>
          <w:tcPr/>
          <w:p>
            <w:pPr>
              <w:pStyle w:val="Compact"/>
            </w:pPr>
            <w:r>
              <w:rPr>
                <w:lang w:val="es-ES"/>
              </w:rPr>
              <w:t xml:space="preserve">Redactor</w:t>
            </w:r>
          </w:p>
        </w:tc>
        <w:tc>
          <w:tcPr/>
          <w:p>
            <w:pPr>
              <w:pStyle w:val="Compact"/>
            </w:pPr>
            <w:r>
              <w:rPr>
                <w:lang w:val="es-ES"/>
              </w:rPr>
              <w:t xml:space="preserve">OHADJA</w:t>
            </w:r>
          </w:p>
        </w:tc>
      </w:tr>
      <w:tr>
        <w:trPr>
          <w:cantSplit/>
        </w:trPr>
        <w:tc>
          <w:tcPr/>
          <w:p>
            <w:pPr>
              <w:pStyle w:val="Compact"/>
            </w:pPr>
            <w:r>
              <w:rPr>
                <w:lang w:val="es-ES"/>
              </w:rPr>
              <w:t xml:space="preserve">Destinatario</w:t>
            </w:r>
          </w:p>
        </w:tc>
        <w:tc>
          <w:tcPr/>
          <w:p>
            <w:pPr>
              <w:pStyle w:val="Compact"/>
            </w:pPr>
            <w:r>
              <w:rPr>
                <w:lang w:val="es-ES"/>
              </w:rPr>
              <w:t xml:space="preserve">Organización del cliente (documento estándar)</w:t>
            </w:r>
          </w:p>
        </w:tc>
      </w:tr>
      <w:tr>
        <w:trPr>
          <w:cantSplit/>
        </w:trPr>
        <w:tc>
          <w:tcPr/>
          <w:p>
            <w:pPr>
              <w:pStyle w:val="Compact"/>
            </w:pPr>
            <w:r>
              <w:rPr>
                <w:lang w:val="es-ES"/>
              </w:rPr>
              <w:t xml:space="preserve">Clasificación</w:t>
            </w:r>
          </w:p>
        </w:tc>
        <w:tc>
          <w:tcPr/>
          <w:p>
            <w:pPr>
              <w:pStyle w:val="Compact"/>
            </w:pPr>
            <w:r>
              <w:rPr>
                <w:lang w:val="es-ES"/>
              </w:rPr>
              <w:t xml:space="preserve">Público: documento estándar, especificado durante cada contratación.</w:t>
            </w:r>
          </w:p>
        </w:tc>
      </w:tr>
    </w:tbl>
    <w:bookmarkStart w:id="148" w:name="Xd7a3ca93746dcf1d0f8d53c63f17d63b80b17bf"/>
    <w:p>
      <w:pPr>
        <w:pStyle w:val="Heading2"/>
        <w:keepNext/>
        <w:keepLines/>
      </w:pPr>
      <w:r>
        <w:rPr>
          <w:color w:val="000000"/>
          <w:lang w:val="es-ES"/>
        </w:rPr>
        <w:t xml:space="preserve">1. Ausencia de DPO en el sentido del artículo 37</w:t>
      </w:r>
    </w:p>
    <w:p>
      <w:pPr>
        <w:pStyle w:val="FirstParagraph"/>
      </w:pPr>
      <w:r>
        <w:rPr>
          <w:lang w:val="es-ES"/>
        </w:rPr>
        <w:t xml:space="preserve">OHADJA no ha designado un delegado de protección de datos (DPD) en la fecha de </w:t>
      </w:r>
      <w:r>
        <w:rPr>
          <w:lang w:val="es-ES"/>
        </w:rPr>
        <w:t xml:space="preserve"/>
      </w:r>
      <w:r>
        <w:rPr>
          <w:b/>
          <w:bCs/>
          <w:lang w:val="es-ES"/>
        </w:rPr>
        <w:t xml:space="preserve">este documento. La necesidad de designarlo debe evaluarse </w:t>
      </w:r>
      <w:r>
        <w:rPr>
          <w:lang w:val="es-ES"/>
        </w:rPr>
        <w:t xml:space="preserve"/>
      </w:r>
      <w:r>
        <w:rPr>
          <w:lang w:val="es-ES"/>
        </w:rPr>
        <w:t xml:space="preserve">y documentarse con arreglo al artículo 37, también para los tratamientos realizados como encargado del tratamiento: naturaleza de las actividades principales, observación habitual y sistemática a </w:t>
      </w:r>
      <w:r>
        <w:rPr>
          <w:lang w:val="es-ES"/>
        </w:rPr>
        <w:t xml:space="preserve">gran </w:t>
      </w:r>
      <w:r>
        <w:rPr>
          <w:b/>
          <w:bCs/>
          <w:lang w:val="es-ES"/>
        </w:rPr>
        <w:t xml:space="preserve">escala, y tratamiento a gran escala de </w:t>
      </w:r>
      <w:r>
        <w:rPr>
          <w:lang w:val="es-ES"/>
        </w:rPr>
        <w:t xml:space="preserve">categorías </w:t>
      </w:r>
      <w:r>
        <w:rPr>
          <w:lang w:val="es-ES"/>
        </w:rPr>
        <w:t xml:space="preserve">especiales o de datos penales. El mero hecho de actuar por cuenta de clientes no constituye </w:t>
      </w:r>
      <w:r>
        <w:rPr>
          <w:lang w:val="es-ES"/>
        </w:rPr>
        <w:t xml:space="preserve"/>
      </w:r>
      <w:r>
        <w:rPr>
          <w:b/>
          <w:bCs/>
          <w:lang w:val="es-ES"/>
        </w:rPr>
        <w:t xml:space="preserve">una exención. El análisis y, </w:t>
      </w:r>
      <w:r>
        <w:rPr>
          <w:lang w:val="es-ES"/>
        </w:rPr>
        <w:t xml:space="preserve">si </w:t>
      </w:r>
      <w:r>
        <w:rPr>
          <w:lang w:val="es-ES"/>
        </w:rPr>
        <w:t xml:space="preserve">es necesario, </w:t>
      </w:r>
      <w:r>
        <w:rPr>
          <w:lang w:val="es-ES"/>
        </w:rPr>
        <w:t xml:space="preserve">la </w:t>
      </w:r>
      <w:r>
        <w:rPr>
          <w:b/>
          <w:bCs/>
          <w:lang w:val="es-ES"/>
        </w:rPr>
        <w:t xml:space="preserve">designación </w:t>
      </w:r>
      <w:r>
        <w:rPr>
          <w:lang w:val="es-ES"/>
        </w:rPr>
        <w:t xml:space="preserve"/>
      </w:r>
      <w:r>
        <w:rPr>
          <w:lang w:val="es-ES"/>
        </w:rPr>
        <w:t xml:space="preserve">deben actualizarse cuando cambie el ámbito de actividad.</w:t>
      </w:r>
    </w:p>
    <w:bookmarkEnd w:id="148"/>
    <w:bookmarkStart w:id="149" w:name="Xd48118d6a794f15c0faa6b011a9f0f3df2cd5dc"/>
    <w:p>
      <w:pPr>
        <w:pStyle w:val="Heading2"/>
        <w:keepNext/>
        <w:keepLines/>
      </w:pPr>
      <w:r>
        <w:rPr>
          <w:color w:val="000000"/>
          <w:lang w:val="es-ES"/>
        </w:rPr>
        <w:t xml:space="preserve">2. Persona de contacto para protección de datos</w:t>
      </w:r>
    </w:p>
    <w:p>
      <w:pPr>
        <w:pStyle w:val="FirstParagraph"/>
      </w:pPr>
      <w:r>
        <w:rPr>
          <w:lang w:val="es-ES"/>
        </w:rPr>
        <w:t xml:space="preserve">A falta de obligación de designar un DPD, OHADJA ha designado una </w:t>
      </w:r>
      <w:r>
        <w:rPr>
          <w:lang w:val="es-ES"/>
        </w:rPr>
        <w:t xml:space="preserve"/>
      </w:r>
      <w:r>
        <w:rPr>
          <w:b/>
          <w:bCs/>
          <w:lang w:val="es-ES"/>
        </w:rPr>
        <w:t xml:space="preserve">persona de contacto para protección </w:t>
      </w:r>
      <w:r>
        <w:rPr>
          <w:lang w:val="es-ES"/>
        </w:rPr>
        <w:t xml:space="preserve">de datos, punto de contacto único para todas las cuestiones de cumplimiento: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Nombre</w:t>
            </w:r>
          </w:p>
        </w:tc>
        <w:tc>
          <w:tcPr/>
          <w:p>
            <w:pPr>
              <w:pStyle w:val="Compact"/>
            </w:pPr>
            <w:r>
              <w:rPr>
                <w:lang w:val="es-ES"/>
              </w:rPr>
              <w:t xml:space="preserve">Olivier Dupont</w:t>
            </w:r>
          </w:p>
        </w:tc>
      </w:tr>
      <w:tr>
        <w:trPr>
          <w:cantSplit/>
        </w:trPr>
        <w:tc>
          <w:tcPr/>
          <w:p>
            <w:pPr>
              <w:pStyle w:val="Compact"/>
            </w:pPr>
            <w:r>
              <w:rPr>
                <w:lang w:val="es-ES"/>
              </w:rPr>
              <w:t xml:space="preserve">Función</w:t>
            </w:r>
          </w:p>
        </w:tc>
        <w:tc>
          <w:tcPr/>
          <w:p>
            <w:pPr>
              <w:pStyle w:val="Compact"/>
            </w:pPr>
            <w:r>
              <w:rPr>
                <w:lang w:val="es-ES"/>
              </w:rPr>
              <w:t xml:space="preserve">CTO, cofundador de OHADJA</w:t>
            </w:r>
          </w:p>
        </w:tc>
      </w:tr>
      <w:tr>
        <w:trPr>
          <w:cantSplit/>
        </w:trPr>
        <w:tc>
          <w:tcPr/>
          <w:p>
            <w:pPr>
              <w:pStyle w:val="Compact"/>
            </w:pPr>
            <w:r>
              <w:rPr>
                <w:lang w:val="es-ES"/>
              </w:rPr>
              <w:t xml:space="preserve">Posicionamiento</w:t>
            </w:r>
          </w:p>
        </w:tc>
        <w:tc>
          <w:tcPr/>
          <w:p>
            <w:pPr>
              <w:pStyle w:val="Compact"/>
            </w:pPr>
            <w:r>
              <w:rPr>
                <w:lang w:val="es-ES"/>
              </w:rPr>
              <w:t xml:space="preserve">Gestión técnica: toma de decisiones</w:t>
            </w:r>
          </w:p>
        </w:tc>
      </w:tr>
      <w:tr>
        <w:trPr>
          <w:cantSplit/>
        </w:trPr>
        <w:tc>
          <w:tcPr/>
          <w:p>
            <w:pPr>
              <w:pStyle w:val="Compact"/>
            </w:pPr>
            <w:r>
              <w:rPr>
                <w:lang w:val="es-ES"/>
              </w:rPr>
              <w:t xml:space="preserve">Dirección</w:t>
            </w:r>
          </w:p>
        </w:tc>
        <w:tc>
          <w:tcPr/>
          <w:p>
            <w:pPr>
              <w:pStyle w:val="Compact"/>
            </w:pPr>
            <w:hyperlink r:id="rId9">
              <w:r>
                <w:rPr>
                  <w:rStyle w:val="Hyperlink"/>
                  <w:lang w:val="es-ES"/>
                </w:rPr>
                <w:t xml:space="preserve">privacy@transcribia.eu</w:t>
              </w:r>
            </w:hyperlink>
          </w:p>
        </w:tc>
      </w:tr>
    </w:tbl>
    <w:p>
      <w:pPr>
        <w:pStyle w:val="BodyText"/>
      </w:pPr>
      <w:r>
        <w:rPr>
          <w:b/>
          <w:bCs/>
          <w:lang w:val="es-ES"/>
        </w:rPr>
        <w:t xml:space="preserve">Funciones de la persona de contacto:</w:t>
      </w:r>
    </w:p>
    <w:p>
      <w:pPr>
        <w:pStyle w:val="Compact"/>
        <w:numPr>
          <w:ilvl w:val="0"/>
          <w:numId w:val="1041"/>
        </w:numPr>
      </w:pPr>
      <w:r>
        <w:rPr>
          <w:lang w:val="es-ES"/>
        </w:rPr>
        <w:t xml:space="preserve">punto de contacto único para el Cliente sobre temas RGPD;</w:t>
      </w:r>
    </w:p>
    <w:p>
      <w:pPr>
        <w:pStyle w:val="Compact"/>
        <w:numPr>
          <w:ilvl w:val="0"/>
          <w:numId w:val="1041"/>
        </w:numPr>
      </w:pPr>
      <w:r>
        <w:rPr>
          <w:lang w:val="es-ES"/>
        </w:rPr>
        <w:t xml:space="preserve">tramitación de solicitudes de asistencia (derechos individuales, EIPD, auditoría);</w:t>
      </w:r>
    </w:p>
    <w:p>
      <w:pPr>
        <w:pStyle w:val="Compact"/>
        <w:numPr>
          <w:ilvl w:val="0"/>
          <w:numId w:val="1041"/>
        </w:numPr>
      </w:pPr>
      <w:r>
        <w:rPr>
          <w:lang w:val="es-ES"/>
        </w:rPr>
        <w:t xml:space="preserve">manejar notificaciones de violación de datos;</w:t>
      </w:r>
    </w:p>
    <w:p>
      <w:pPr>
        <w:pStyle w:val="Compact"/>
        <w:numPr>
          <w:ilvl w:val="0"/>
          <w:numId w:val="1041"/>
        </w:numPr>
      </w:pPr>
      <w:r>
        <w:rPr>
          <w:lang w:val="es-ES"/>
        </w:rPr>
        <w:t xml:space="preserve">seguimiento de subencargados del tratamiento y cambios en la lista;</w:t>
      </w:r>
    </w:p>
    <w:p>
      <w:pPr>
        <w:pStyle w:val="Compact"/>
        <w:numPr>
          <w:ilvl w:val="0"/>
          <w:numId w:val="1041"/>
        </w:numPr>
      </w:pPr>
      <w:r>
        <w:rPr>
          <w:lang w:val="es-ES"/>
        </w:rPr>
        <w:t xml:space="preserve">gestión de los compromisos de seguridad y protección de datos.</w:t>
      </w:r>
    </w:p>
    <w:p>
      <w:pPr>
        <w:pStyle w:val="BlockText"/>
      </w:pPr>
      <w:r>
        <w:rPr>
          <w:lang w:val="es-ES"/>
        </w:rPr>
        <w:t xml:space="preserve">Recordatorio: </w:t>
      </w:r>
      <w:r>
        <w:rPr>
          <w:lang w:val="es-ES"/>
        </w:rPr>
        <w:t xml:space="preserve"/>
      </w:r>
      <w:r>
        <w:rPr>
          <w:b/>
          <w:bCs/>
          <w:lang w:val="es-ES"/>
        </w:rPr>
        <w:t xml:space="preserve">AMBASSADIA </w:t>
      </w:r>
      <w:r>
        <w:rPr>
          <w:lang w:val="es-ES"/>
        </w:rPr>
        <w:t xml:space="preserve"/>
      </w:r>
      <w:r>
        <w:rPr>
          <w:lang w:val="es-ES"/>
        </w:rPr>
        <w:t xml:space="preserve">SARL solo actúa como </w:t>
      </w:r>
      <w:r>
        <w:rPr>
          <w:lang w:val="es-ES"/>
        </w:rPr>
        <w:t xml:space="preserve"/>
      </w:r>
      <w:r>
        <w:rPr>
          <w:b/>
          <w:bCs/>
          <w:lang w:val="es-ES"/>
        </w:rPr>
        <w:t xml:space="preserve">revendedor/distribuidor comercial (Mónaco </w:t>
      </w:r>
      <w:r>
        <w:rPr>
          <w:lang w:val="es-ES"/>
        </w:rPr>
        <w:t xml:space="preserve"/>
      </w:r>
      <w:r>
        <w:rPr>
          <w:lang w:val="es-ES"/>
        </w:rPr>
        <w:t xml:space="preserve">y Francia) y no tiene ninguna función en el procesamiento de datos de producción (ver OHA-RGPD-01). El contacto de protección de datos es el de OHADJA arriba.</w:t>
      </w:r>
    </w:p>
    <w:bookmarkEnd w:id="149"/>
    <w:bookmarkStart w:id="150" w:name="Xd27d2de919086e13e632c8f876706769bd7cd44"/>
    <w:p>
      <w:pPr>
        <w:pStyle w:val="Heading2"/>
        <w:keepNext/>
        <w:keepLines/>
      </w:pPr>
      <w:r>
        <w:rPr>
          <w:color w:val="000000"/>
          <w:lang w:val="es-ES"/>
        </w:rPr>
        <w:t xml:space="preserve">3. Compromiso con el desarrollo</w:t>
      </w:r>
    </w:p>
    <w:p>
      <w:pPr>
        <w:pStyle w:val="FirstParagraph"/>
      </w:pPr>
      <w:r>
        <w:rPr>
          <w:lang w:val="es-ES"/>
        </w:rPr>
        <w:t xml:space="preserve">OHADJA se compromete </w:t>
      </w:r>
      <w:r>
        <w:rPr>
          <w:lang w:val="es-ES"/>
        </w:rPr>
        <w:t xml:space="preserve"/>
      </w:r>
      <w:r>
        <w:rPr>
          <w:b/>
          <w:bCs/>
          <w:lang w:val="es-ES"/>
        </w:rPr>
        <w:t xml:space="preserve">a designar un DPD </w:t>
      </w:r>
      <w:r>
        <w:rPr>
          <w:lang w:val="es-ES"/>
        </w:rPr>
        <w:t xml:space="preserve"/>
      </w:r>
      <w:r>
        <w:rPr>
          <w:lang w:val="es-ES"/>
        </w:rPr>
        <w:t xml:space="preserve">externo si la evolución de su actividad crea la obligación o la oportunidad (crecimiento del volumen, naturaleza del tratamiento). </w:t>
      </w:r>
      <w:r>
        <w:rPr>
          <w:lang w:val="es-ES"/>
        </w:rPr>
        <w:t xml:space="preserve"/>
      </w:r>
      <w:r>
        <w:rPr>
          <w:b/>
          <w:bCs/>
          <w:lang w:val="es-ES"/>
        </w:rPr>
        <w:t xml:space="preserve">Decisión [POR CONFIRMAR]. </w:t>
      </w:r>
      <w:r>
        <w:rPr>
          <w:lang w:val="es-ES"/>
        </w:rPr>
        <w:t xml:space="preserve"/>
      </w:r>
      <w:r>
        <w:rPr>
          <w:lang w:val="es-ES"/>
        </w:rPr>
        <w:t xml:space="preserve">El Cliente sería informado.</w:t>
      </w:r>
    </w:p>
    <w:bookmarkEnd w:id="150"/>
    <w:bookmarkStart w:id="151" w:name="X287af0f67808bd24f67c60b7531ef259dcc71bf"/>
    <w:p>
      <w:pPr>
        <w:pStyle w:val="Heading2"/>
        <w:keepNext/>
        <w:keepLines/>
      </w:pPr>
      <w:r>
        <w:rPr>
          <w:color w:val="000000"/>
          <w:lang w:val="es-ES"/>
        </w:rPr>
        <w:t xml:space="preserve">4. Contactos del lado del cliente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es-ES"/>
              </w:rPr>
              <w:t xml:space="preserve">Elemento</w:t>
            </w:r>
          </w:p>
        </w:tc>
        <w:tc>
          <w:tcPr/>
          <w:p>
            <w:pPr>
              <w:pStyle w:val="Compact"/>
            </w:pPr>
            <w:r>
              <w:rPr>
                <w:lang w:val="es-ES"/>
              </w:rPr>
              <w:t xml:space="preserve">Valor</w:t>
            </w:r>
          </w:p>
        </w:tc>
      </w:tr>
      <w:tr>
        <w:trPr>
          <w:cantSplit/>
        </w:trPr>
        <w:tc>
          <w:tcPr/>
          <w:p>
            <w:pPr>
              <w:pStyle w:val="Compact"/>
            </w:pPr>
            <w:r>
              <w:rPr>
                <w:lang w:val="es-ES"/>
              </w:rPr>
              <w:t xml:space="preserve">Responsable del tratamiento</w:t>
            </w:r>
          </w:p>
        </w:tc>
        <w:tc>
          <w:tcPr/>
          <w:p>
            <w:pPr>
              <w:pStyle w:val="Compact"/>
            </w:pPr>
            <w:r>
              <w:rPr>
                <w:lang w:val="es-ES"/>
              </w:rPr>
              <w:t xml:space="preserve">el cliente</w:t>
            </w:r>
          </w:p>
        </w:tc>
      </w:tr>
      <w:tr>
        <w:trPr>
          <w:cantSplit/>
        </w:trPr>
        <w:tc>
          <w:tcPr/>
          <w:p>
            <w:pPr>
              <w:pStyle w:val="Compact"/>
            </w:pPr>
            <w:r>
              <w:rPr>
                <w:lang w:val="es-ES"/>
              </w:rPr>
              <w:t xml:space="preserve">Representante</w:t>
            </w:r>
          </w:p>
        </w:tc>
        <w:tc>
          <w:tcPr/>
          <w:p>
            <w:pPr>
              <w:pStyle w:val="Compact"/>
            </w:pPr>
            <w:r>
              <w:rPr>
                <w:lang w:val="es-ES"/>
              </w:rPr>
              <w:t xml:space="preserve">[A SER COMPLETADO por el cliente]</w:t>
            </w:r>
          </w:p>
        </w:tc>
      </w:tr>
      <w:tr>
        <w:trPr>
          <w:cantSplit/>
        </w:trPr>
        <w:tc>
          <w:tcPr/>
          <w:p>
            <w:pPr>
              <w:pStyle w:val="Compact"/>
            </w:pPr>
            <w:r>
              <w:rPr>
                <w:lang w:val="es-ES"/>
              </w:rPr>
              <w:t xml:space="preserve">Delegado de Protección de Datos (DPO)</w:t>
            </w:r>
          </w:p>
        </w:tc>
        <w:tc>
          <w:tcPr/>
          <w:p>
            <w:pPr>
              <w:pStyle w:val="Compact"/>
            </w:pPr>
            <w:r>
              <w:rPr>
                <w:lang w:val="es-ES"/>
              </w:rPr>
              <w:t xml:space="preserve">[A SER COMPLETADO por el cliente: nombre, correo electrónico]</w:t>
            </w:r>
          </w:p>
        </w:tc>
      </w:tr>
      <w:tr>
        <w:trPr>
          <w:cantSplit/>
        </w:trPr>
        <w:tc>
          <w:tcPr/>
          <w:p>
            <w:pPr>
              <w:pStyle w:val="Compact"/>
            </w:pPr>
            <w:r>
              <w:rPr>
                <w:lang w:val="es-ES"/>
              </w:rPr>
              <w:t xml:space="preserve">Servicio de referencia empresarial.</w:t>
            </w:r>
          </w:p>
        </w:tc>
        <w:tc>
          <w:tcPr/>
          <w:p>
            <w:pPr>
              <w:pStyle w:val="Compact"/>
            </w:pPr>
            <w:r>
              <w:rPr>
                <w:lang w:val="es-ES"/>
              </w:rPr>
              <w:t xml:space="preserve">[A SER COMPLETADO por el cliente]</w:t>
            </w:r>
          </w:p>
        </w:tc>
      </w:tr>
    </w:tbl>
    <w:p>
      <w:r>
        <w:pict>
          <v:rect style="width:0;height:1.5pt" o:hralign="center" o:hrstd="t" o:hr="t"/>
        </w:pict>
      </w:r>
    </w:p>
    <w:p>
      <w:pPr>
        <w:pStyle w:val="FirstParagraph"/>
      </w:pPr>
      <w:r>
        <w:rPr>
          <w:i/>
          <w:iCs/>
          <w:lang w:val="es-ES"/>
        </w:rPr>
        <w:t xml:space="preserve">Documento de trabajo establecido por OHADJA — para ser validado por su asesor legal / DPO antes de la firma.</w:t>
      </w:r>
    </w:p>
    <w:p>
      <w:r>
        <w:br w:type="page"/>
      </w:r>
    </w:p>
    <w:bookmarkEnd w:id="151"/>
    <w:bookmarkEnd w:id="152"/>
    <w:bookmarkStart w:id="161" w:name="Xa0817e5cfd9d4fab3462efccc36c0418bca3f2a"/>
    <w:p>
      <w:pPr>
        <w:pStyle w:val="Heading1"/>
        <w:keepNext/>
        <w:keepLines/>
      </w:pPr>
      <w:r>
        <w:rPr>
          <w:color w:val="000000"/>
          <w:lang w:val="es-ES"/>
        </w:rPr>
        <w:t xml:space="preserve">TranscribIA — Estado de las certificaciones y enfoque de cumplimiento</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p>
        </w:tc>
        <w:tc>
          <w:tcPr/>
          <w:p>
            <w:pPr>
              <w:pStyle w:val="Compact"/>
            </w:pPr>
          </w:p>
        </w:tc>
      </w:tr>
      <w:tr>
        <w:trPr>
          <w:cantSplit/>
        </w:trPr>
        <w:tc>
          <w:tcPr/>
          <w:p>
            <w:pPr>
              <w:pStyle w:val="Compact"/>
            </w:pPr>
            <w:r>
              <w:rPr>
                <w:b/>
                <w:bCs/>
                <w:lang w:val="es-ES"/>
              </w:rPr>
              <w:t xml:space="preserve">Referencia</w:t>
            </w:r>
          </w:p>
        </w:tc>
        <w:tc>
          <w:tcPr/>
          <w:p>
            <w:pPr>
              <w:pStyle w:val="Compact"/>
            </w:pPr>
            <w:r>
              <w:rPr>
                <w:lang w:val="es-ES"/>
              </w:rPr>
              <w:t xml:space="preserve">CERT-TRANSCRIBIA-2026-01</w:t>
            </w:r>
          </w:p>
        </w:tc>
      </w:tr>
      <w:tr>
        <w:trPr>
          <w:cantSplit/>
        </w:trPr>
        <w:tc>
          <w:tcPr/>
          <w:p>
            <w:pPr>
              <w:pStyle w:val="Compact"/>
            </w:pPr>
            <w:r>
              <w:rPr>
                <w:b/>
                <w:bCs/>
                <w:lang w:val="es-ES"/>
              </w:rPr>
              <w:t xml:space="preserve">Versión</w:t>
            </w:r>
          </w:p>
        </w:tc>
        <w:tc>
          <w:tcPr/>
          <w:p>
            <w:pPr>
              <w:pStyle w:val="Compact"/>
            </w:pPr>
            <w:r>
              <w:rPr>
                <w:lang w:val="es-ES"/>
              </w:rPr>
              <w:t xml:space="preserve">1.0</w:t>
            </w:r>
          </w:p>
        </w:tc>
      </w:tr>
      <w:tr>
        <w:trPr>
          <w:cantSplit/>
        </w:trPr>
        <w:tc>
          <w:tcPr/>
          <w:p>
            <w:pPr>
              <w:pStyle w:val="Compact"/>
            </w:pPr>
            <w:r>
              <w:rPr>
                <w:b/>
                <w:bCs/>
                <w:lang w:val="es-ES"/>
              </w:rPr>
              <w:t xml:space="preserve">Fecha</w:t>
            </w:r>
          </w:p>
        </w:tc>
        <w:tc>
          <w:tcPr/>
          <w:p>
            <w:pPr>
              <w:pStyle w:val="Compact"/>
            </w:pPr>
            <w:r>
              <w:rPr>
                <w:lang w:val="es-ES"/>
              </w:rPr>
              <w:t xml:space="preserve">2026-07-24</w:t>
            </w:r>
          </w:p>
        </w:tc>
      </w:tr>
      <w:tr>
        <w:trPr>
          <w:cantSplit/>
        </w:trPr>
        <w:tc>
          <w:tcPr/>
          <w:p>
            <w:pPr>
              <w:pStyle w:val="Compact"/>
            </w:pPr>
            <w:r>
              <w:rPr>
                <w:b/>
                <w:bCs/>
                <w:lang w:val="es-ES"/>
              </w:rPr>
              <w:t xml:space="preserve">Redactor</w:t>
            </w:r>
          </w:p>
        </w:tc>
        <w:tc>
          <w:tcPr/>
          <w:p>
            <w:pPr>
              <w:pStyle w:val="Compact"/>
            </w:pPr>
            <w:r>
              <w:rPr>
                <w:lang w:val="es-ES"/>
              </w:rPr>
              <w:t xml:space="preserve">OHADJA</w:t>
            </w:r>
          </w:p>
        </w:tc>
      </w:tr>
      <w:tr>
        <w:trPr>
          <w:cantSplit/>
        </w:trPr>
        <w:tc>
          <w:tcPr/>
          <w:p>
            <w:pPr>
              <w:pStyle w:val="Compact"/>
            </w:pPr>
            <w:r>
              <w:rPr>
                <w:b/>
                <w:bCs/>
                <w:lang w:val="es-ES"/>
              </w:rPr>
              <w:t xml:space="preserve">Clasificación</w:t>
            </w:r>
          </w:p>
        </w:tc>
        <w:tc>
          <w:tcPr/>
          <w:p>
            <w:pPr>
              <w:pStyle w:val="Compact"/>
            </w:pPr>
            <w:r>
              <w:rPr>
                <w:lang w:val="es-ES"/>
              </w:rPr>
              <w:t xml:space="preserve">Público</w:t>
            </w:r>
          </w:p>
        </w:tc>
      </w:tr>
    </w:tbl>
    <w:p>
      <w:r>
        <w:pict>
          <v:rect style="width:0;height:1.5pt" o:hralign="center" o:hrstd="t" o:hr="t"/>
        </w:pict>
      </w:r>
    </w:p>
    <w:bookmarkStart w:id="153" w:name="avertissement-liminaire"/>
    <w:p>
      <w:pPr>
        <w:pStyle w:val="Heading2"/>
        <w:keepNext/>
        <w:keepLines/>
      </w:pPr>
      <w:r>
        <w:rPr>
          <w:color w:val="000000"/>
          <w:lang w:val="es-ES"/>
        </w:rPr>
        <w:t xml:space="preserve">Advertencia preliminar</w:t>
      </w:r>
    </w:p>
    <w:p>
      <w:pPr>
        <w:pStyle w:val="FirstParagraph"/>
      </w:pPr>
      <w:r>
        <w:rPr>
          <w:lang w:val="es-ES"/>
        </w:rPr>
        <w:t xml:space="preserve">Este documento describe </w:t>
      </w:r>
      <w:r>
        <w:rPr>
          <w:lang w:val="es-ES"/>
        </w:rPr>
        <w:t xml:space="preserve"/>
      </w:r>
      <w:r>
        <w:rPr>
          <w:b/>
          <w:bCs/>
          <w:lang w:val="es-ES"/>
        </w:rPr>
        <w:t xml:space="preserve">honestamente </w:t>
      </w:r>
      <w:r>
        <w:rPr>
          <w:lang w:val="es-ES"/>
        </w:rPr>
        <w:t xml:space="preserve"/>
      </w:r>
      <w:r>
        <w:rPr>
          <w:lang w:val="es-ES"/>
        </w:rPr>
        <w:t xml:space="preserve">el estado del trabajo de certificación y cumplimiento de OHADJA, editor de TranscribIA, al 24 de julio de 2026.</w:t>
      </w:r>
    </w:p>
    <w:p>
      <w:pPr>
        <w:pStyle w:val="BodyText"/>
      </w:pPr>
      <w:r>
        <w:rPr>
          <w:b/>
          <w:bCs/>
          <w:lang w:val="es-ES"/>
        </w:rPr>
        <w:t xml:space="preserve">Hasta la fecha no se ha obtenido ninguna </w:t>
      </w:r>
      <w:r>
        <w:rPr>
          <w:lang w:val="es-ES"/>
        </w:rPr>
        <w:t xml:space="preserve"/>
      </w:r>
      <w:r>
        <w:rPr>
          <w:lang w:val="es-ES"/>
        </w:rPr>
        <w:t xml:space="preserve">certificación. Los procesos actuales se presentan como tales, sin anticipar su resultado. Nada de lo contenido en este documento debe interpretarse como una afirmación de certificación adquirida.</w:t>
      </w:r>
    </w:p>
    <w:p>
      <w:r>
        <w:pict>
          <v:rect style="width:0;height:1.5pt" o:hralign="center" o:hrstd="t" o:hr="t"/>
        </w:pict>
      </w:r>
    </w:p>
    <w:bookmarkEnd w:id="153"/>
    <w:bookmarkStart w:id="154" w:name="Xa679f6b55037bda2ffd42c65cf46be439bdcc24"/>
    <w:p>
      <w:pPr>
        <w:pStyle w:val="Heading2"/>
        <w:keepNext/>
        <w:keepLines/>
      </w:pPr>
      <w:r>
        <w:rPr>
          <w:color w:val="000000"/>
          <w:lang w:val="es-ES"/>
        </w:rPr>
        <w:t xml:space="preserve">1. Tabla de estado de certificación</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es-ES"/>
              </w:rPr>
              <w:t xml:space="preserve">Repositorio</w:t>
            </w:r>
          </w:p>
        </w:tc>
        <w:tc>
          <w:tcPr>
            <w:tcW w:type="dxa" w:w="2340"/>
            <w:tcMar>
              <w:left w:type="dxa" w:w="80"/>
              <w:right w:type="dxa" w:w="80"/>
            </w:tcMar>
          </w:tcPr>
          <w:p>
            <w:pPr>
              <w:pStyle w:val="Compact"/>
            </w:pPr>
            <w:r>
              <w:rPr>
                <w:sz w:val="19"/>
                <w:szCs w:val="19"/>
                <w:lang w:val="es-ES"/>
              </w:rPr>
              <w:t xml:space="preserve">naturaleza</w:t>
            </w:r>
          </w:p>
        </w:tc>
        <w:tc>
          <w:tcPr>
            <w:tcW w:type="dxa" w:w="2340"/>
            <w:tcMar>
              <w:left w:type="dxa" w:w="80"/>
              <w:right w:type="dxa" w:w="80"/>
            </w:tcMar>
          </w:tcPr>
          <w:p>
            <w:pPr>
              <w:pStyle w:val="Compact"/>
            </w:pPr>
            <w:r>
              <w:rPr>
                <w:sz w:val="19"/>
                <w:szCs w:val="19"/>
                <w:lang w:val="es-ES"/>
              </w:rPr>
              <w:t xml:space="preserve">Estado al 2026-07-24</w:t>
            </w:r>
          </w:p>
        </w:tc>
        <w:tc>
          <w:tcPr>
            <w:tcW w:type="dxa" w:w="2340"/>
            <w:tcMar>
              <w:left w:type="dxa" w:w="80"/>
              <w:right w:type="dxa" w:w="80"/>
            </w:tcMar>
          </w:tcPr>
          <w:p>
            <w:pPr>
              <w:pStyle w:val="Compact"/>
            </w:pPr>
            <w:r>
              <w:rPr>
                <w:sz w:val="19"/>
                <w:szCs w:val="19"/>
                <w:lang w:val="es-ES"/>
              </w:rPr>
              <w:t xml:space="preserve">Horizonte objetivo</w:t>
            </w:r>
          </w:p>
        </w:tc>
      </w:tr>
      <w:tr>
        <w:trPr>
          <w:cantSplit/>
        </w:trPr>
        <w:tc>
          <w:tcPr>
            <w:tcW w:type="dxa" w:w="2340"/>
            <w:tcMar>
              <w:left w:type="dxa" w:w="80"/>
              <w:right w:type="dxa" w:w="80"/>
            </w:tcMar>
          </w:tcPr>
          <w:p>
            <w:pPr>
              <w:pStyle w:val="Compact"/>
            </w:pPr>
            <w:r>
              <w:rPr>
                <w:sz w:val="19"/>
                <w:szCs w:val="19"/>
                <w:lang w:val="es-ES"/>
              </w:rPr>
              <w:t xml:space="preserve">ISO/IEC 27001 (gestión de seguridad de la información)</w:t>
            </w:r>
          </w:p>
        </w:tc>
        <w:tc>
          <w:tcPr>
            <w:tcW w:type="dxa" w:w="2340"/>
            <w:tcMar>
              <w:left w:type="dxa" w:w="80"/>
              <w:right w:type="dxa" w:w="80"/>
            </w:tcMar>
          </w:tcPr>
          <w:p>
            <w:pPr>
              <w:pStyle w:val="Compact"/>
            </w:pPr>
            <w:r>
              <w:rPr>
                <w:sz w:val="19"/>
                <w:szCs w:val="19"/>
                <w:lang w:val="es-ES"/>
              </w:rPr>
              <w:t xml:space="preserve">Certificación del sistema de gestión.</w:t>
            </w:r>
          </w:p>
        </w:tc>
        <w:tc>
          <w:tcPr>
            <w:tcW w:type="dxa" w:w="2340"/>
            <w:tcMar>
              <w:left w:type="dxa" w:w="80"/>
              <w:right w:type="dxa" w:w="80"/>
            </w:tcMar>
          </w:tcPr>
          <w:p>
            <w:pPr>
              <w:pStyle w:val="Compact"/>
            </w:pPr>
            <w:r>
              <w:rPr>
                <w:b/>
                <w:bCs/>
                <w:sz w:val="19"/>
                <w:szCs w:val="19"/>
                <w:lang w:val="es-ES"/>
              </w:rPr>
              <w:t xml:space="preserve">Enfoque comprometido: </w:t>
            </w:r>
            <w:r>
              <w:rPr>
                <w:sz w:val="19"/>
                <w:szCs w:val="19"/>
                <w:lang w:val="es-ES"/>
              </w:rPr>
              <w:t xml:space="preserve"/>
            </w:r>
            <w:r>
              <w:rPr>
                <w:sz w:val="19"/>
                <w:szCs w:val="19"/>
                <w:lang w:val="es-ES"/>
              </w:rPr>
              <w:t xml:space="preserve">base documental del SGSI vigente (16 políticas formalizadas); </w:t>
            </w:r>
            <w:r>
              <w:rPr>
                <w:sz w:val="19"/>
                <w:szCs w:val="19"/>
                <w:lang w:val="es-ES"/>
              </w:rPr>
              <w:t xml:space="preserve"/>
            </w:r>
            <w:r>
              <w:rPr>
                <w:b/>
                <w:bCs/>
                <w:sz w:val="19"/>
                <w:szCs w:val="19"/>
                <w:lang w:val="es-ES"/>
              </w:rPr>
              <w:t xml:space="preserve">no certificado</w:t>
            </w:r>
          </w:p>
        </w:tc>
        <w:tc>
          <w:tcPr>
            <w:tcW w:type="dxa" w:w="2340"/>
            <w:tcMar>
              <w:left w:type="dxa" w:w="80"/>
              <w:right w:type="dxa" w:w="80"/>
            </w:tcMar>
          </w:tcPr>
          <w:p>
            <w:pPr>
              <w:pStyle w:val="Compact"/>
            </w:pPr>
            <w:r>
              <w:rPr>
                <w:sz w:val="19"/>
                <w:szCs w:val="19"/>
                <w:lang w:val="es-ES"/>
              </w:rPr>
              <w:t xml:space="preserve">Auditoría de certificación prevista </w:t>
            </w:r>
            <w:r>
              <w:rPr>
                <w:sz w:val="19"/>
                <w:szCs w:val="19"/>
                <w:lang w:val="es-ES"/>
              </w:rPr>
              <w:t xml:space="preserve"/>
            </w:r>
            <w:r>
              <w:rPr>
                <w:b/>
                <w:bCs/>
                <w:sz w:val="19"/>
                <w:szCs w:val="19"/>
                <w:lang w:val="es-ES"/>
              </w:rPr>
              <w:t xml:space="preserve">para principios de 2027</w:t>
            </w:r>
          </w:p>
        </w:tc>
      </w:tr>
      <w:tr>
        <w:trPr>
          <w:cantSplit/>
        </w:trPr>
        <w:tc>
          <w:tcPr>
            <w:tcW w:type="dxa" w:w="2340"/>
            <w:tcMar>
              <w:left w:type="dxa" w:w="80"/>
              <w:right w:type="dxa" w:w="80"/>
            </w:tcMar>
          </w:tcPr>
          <w:p>
            <w:pPr>
              <w:pStyle w:val="Compact"/>
            </w:pPr>
            <w:r>
              <w:rPr>
                <w:sz w:val="19"/>
                <w:szCs w:val="19"/>
                <w:lang w:val="es-ES"/>
              </w:rPr>
              <w:t xml:space="preserve">SOC 2 Tipo I</w:t>
            </w:r>
          </w:p>
        </w:tc>
        <w:tc>
          <w:tcPr>
            <w:tcW w:type="dxa" w:w="2340"/>
            <w:tcMar>
              <w:left w:type="dxa" w:w="80"/>
              <w:right w:type="dxa" w:w="80"/>
            </w:tcMar>
          </w:tcPr>
          <w:p>
            <w:pPr>
              <w:pStyle w:val="Compact"/>
            </w:pPr>
            <w:r>
              <w:rPr>
                <w:sz w:val="19"/>
                <w:szCs w:val="19"/>
                <w:lang w:val="es-ES"/>
              </w:rPr>
              <w:t xml:space="preserve">Informe de aseguramiento</w:t>
            </w:r>
          </w:p>
        </w:tc>
        <w:tc>
          <w:tcPr>
            <w:tcW w:type="dxa" w:w="2340"/>
            <w:tcMar>
              <w:left w:type="dxa" w:w="80"/>
              <w:right w:type="dxa" w:w="80"/>
            </w:tcMar>
          </w:tcPr>
          <w:p>
            <w:pPr>
              <w:pStyle w:val="Compact"/>
            </w:pPr>
            <w:r>
              <w:rPr>
                <w:b/>
                <w:bCs/>
                <w:sz w:val="19"/>
                <w:szCs w:val="19"/>
                <w:lang w:val="es-ES"/>
              </w:rPr>
              <w:t xml:space="preserve">Auditoría prevista para </w:t>
            </w:r>
            <w:r>
              <w:rPr>
                <w:sz w:val="19"/>
                <w:szCs w:val="19"/>
                <w:lang w:val="es-ES"/>
              </w:rPr>
              <w:t xml:space="preserve">2026; </w:t>
            </w:r>
            <w:r>
              <w:rPr>
                <w:sz w:val="19"/>
                <w:szCs w:val="19"/>
                <w:lang w:val="es-ES"/>
              </w:rPr>
              <w:t xml:space="preserve"/>
            </w:r>
            <w:r>
              <w:rPr>
                <w:sz w:val="19"/>
                <w:szCs w:val="19"/>
                <w:lang w:val="es-ES"/>
              </w:rPr>
              <w:t xml:space="preserve"/>
            </w:r>
            <w:r>
              <w:rPr>
                <w:b/>
                <w:bCs/>
                <w:sz w:val="19"/>
                <w:szCs w:val="19"/>
                <w:lang w:val="es-ES"/>
              </w:rPr>
              <w:t xml:space="preserve">no realizado hasta la fecha</w:t>
            </w:r>
          </w:p>
        </w:tc>
        <w:tc>
          <w:tcPr>
            <w:tcW w:type="dxa" w:w="2340"/>
            <w:tcMar>
              <w:left w:type="dxa" w:w="80"/>
              <w:right w:type="dxa" w:w="80"/>
            </w:tcMar>
          </w:tcPr>
          <w:p>
            <w:pPr>
              <w:pStyle w:val="Compact"/>
            </w:pPr>
            <w:r>
              <w:rPr>
                <w:sz w:val="19"/>
                <w:szCs w:val="19"/>
                <w:lang w:val="es-ES"/>
              </w:rPr>
              <w:t xml:space="preserve">2026</w:t>
            </w:r>
          </w:p>
        </w:tc>
      </w:tr>
      <w:tr>
        <w:trPr>
          <w:cantSplit/>
        </w:trPr>
        <w:tc>
          <w:tcPr>
            <w:tcW w:type="dxa" w:w="2340"/>
            <w:tcMar>
              <w:left w:type="dxa" w:w="80"/>
              <w:right w:type="dxa" w:w="80"/>
            </w:tcMar>
          </w:tcPr>
          <w:p>
            <w:pPr>
              <w:pStyle w:val="Compact"/>
            </w:pPr>
            <w:r>
              <w:rPr>
                <w:sz w:val="19"/>
                <w:szCs w:val="19"/>
                <w:lang w:val="es-ES"/>
              </w:rPr>
              <w:t xml:space="preserve">ISO/IEC 27701 (gestión de la protección de la privacidad)</w:t>
            </w:r>
          </w:p>
        </w:tc>
        <w:tc>
          <w:tcPr>
            <w:tcW w:type="dxa" w:w="2340"/>
            <w:tcMar>
              <w:left w:type="dxa" w:w="80"/>
              <w:right w:type="dxa" w:w="80"/>
            </w:tcMar>
          </w:tcPr>
          <w:p>
            <w:pPr>
              <w:pStyle w:val="Compact"/>
            </w:pPr>
            <w:r>
              <w:rPr>
                <w:sz w:val="19"/>
                <w:szCs w:val="19"/>
                <w:lang w:val="es-ES"/>
              </w:rPr>
              <w:t xml:space="preserve">Certificación (extensión de 27001)</w:t>
            </w:r>
          </w:p>
        </w:tc>
        <w:tc>
          <w:tcPr>
            <w:tcW w:type="dxa" w:w="2340"/>
            <w:tcMar>
              <w:left w:type="dxa" w:w="80"/>
              <w:right w:type="dxa" w:w="80"/>
            </w:tcMar>
          </w:tcPr>
          <w:p>
            <w:pPr>
              <w:pStyle w:val="Compact"/>
            </w:pPr>
            <w:r>
              <w:rPr>
                <w:b/>
                <w:bCs/>
                <w:sz w:val="19"/>
                <w:szCs w:val="19"/>
                <w:lang w:val="es-ES"/>
              </w:rPr>
              <w:t xml:space="preserve">En estudio: </w:t>
            </w:r>
            <w:r>
              <w:rPr>
                <w:sz w:val="19"/>
                <w:szCs w:val="19"/>
                <w:lang w:val="es-ES"/>
              </w:rPr>
              <w:t xml:space="preserve"/>
            </w:r>
            <w:r>
              <w:rPr>
                <w:sz w:val="19"/>
                <w:szCs w:val="19"/>
                <w:lang w:val="es-ES"/>
              </w:rPr>
              <w:t xml:space="preserve">ampliación natural prevista tras la obtención de 27001</w:t>
            </w:r>
          </w:p>
        </w:tc>
        <w:tc>
          <w:tcPr>
            <w:tcW w:type="dxa" w:w="2340"/>
            <w:tcMar>
              <w:left w:type="dxa" w:w="80"/>
              <w:right w:type="dxa" w:w="80"/>
            </w:tcMar>
          </w:tcPr>
          <w:p>
            <w:pPr>
              <w:pStyle w:val="Compact"/>
            </w:pPr>
            <w:r>
              <w:rPr>
                <w:sz w:val="19"/>
                <w:szCs w:val="19"/>
                <w:lang w:val="es-ES"/>
              </w:rPr>
              <w:t xml:space="preserve">Después de 27001</w:t>
            </w:r>
          </w:p>
        </w:tc>
      </w:tr>
      <w:tr>
        <w:trPr>
          <w:cantSplit/>
        </w:trPr>
        <w:tc>
          <w:tcPr>
            <w:tcW w:type="dxa" w:w="2340"/>
            <w:tcMar>
              <w:left w:type="dxa" w:w="80"/>
              <w:right w:type="dxa" w:w="80"/>
            </w:tcMar>
          </w:tcPr>
          <w:p>
            <w:pPr>
              <w:pStyle w:val="Compact"/>
            </w:pPr>
            <w:r>
              <w:rPr>
                <w:sz w:val="19"/>
                <w:szCs w:val="19"/>
                <w:lang w:val="es-ES"/>
              </w:rPr>
              <w:t xml:space="preserve">HDS (Alojamiento de datos de salud)</w:t>
            </w:r>
          </w:p>
        </w:tc>
        <w:tc>
          <w:tcPr>
            <w:tcW w:type="dxa" w:w="2340"/>
            <w:tcMar>
              <w:left w:type="dxa" w:w="80"/>
              <w:right w:type="dxa" w:w="80"/>
            </w:tcMar>
          </w:tcPr>
          <w:p>
            <w:pPr>
              <w:pStyle w:val="Compact"/>
            </w:pPr>
            <w:r>
              <w:rPr>
                <w:sz w:val="19"/>
                <w:szCs w:val="19"/>
                <w:lang w:val="es-ES"/>
              </w:rPr>
              <w:t xml:space="preserve">Certificación</w:t>
            </w:r>
          </w:p>
        </w:tc>
        <w:tc>
          <w:tcPr>
            <w:tcW w:type="dxa" w:w="2340"/>
            <w:tcMar>
              <w:left w:type="dxa" w:w="80"/>
              <w:right w:type="dxa" w:w="80"/>
            </w:tcMar>
          </w:tcPr>
          <w:p>
            <w:pPr>
              <w:pStyle w:val="Compact"/>
            </w:pPr>
            <w:r>
              <w:rPr>
                <w:b/>
                <w:bCs/>
                <w:sz w:val="19"/>
                <w:szCs w:val="19"/>
                <w:lang w:val="es-ES"/>
              </w:rPr>
              <w:t xml:space="preserve">En </w:t>
            </w:r>
            <w:r>
              <w:rPr>
                <w:sz w:val="19"/>
                <w:szCs w:val="19"/>
                <w:lang w:val="es-ES"/>
              </w:rPr>
              <w:t xml:space="preserve">estudio: </w:t>
            </w:r>
            <w:r>
              <w:rPr>
                <w:sz w:val="19"/>
                <w:szCs w:val="19"/>
                <w:lang w:val="es-ES"/>
              </w:rPr>
              <w:t xml:space="preserve">solo relevante cuando se procesan datos de salud</w:t>
            </w:r>
          </w:p>
        </w:tc>
        <w:tc>
          <w:tcPr>
            <w:tcW w:type="dxa" w:w="2340"/>
            <w:tcMar>
              <w:left w:type="dxa" w:w="80"/>
              <w:right w:type="dxa" w:w="80"/>
            </w:tcMar>
          </w:tcPr>
          <w:p>
            <w:pPr>
              <w:pStyle w:val="Compact"/>
            </w:pPr>
            <w:r>
              <w:rPr>
                <w:sz w:val="19"/>
                <w:szCs w:val="19"/>
                <w:lang w:val="es-ES"/>
              </w:rPr>
              <w:t xml:space="preserve">Según las necesidades del cliente</w:t>
            </w:r>
          </w:p>
        </w:tc>
      </w:tr>
      <w:tr>
        <w:trPr>
          <w:cantSplit/>
        </w:trPr>
        <w:tc>
          <w:tcPr>
            <w:tcW w:type="dxa" w:w="2340"/>
            <w:tcMar>
              <w:left w:type="dxa" w:w="80"/>
              <w:right w:type="dxa" w:w="80"/>
            </w:tcMar>
          </w:tcPr>
          <w:p>
            <w:pPr>
              <w:pStyle w:val="Compact"/>
            </w:pPr>
            <w:r>
              <w:rPr>
                <w:sz w:val="19"/>
                <w:szCs w:val="19"/>
                <w:lang w:val="es-ES"/>
              </w:rPr>
              <w:t xml:space="preserve">SecNumCloud (ANSSI)</w:t>
            </w:r>
          </w:p>
        </w:tc>
        <w:tc>
          <w:tcPr>
            <w:tcW w:type="dxa" w:w="2340"/>
            <w:tcMar>
              <w:left w:type="dxa" w:w="80"/>
              <w:right w:type="dxa" w:w="80"/>
            </w:tcMar>
          </w:tcPr>
          <w:p>
            <w:pPr>
              <w:pStyle w:val="Compact"/>
            </w:pPr>
            <w:r>
              <w:rPr>
                <w:sz w:val="19"/>
                <w:szCs w:val="19"/>
                <w:lang w:val="es-ES"/>
              </w:rPr>
              <w:t xml:space="preserve">Calificación</w:t>
            </w:r>
          </w:p>
        </w:tc>
        <w:tc>
          <w:tcPr>
            <w:tcW w:type="dxa" w:w="2340"/>
            <w:tcMar>
              <w:left w:type="dxa" w:w="80"/>
              <w:right w:type="dxa" w:w="80"/>
            </w:tcMar>
          </w:tcPr>
          <w:p>
            <w:pPr>
              <w:pStyle w:val="Compact"/>
            </w:pPr>
            <w:r>
              <w:rPr>
                <w:b/>
                <w:bCs/>
                <w:sz w:val="19"/>
                <w:szCs w:val="19"/>
                <w:lang w:val="es-ES"/>
              </w:rPr>
              <w:t xml:space="preserve">Monitoreo: </w:t>
            </w:r>
            <w:r>
              <w:rPr>
                <w:sz w:val="19"/>
                <w:szCs w:val="19"/>
                <w:lang w:val="es-ES"/>
              </w:rPr>
              <w:t xml:space="preserve"/>
            </w:r>
            <w:r>
              <w:rPr>
                <w:sz w:val="19"/>
                <w:szCs w:val="19"/>
                <w:lang w:val="es-ES"/>
              </w:rPr>
              <w:t xml:space="preserve">no enfocado a corto plazo</w:t>
            </w:r>
          </w:p>
        </w:tc>
        <w:tc>
          <w:tcPr>
            <w:tcW w:type="dxa" w:w="2340"/>
            <w:tcMar>
              <w:left w:type="dxa" w:w="80"/>
              <w:right w:type="dxa" w:w="80"/>
            </w:tcMar>
          </w:tcPr>
          <w:p>
            <w:pPr>
              <w:pStyle w:val="Compact"/>
            </w:pPr>
            <w:r>
              <w:rPr>
                <w:sz w:val="19"/>
                <w:szCs w:val="19"/>
                <w:lang w:val="es-ES"/>
              </w:rPr>
              <w:t xml:space="preserve">no planificado</w:t>
            </w:r>
          </w:p>
        </w:tc>
      </w:tr>
      <w:tr>
        <w:trPr>
          <w:cantSplit/>
        </w:trPr>
        <w:tc>
          <w:tcPr>
            <w:tcW w:type="dxa" w:w="2340"/>
            <w:tcMar>
              <w:left w:type="dxa" w:w="80"/>
              <w:right w:type="dxa" w:w="80"/>
            </w:tcMar>
          </w:tcPr>
          <w:p>
            <w:pPr>
              <w:pStyle w:val="Compact"/>
            </w:pPr>
            <w:r>
              <w:rPr>
                <w:sz w:val="19"/>
                <w:szCs w:val="19"/>
                <w:lang w:val="es-ES"/>
              </w:rPr>
              <w:t xml:space="preserve">RGPD (Reglamento (UE) 2016/679)</w:t>
            </w:r>
          </w:p>
        </w:tc>
        <w:tc>
          <w:tcPr>
            <w:tcW w:type="dxa" w:w="2340"/>
            <w:tcMar>
              <w:left w:type="dxa" w:w="80"/>
              <w:right w:type="dxa" w:w="80"/>
            </w:tcMar>
          </w:tcPr>
          <w:p>
            <w:pPr>
              <w:pStyle w:val="Compact"/>
            </w:pPr>
            <w:r>
              <w:rPr>
                <w:sz w:val="19"/>
                <w:szCs w:val="19"/>
                <w:lang w:val="es-ES"/>
              </w:rPr>
              <w:t xml:space="preserve">Cumplimiento normativo (no certificado)</w:t>
            </w:r>
          </w:p>
        </w:tc>
        <w:tc>
          <w:tcPr>
            <w:tcW w:type="dxa" w:w="2340"/>
            <w:tcMar>
              <w:left w:type="dxa" w:w="80"/>
              <w:right w:type="dxa" w:w="80"/>
            </w:tcMar>
          </w:tcPr>
          <w:p>
            <w:pPr>
              <w:pStyle w:val="Compact"/>
            </w:pPr>
            <w:r>
              <w:rPr>
                <w:b/>
                <w:bCs/>
                <w:sz w:val="19"/>
                <w:szCs w:val="19"/>
                <w:lang w:val="es-ES"/>
              </w:rPr>
              <w:t xml:space="preserve">Aplicable y documentado: </w:t>
            </w:r>
            <w:r>
              <w:rPr>
                <w:sz w:val="19"/>
                <w:szCs w:val="19"/>
                <w:lang w:val="es-ES"/>
              </w:rPr>
              <w:t xml:space="preserve"/>
            </w:r>
            <w:r>
              <w:rPr>
                <w:sz w:val="19"/>
                <w:szCs w:val="19"/>
                <w:lang w:val="es-ES"/>
              </w:rPr>
              <w:t xml:space="preserve">consulte el archivo dedicado RGPD</w:t>
            </w:r>
          </w:p>
        </w:tc>
        <w:tc>
          <w:tcPr>
            <w:tcW w:type="dxa" w:w="2340"/>
            <w:tcMar>
              <w:left w:type="dxa" w:w="80"/>
              <w:right w:type="dxa" w:w="80"/>
            </w:tcMar>
          </w:tcPr>
          <w:p>
            <w:pPr>
              <w:pStyle w:val="Compact"/>
            </w:pPr>
            <w:r>
              <w:rPr>
                <w:sz w:val="19"/>
                <w:szCs w:val="19"/>
                <w:lang w:val="es-ES"/>
              </w:rPr>
              <w:t xml:space="preserve">Permanente</w:t>
            </w:r>
          </w:p>
        </w:tc>
      </w:tr>
      <w:tr>
        <w:trPr>
          <w:cantSplit/>
        </w:trPr>
        <w:tc>
          <w:tcPr>
            <w:tcW w:type="dxa" w:w="2340"/>
            <w:tcMar>
              <w:left w:type="dxa" w:w="80"/>
              <w:right w:type="dxa" w:w="80"/>
            </w:tcMar>
          </w:tcPr>
          <w:p>
            <w:pPr>
              <w:pStyle w:val="Compact"/>
            </w:pPr>
            <w:r>
              <w:rPr>
                <w:sz w:val="19"/>
                <w:szCs w:val="19"/>
                <w:lang w:val="es-ES"/>
              </w:rPr>
              <w:t xml:space="preserve">Directiva NIS2 (UE) 2022/2555</w:t>
            </w:r>
          </w:p>
        </w:tc>
        <w:tc>
          <w:tcPr>
            <w:tcW w:type="dxa" w:w="2340"/>
            <w:tcMar>
              <w:left w:type="dxa" w:w="80"/>
              <w:right w:type="dxa" w:w="80"/>
            </w:tcMar>
          </w:tcPr>
          <w:p>
            <w:pPr>
              <w:pStyle w:val="Compact"/>
            </w:pPr>
            <w:r>
              <w:rPr>
                <w:sz w:val="19"/>
                <w:szCs w:val="19"/>
                <w:lang w:val="es-ES"/>
              </w:rPr>
              <w:t xml:space="preserve">Marco regulatorio (no certificar un producto)</w:t>
            </w:r>
          </w:p>
        </w:tc>
        <w:tc>
          <w:tcPr>
            <w:tcW w:type="dxa" w:w="2340"/>
            <w:tcMar>
              <w:left w:type="dxa" w:w="80"/>
              <w:right w:type="dxa" w:w="80"/>
            </w:tcMar>
          </w:tcPr>
          <w:p>
            <w:pPr>
              <w:pStyle w:val="Compact"/>
            </w:pPr>
            <w:r>
              <w:rPr>
                <w:sz w:val="19"/>
                <w:szCs w:val="19"/>
                <w:lang w:val="es-ES"/>
              </w:rPr>
              <w:t xml:space="preserve">Medidas técnicas </w:t>
            </w:r>
            <w:r>
              <w:rPr>
                <w:sz w:val="19"/>
                <w:szCs w:val="19"/>
                <w:lang w:val="es-ES"/>
              </w:rPr>
              <w:t xml:space="preserve"/>
            </w:r>
            <w:r>
              <w:rPr>
                <w:b/>
                <w:bCs/>
                <w:sz w:val="19"/>
                <w:szCs w:val="19"/>
                <w:lang w:val="es-ES"/>
              </w:rPr>
              <w:t xml:space="preserve">colaborativas </w:t>
            </w:r>
            <w:r>
              <w:rPr>
                <w:sz w:val="19"/>
                <w:szCs w:val="19"/>
                <w:lang w:val="es-ES"/>
              </w:rPr>
              <w:t xml:space="preserve"/>
            </w:r>
            <w:r>
              <w:rPr>
                <w:sz w:val="19"/>
                <w:szCs w:val="19"/>
                <w:lang w:val="es-ES"/>
              </w:rPr>
              <w:t xml:space="preserve">documentadas</w:t>
            </w:r>
          </w:p>
        </w:tc>
        <w:tc>
          <w:tcPr>
            <w:tcW w:type="dxa" w:w="2340"/>
            <w:tcMar>
              <w:left w:type="dxa" w:w="80"/>
              <w:right w:type="dxa" w:w="80"/>
            </w:tcMar>
          </w:tcPr>
          <w:p>
            <w:pPr>
              <w:pStyle w:val="Compact"/>
            </w:pPr>
            <w:r>
              <w:rPr>
                <w:sz w:val="19"/>
                <w:szCs w:val="19"/>
                <w:lang w:val="es-ES"/>
              </w:rPr>
              <w:t xml:space="preserve">Según obligaciones del cliente</w:t>
            </w:r>
          </w:p>
        </w:tc>
      </w:tr>
      <w:tr>
        <w:trPr>
          <w:cantSplit/>
        </w:trPr>
        <w:tc>
          <w:tcPr>
            <w:tcW w:type="dxa" w:w="2340"/>
            <w:tcMar>
              <w:left w:type="dxa" w:w="80"/>
              <w:right w:type="dxa" w:w="80"/>
            </w:tcMar>
          </w:tcPr>
          <w:p>
            <w:pPr>
              <w:pStyle w:val="Compact"/>
            </w:pPr>
            <w:r>
              <w:rPr>
                <w:sz w:val="19"/>
                <w:szCs w:val="19"/>
                <w:lang w:val="es-ES"/>
              </w:rPr>
              <w:t xml:space="preserve">Accesibilidad (EAA/RGAA)</w:t>
            </w:r>
          </w:p>
        </w:tc>
        <w:tc>
          <w:tcPr>
            <w:tcW w:type="dxa" w:w="2340"/>
            <w:tcMar>
              <w:left w:type="dxa" w:w="80"/>
              <w:right w:type="dxa" w:w="80"/>
            </w:tcMar>
          </w:tcPr>
          <w:p>
            <w:pPr>
              <w:pStyle w:val="Compact"/>
            </w:pPr>
            <w:r>
              <w:rPr>
                <w:sz w:val="19"/>
                <w:szCs w:val="19"/>
                <w:lang w:val="es-ES"/>
              </w:rPr>
              <w:t xml:space="preserve">Cumplimiento normativo</w:t>
            </w:r>
          </w:p>
        </w:tc>
        <w:tc>
          <w:tcPr>
            <w:tcW w:type="dxa" w:w="2340"/>
            <w:tcMar>
              <w:left w:type="dxa" w:w="80"/>
              <w:right w:type="dxa" w:w="80"/>
            </w:tcMar>
          </w:tcPr>
          <w:p>
            <w:pPr>
              <w:pStyle w:val="Compact"/>
            </w:pPr>
            <w:r>
              <w:rPr>
                <w:b/>
                <w:bCs/>
                <w:sz w:val="19"/>
                <w:szCs w:val="19"/>
                <w:lang w:val="es-ES"/>
              </w:rPr>
              <w:t xml:space="preserve">[PARA COMPLETAR: estado de accesibilidad]</w:t>
            </w:r>
          </w:p>
        </w:tc>
        <w:tc>
          <w:tcPr>
            <w:tcW w:type="dxa" w:w="2340"/>
            <w:tcMar>
              <w:left w:type="dxa" w:w="80"/>
              <w:right w:type="dxa" w:w="80"/>
            </w:tcMar>
          </w:tcPr>
          <w:p>
            <w:pPr>
              <w:pStyle w:val="Compact"/>
            </w:pPr>
            <w:r>
              <w:rPr>
                <w:sz w:val="19"/>
                <w:szCs w:val="19"/>
                <w:lang w:val="es-ES"/>
              </w:rPr>
              <w:t xml:space="preserve">[PARA COMPLETAR]</w:t>
            </w:r>
          </w:p>
        </w:tc>
      </w:tr>
    </w:tbl>
    <w:p>
      <w:r>
        <w:pict>
          <v:rect style="width:0;height:1.5pt" o:hralign="center" o:hrstd="t" o:hr="t"/>
        </w:pict>
      </w:r>
    </w:p>
    <w:bookmarkEnd w:id="154"/>
    <w:bookmarkStart w:id="155" w:name="X30f21e3fe687fa7ed7647d19bfa3f440a66be0d"/>
    <w:p>
      <w:pPr>
        <w:pStyle w:val="Heading2"/>
        <w:keepNext/>
        <w:keepLines/>
      </w:pPr>
      <w:r>
        <w:rPr>
          <w:color w:val="000000"/>
          <w:lang w:val="es-ES"/>
        </w:rPr>
        <w:t xml:space="preserve">2. ISO/IEC 27001: enfoque adoptado</w:t>
      </w:r>
    </w:p>
    <w:p>
      <w:pPr>
        <w:pStyle w:val="FirstParagraph"/>
      </w:pPr>
      <w:r>
        <w:rPr>
          <w:lang w:val="es-ES"/>
        </w:rPr>
        <w:t xml:space="preserve">OHADJA ha iniciado un enfoque estructurado hacia la certificación ISO/IEC 27001. En esta etapa:</w:t>
      </w:r>
    </w:p>
    <w:p>
      <w:pPr>
        <w:pStyle w:val="Compact"/>
        <w:numPr>
          <w:ilvl w:val="0"/>
          <w:numId w:val="1042"/>
        </w:numPr>
      </w:pPr>
      <w:r>
        <w:rPr>
          <w:lang w:val="es-ES"/>
        </w:rPr>
        <w:t xml:space="preserve">se </w:t>
      </w:r>
      <w:r>
        <w:rPr>
          <w:lang w:val="es-ES"/>
        </w:rPr>
        <w:t xml:space="preserve"/>
      </w:r>
      <w:r>
        <w:rPr>
          <w:b/>
          <w:bCs/>
          <w:lang w:val="es-ES"/>
        </w:rPr>
        <w:t xml:space="preserve">cuenta con una base documental del sistema de gestión de seguridad de la información </w:t>
      </w:r>
      <w:r>
        <w:rPr>
          <w:lang w:val="es-ES"/>
        </w:rPr>
        <w:t xml:space="preserve"/>
      </w:r>
      <w:r>
        <w:rPr>
          <w:lang w:val="es-ES"/>
        </w:rPr>
        <w:t xml:space="preserve">(SGSI), compuesta por las </w:t>
      </w:r>
      <w:r>
        <w:rPr>
          <w:lang w:val="es-ES"/>
        </w:rPr>
        <w:t xml:space="preserve"/>
      </w:r>
      <w:r>
        <w:rPr>
          <w:b/>
          <w:bCs/>
          <w:lang w:val="es-ES"/>
        </w:rPr>
        <w:t xml:space="preserve">dieciséis (16) políticas formalizadas del editor OHADJA </w:t>
      </w:r>
      <w:r>
        <w:rPr>
          <w:lang w:val="es-ES"/>
        </w:rPr>
        <w:t xml:space="preserve"/>
      </w:r>
      <w:r>
        <w:rPr>
          <w:lang w:val="es-ES"/>
        </w:rPr>
        <w:t xml:space="preserve">(repositorio OHADJA-POL, Versión 2.0, revisión de mayo de 2026 — ver sección 6);</w:t>
      </w:r>
    </w:p>
    <w:p>
      <w:pPr>
        <w:pStyle w:val="Compact"/>
        <w:numPr>
          <w:ilvl w:val="0"/>
          <w:numId w:val="1042"/>
        </w:numPr>
      </w:pPr>
      <w:r>
        <w:rPr>
          <w:lang w:val="es-ES"/>
        </w:rPr>
        <w:t xml:space="preserve">La </w:t>
      </w:r>
      <w:r>
        <w:rPr>
          <w:b/>
          <w:bCs/>
          <w:lang w:val="es-ES"/>
        </w:rPr>
        <w:t xml:space="preserve">auditoría de certificación está prevista para principios de </w:t>
      </w:r>
      <w:r>
        <w:rPr>
          <w:lang w:val="es-ES"/>
        </w:rPr>
        <w:t xml:space="preserve">2027.</w:t>
      </w:r>
    </w:p>
    <w:p>
      <w:pPr>
        <w:pStyle w:val="FirstParagraph"/>
      </w:pPr>
      <w:r>
        <w:rPr>
          <w:lang w:val="es-ES"/>
        </w:rPr>
        <w:t xml:space="preserve">Hasta la fecha no se ha emitido ningún certificado ISO/IEC 27001. El enfoque se está estructurando e implementando actualmente.</w:t>
      </w:r>
    </w:p>
    <w:bookmarkEnd w:id="155"/>
    <w:bookmarkStart w:id="156" w:name="Xb666bc933ca9b071007a4b8affeac18b39b0724"/>
    <w:p>
      <w:pPr>
        <w:pStyle w:val="Heading2"/>
        <w:keepNext/>
        <w:keepLines/>
      </w:pPr>
      <w:r>
        <w:rPr>
          <w:color w:val="000000"/>
          <w:lang w:val="es-ES"/>
        </w:rPr>
        <w:t xml:space="preserve">3. SOC 2 Tipo I</w:t>
      </w:r>
    </w:p>
    <w:p>
      <w:pPr>
        <w:pStyle w:val="FirstParagraph"/>
      </w:pPr>
      <w:r>
        <w:rPr>
          <w:lang w:val="es-ES"/>
        </w:rPr>
        <w:t xml:space="preserve">Está </w:t>
      </w:r>
      <w:r>
        <w:rPr>
          <w:lang w:val="es-ES"/>
        </w:rPr>
        <w:t xml:space="preserve"/>
      </w:r>
      <w:r>
        <w:rPr>
          <w:b/>
          <w:bCs/>
          <w:lang w:val="es-ES"/>
        </w:rPr>
        <w:t xml:space="preserve">prevista una auditoría SOC 2 Tipo I para el año </w:t>
      </w:r>
      <w:r>
        <w:rPr>
          <w:lang w:val="es-ES"/>
        </w:rPr>
        <w:t xml:space="preserve">2026. Este compromiso ya ha sido comunicado en el expediente público de cumplimiento de TranscribIA. A la fecha de este documento aún no se ha realizado la auditoría y no se encuentra disponible ningún informe SOC 2.</w:t>
      </w:r>
    </w:p>
    <w:bookmarkEnd w:id="156"/>
    <w:bookmarkStart w:id="157" w:name="Xdff9f055eed22f210ec3b463d1e59173981f1ea"/>
    <w:p>
      <w:pPr>
        <w:pStyle w:val="Heading2"/>
        <w:keepNext/>
        <w:keepLines/>
      </w:pPr>
      <w:r>
        <w:rPr>
          <w:color w:val="000000"/>
          <w:lang w:val="es-ES"/>
        </w:rPr>
        <w:t xml:space="preserve">4. Otros repositorios</w:t>
      </w:r>
    </w:p>
    <w:p>
      <w:pPr>
        <w:pStyle w:val="Compact"/>
        <w:numPr>
          <w:ilvl w:val="0"/>
          <w:numId w:val="1043"/>
        </w:numPr>
      </w:pPr>
      <w:r>
        <w:rPr>
          <w:b/>
          <w:bCs/>
          <w:lang w:val="es-ES"/>
        </w:rPr>
        <w:t xml:space="preserve">ISO/IEC 27701: </w:t>
      </w:r>
      <w:r>
        <w:rPr>
          <w:lang w:val="es-ES"/>
        </w:rPr>
        <w:t xml:space="preserve"/>
      </w:r>
      <w:r>
        <w:rPr>
          <w:lang w:val="es-ES"/>
        </w:rPr>
        <w:t xml:space="preserve">concebida como una extensión natural del sistema de gestión una vez obtenida la certificación 27001. En estudio, no comprometido formalmente en esta etapa.</w:t>
      </w:r>
    </w:p>
    <w:p>
      <w:pPr>
        <w:pStyle w:val="Compact"/>
        <w:numPr>
          <w:ilvl w:val="0"/>
          <w:numId w:val="1043"/>
        </w:numPr>
      </w:pPr>
      <w:r>
        <w:rPr>
          <w:b/>
          <w:bCs/>
          <w:lang w:val="es-ES"/>
        </w:rPr>
        <w:t xml:space="preserve">HDS (Hospedaje de datos sanitarios): </w:t>
      </w:r>
      <w:r>
        <w:rPr>
          <w:lang w:val="es-ES"/>
        </w:rPr>
        <w:t xml:space="preserve"/>
      </w:r>
      <w:r>
        <w:rPr>
          <w:lang w:val="es-ES"/>
        </w:rPr>
        <w:t xml:space="preserve">en estudio. Este repositorio solo es relevante si el Cliente procesa </w:t>
      </w:r>
      <w:r>
        <w:rPr>
          <w:lang w:val="es-ES"/>
        </w:rPr>
        <w:t xml:space="preserve"/>
      </w:r>
      <w:r>
        <w:rPr>
          <w:b/>
          <w:bCs/>
          <w:lang w:val="es-ES"/>
        </w:rPr>
        <w:t xml:space="preserve">datos de salud </w:t>
      </w:r>
      <w:r>
        <w:rPr>
          <w:lang w:val="es-ES"/>
        </w:rPr>
        <w:t xml:space="preserve"/>
      </w:r>
      <w:r>
        <w:rPr>
          <w:lang w:val="es-ES"/>
        </w:rPr>
        <w:t xml:space="preserve">utilizando la Solución. Se considerará caso por caso según sea necesario.</w:t>
      </w:r>
    </w:p>
    <w:p>
      <w:pPr>
        <w:pStyle w:val="Compact"/>
        <w:numPr>
          <w:ilvl w:val="0"/>
          <w:numId w:val="1043"/>
        </w:numPr>
      </w:pPr>
      <w:r>
        <w:rPr>
          <w:b/>
          <w:bCs/>
          <w:lang w:val="es-ES"/>
        </w:rPr>
        <w:t xml:space="preserve">SecNumCloud: </w:t>
      </w:r>
      <w:r>
        <w:rPr>
          <w:lang w:val="es-ES"/>
        </w:rPr>
        <w:t xml:space="preserve"/>
      </w:r>
      <w:r>
        <w:rPr>
          <w:lang w:val="es-ES"/>
        </w:rPr>
        <w:t xml:space="preserve">en </w:t>
      </w:r>
      <w:r>
        <w:rPr>
          <w:lang w:val="es-ES"/>
        </w:rPr>
        <w:t xml:space="preserve"/>
      </w:r>
      <w:r>
        <w:rPr>
          <w:b/>
          <w:bCs/>
          <w:lang w:val="es-ES"/>
        </w:rPr>
        <w:t xml:space="preserve">espera, </w:t>
      </w:r>
      <w:r>
        <w:rPr>
          <w:lang w:val="es-ES"/>
        </w:rPr>
        <w:t xml:space="preserve">no apuntado a corto plazo. Este marco de calificación ANSSI está dirigido principalmente a proveedores de servicios en la nube a gran escala, alcance que no se corresponde con el posicionamiento actual de TranscribIA.</w:t>
      </w:r>
    </w:p>
    <w:p>
      <w:r>
        <w:pict>
          <v:rect style="width:0;height:1.5pt" o:hralign="center" o:hrstd="t" o:hr="t"/>
        </w:pict>
      </w:r>
    </w:p>
    <w:bookmarkEnd w:id="157"/>
    <w:bookmarkStart w:id="158" w:name="X3c16480e655205b358e4f8dce0588232afc3ce6"/>
    <w:p>
      <w:pPr>
        <w:pStyle w:val="Heading2"/>
        <w:keepNext/>
        <w:keepLines/>
      </w:pPr>
      <w:r>
        <w:rPr>
          <w:color w:val="000000"/>
          <w:lang w:val="es-ES"/>
        </w:rPr>
        <w:t xml:space="preserve">5. Cumplimiento normativo aplicable sin certificación</w:t>
      </w:r>
    </w:p>
    <w:p>
      <w:pPr>
        <w:pStyle w:val="FirstParagraph"/>
      </w:pPr>
      <w:r>
        <w:rPr>
          <w:lang w:val="es-ES"/>
        </w:rPr>
        <w:t xml:space="preserve">Ciertas obligaciones se aplican independientemente de cualquier certificación. OHADJA los procesa como parte de su expediente de cumplimiento:</w:t>
      </w:r>
    </w:p>
    <w:p>
      <w:pPr>
        <w:pStyle w:val="Compact"/>
        <w:numPr>
          <w:ilvl w:val="0"/>
          <w:numId w:val="1044"/>
        </w:numPr>
      </w:pPr>
      <w:r>
        <w:rPr>
          <w:b/>
          <w:bCs/>
          <w:lang w:val="es-ES"/>
        </w:rPr>
        <w:t xml:space="preserve">RGPD: </w:t>
      </w:r>
      <w:r>
        <w:rPr>
          <w:lang w:val="es-ES"/>
        </w:rPr>
        <w:t xml:space="preserve"/>
      </w:r>
      <w:r>
        <w:rPr>
          <w:lang w:val="es-ES"/>
        </w:rPr>
        <w:t xml:space="preserve">el cumplimiento del Reglamento General de Protección de Datos es objeto de un </w:t>
      </w:r>
      <w:r>
        <w:rPr>
          <w:lang w:val="es-ES"/>
        </w:rPr>
        <w:t xml:space="preserve"/>
      </w:r>
      <w:r>
        <w:rPr>
          <w:b/>
          <w:bCs/>
          <w:lang w:val="es-ES"/>
        </w:rPr>
        <w:t xml:space="preserve">fichero </w:t>
      </w:r>
      <w:r>
        <w:rPr>
          <w:lang w:val="es-ES"/>
        </w:rPr>
        <w:t xml:space="preserve"/>
      </w:r>
      <w:r>
        <w:rPr>
          <w:lang w:val="es-ES"/>
        </w:rPr>
        <w:t xml:space="preserve">específico (acuerdo de tratamiento de datos personales según el artículo 28, medidas técnicas y organizativas según el artículo 32, gestión de derechos individuales, supervisión de subencargados del tratamiento y transferencias). RGPD es un marco regulatorio vinculante, no un punto de referencia de certificación.</w:t>
      </w:r>
    </w:p>
    <w:p>
      <w:pPr>
        <w:pStyle w:val="Compact"/>
        <w:numPr>
          <w:ilvl w:val="0"/>
          <w:numId w:val="1044"/>
        </w:numPr>
      </w:pPr>
      <w:r>
        <w:rPr>
          <w:b/>
          <w:bCs/>
          <w:lang w:val="es-ES"/>
        </w:rPr>
        <w:t xml:space="preserve">Directiva </w:t>
      </w:r>
      <w:r>
        <w:rPr>
          <w:lang w:val="es-ES"/>
        </w:rPr>
        <w:t xml:space="preserve">NIS2: </w:t>
      </w:r>
      <w:r>
        <w:rPr>
          <w:lang w:val="es-ES"/>
        </w:rPr>
        <w:t xml:space="preserve">TranscribIA no tiene ni puede tener “certificación NIS2” (no existe tal certificación de producto). Por otro lado, </w:t>
      </w:r>
      <w:r>
        <w:rPr>
          <w:lang w:val="es-ES"/>
        </w:rPr>
        <w:t xml:space="preserve"/>
      </w:r>
      <w:r>
        <w:rPr>
          <w:b/>
          <w:bCs/>
          <w:lang w:val="es-ES"/>
        </w:rPr>
        <w:t xml:space="preserve">sus medidas técnicas verificables </w:t>
      </w:r>
      <w:r>
        <w:rPr>
          <w:lang w:val="es-ES"/>
        </w:rPr>
        <w:t xml:space="preserve"/>
      </w:r>
      <w:r>
        <w:rPr>
          <w:lang w:val="es-ES"/>
        </w:rPr>
        <w:t xml:space="preserve">(control de acceso, cifrado, registro, gestión de incidencias, continuidad, seguridad de la cadena de suministro) pueden </w:t>
      </w:r>
      <w:r>
        <w:rPr>
          <w:lang w:val="es-ES"/>
        </w:rPr>
        <w:t xml:space="preserve"/>
      </w:r>
      <w:r>
        <w:rPr>
          <w:b/>
          <w:bCs/>
          <w:lang w:val="es-ES"/>
        </w:rPr>
        <w:t xml:space="preserve">contribuir </w:t>
      </w:r>
      <w:r>
        <w:rPr>
          <w:lang w:val="es-ES"/>
        </w:rPr>
        <w:t xml:space="preserve"/>
      </w:r>
      <w:r>
        <w:rPr>
          <w:lang w:val="es-ES"/>
        </w:rPr>
        <w:t xml:space="preserve">al cumplimiento de la entidad cliente, bajo su responsabilidad. Estos elementos se detallan en el expediente de cumplimiento.</w:t>
      </w:r>
    </w:p>
    <w:p>
      <w:pPr>
        <w:pStyle w:val="Compact"/>
        <w:numPr>
          <w:ilvl w:val="0"/>
          <w:numId w:val="1044"/>
        </w:numPr>
      </w:pPr>
      <w:r>
        <w:rPr>
          <w:b/>
          <w:bCs/>
          <w:lang w:val="es-ES"/>
        </w:rPr>
        <w:t xml:space="preserve">Accesibilidad (EAA / RGAA): </w:t>
      </w:r>
      <w:r>
        <w:rPr>
          <w:lang w:val="es-ES"/>
        </w:rPr>
        <w:t xml:space="preserve"/>
      </w:r>
      <w:r>
        <w:rPr>
          <w:lang w:val="es-ES"/>
        </w:rPr>
        <w:t xml:space="preserve"/>
      </w:r>
      <w:r>
        <w:rPr>
          <w:lang w:val="es-ES"/>
        </w:rPr>
        <w:t xml:space="preserve"/>
      </w:r>
      <w:r>
        <w:rPr>
          <w:b/>
          <w:bCs/>
          <w:lang w:val="es-ES"/>
        </w:rPr>
        <w:t xml:space="preserve">[PARA COMPLETAR: estado de cumplimiento de la accesibilidad digital — auditoría RGAA realizada o no, tasa de cumplimiento, declaración de </w:t>
      </w:r>
      <w:r>
        <w:rPr>
          <w:lang w:val="es-ES"/>
        </w:rPr>
        <w:t xml:space="preserve">accesibilidad].</w:t>
      </w:r>
    </w:p>
    <w:p>
      <w:r>
        <w:pict>
          <v:rect style="width:0;height:1.5pt" o:hralign="center" o:hrstd="t" o:hr="t"/>
        </w:pict>
      </w:r>
    </w:p>
    <w:bookmarkEnd w:id="158"/>
    <w:bookmarkStart w:id="159" w:name="X259421c5b1f2bba1d219494517f0f28089bf3c9"/>
    <w:p>
      <w:pPr>
        <w:pStyle w:val="Heading2"/>
        <w:keepNext/>
        <w:keepLines/>
      </w:pPr>
      <w:r>
        <w:rPr>
          <w:color w:val="000000"/>
          <w:lang w:val="es-ES"/>
        </w:rPr>
        <w:t xml:space="preserve">6. Base documental del SGSI: lista de 16 políticas</w:t>
      </w:r>
    </w:p>
    <w:p>
      <w:pPr>
        <w:pStyle w:val="FirstParagraph"/>
      </w:pPr>
      <w:r>
        <w:rPr>
          <w:lang w:val="es-ES"/>
        </w:rPr>
        <w:t xml:space="preserve">El sistema de gestión de seguridad de la información se basa en las dieciséis políticas formalizadas del editor OHADJA, con referencias </w:t>
      </w:r>
      <w:r>
        <w:rPr>
          <w:lang w:val="es-ES"/>
        </w:rPr>
        <w:t xml:space="preserve"/>
      </w:r>
      <w:r>
        <w:rPr>
          <w:b/>
          <w:bCs/>
          <w:lang w:val="es-ES"/>
        </w:rPr>
        <w:t xml:space="preserve">OHADJA-POL-01 a OHADJA-POL-16, en </w:t>
      </w:r>
      <w:r>
        <w:rPr>
          <w:lang w:val="es-ES"/>
        </w:rPr>
        <w:t xml:space="preserve">la </w:t>
      </w:r>
      <w:r>
        <w:rPr>
          <w:lang w:val="es-ES"/>
        </w:rPr>
        <w:t xml:space="preserve"/>
      </w:r>
      <w:r>
        <w:rPr>
          <w:b/>
          <w:bCs/>
          <w:lang w:val="es-ES"/>
        </w:rPr>
        <w:t xml:space="preserve">Versión 2.0 (revisión de mayo de </w:t>
      </w:r>
      <w:r>
        <w:rPr>
          <w:lang w:val="es-ES"/>
        </w:rPr>
        <w:t xml:space="preserve"/>
      </w:r>
      <w:r>
        <w:rPr>
          <w:lang w:val="es-ES"/>
        </w:rPr>
        <w:t xml:space="preserve">2026):</w:t>
      </w:r>
    </w:p>
    <w:p>
      <w:pPr>
        <w:pStyle w:val="Compact"/>
        <w:numPr>
          <w:ilvl w:val="0"/>
          <w:numId w:val="1045"/>
        </w:numPr>
      </w:pPr>
      <w:r>
        <w:rPr>
          <w:lang w:val="es-ES"/>
        </w:rPr>
        <w:t xml:space="preserve">OHADJA-POL-01 — Política de seguridad de la información</w:t>
      </w:r>
    </w:p>
    <w:p>
      <w:pPr>
        <w:pStyle w:val="Compact"/>
        <w:numPr>
          <w:ilvl w:val="0"/>
          <w:numId w:val="1045"/>
        </w:numPr>
      </w:pPr>
      <w:r>
        <w:rPr>
          <w:lang w:val="es-ES"/>
        </w:rPr>
        <w:t xml:space="preserve">OHADJA-POL-02 — Política de clasificación de información</w:t>
      </w:r>
    </w:p>
    <w:p>
      <w:pPr>
        <w:pStyle w:val="Compact"/>
        <w:numPr>
          <w:ilvl w:val="0"/>
          <w:numId w:val="1045"/>
        </w:numPr>
      </w:pPr>
      <w:r>
        <w:rPr>
          <w:lang w:val="es-ES"/>
        </w:rPr>
        <w:t xml:space="preserve">OHADJA-POL-03 — Política de cifrado</w:t>
      </w:r>
    </w:p>
    <w:p>
      <w:pPr>
        <w:pStyle w:val="Compact"/>
        <w:numPr>
          <w:ilvl w:val="0"/>
          <w:numId w:val="1045"/>
        </w:numPr>
      </w:pPr>
      <w:r>
        <w:rPr>
          <w:lang w:val="es-ES"/>
        </w:rPr>
        <w:t xml:space="preserve">OHADJA-POL-04 — Política de control de acceso</w:t>
      </w:r>
    </w:p>
    <w:p>
      <w:pPr>
        <w:pStyle w:val="Compact"/>
        <w:numPr>
          <w:ilvl w:val="0"/>
          <w:numId w:val="1045"/>
        </w:numPr>
      </w:pPr>
      <w:r>
        <w:rPr>
          <w:lang w:val="es-ES"/>
        </w:rPr>
        <w:t xml:space="preserve">OHADJA-POL-05 — Política de gestión de contraseñas</w:t>
      </w:r>
    </w:p>
    <w:p>
      <w:pPr>
        <w:pStyle w:val="Compact"/>
        <w:numPr>
          <w:ilvl w:val="0"/>
          <w:numId w:val="1045"/>
        </w:numPr>
      </w:pPr>
      <w:r>
        <w:rPr>
          <w:lang w:val="es-ES"/>
        </w:rPr>
        <w:t xml:space="preserve">OHADJA-POL-06 — Política de gestión de cambios</w:t>
      </w:r>
    </w:p>
    <w:p>
      <w:pPr>
        <w:pStyle w:val="Compact"/>
        <w:numPr>
          <w:ilvl w:val="0"/>
          <w:numId w:val="1045"/>
        </w:numPr>
      </w:pPr>
      <w:r>
        <w:rPr>
          <w:lang w:val="es-ES"/>
        </w:rPr>
        <w:t xml:space="preserve">OHADJA-POL-07 — Política de desarrollo de software seguro (SDLC seguro)</w:t>
      </w:r>
    </w:p>
    <w:p>
      <w:pPr>
        <w:pStyle w:val="Compact"/>
        <w:numPr>
          <w:ilvl w:val="0"/>
          <w:numId w:val="1045"/>
        </w:numPr>
      </w:pPr>
      <w:r>
        <w:rPr>
          <w:lang w:val="es-ES"/>
        </w:rPr>
        <w:t xml:space="preserve">OHADJA-POL-08 — Política de seguridad física</w:t>
      </w:r>
    </w:p>
    <w:p>
      <w:pPr>
        <w:pStyle w:val="Compact"/>
        <w:numPr>
          <w:ilvl w:val="0"/>
          <w:numId w:val="1045"/>
        </w:numPr>
      </w:pPr>
      <w:r>
        <w:rPr>
          <w:lang w:val="es-ES"/>
        </w:rPr>
        <w:t xml:space="preserve">OHADJA-POL-09 — Política de respuesta a incidentes</w:t>
      </w:r>
    </w:p>
    <w:p>
      <w:pPr>
        <w:pStyle w:val="Compact"/>
        <w:numPr>
          <w:ilvl w:val="0"/>
          <w:numId w:val="1045"/>
        </w:numPr>
      </w:pPr>
      <w:r>
        <w:rPr>
          <w:lang w:val="es-ES"/>
        </w:rPr>
        <w:t xml:space="preserve">OHADJA-POL-10 — Política de copia de seguridad</w:t>
      </w:r>
    </w:p>
    <w:p>
      <w:pPr>
        <w:pStyle w:val="Compact"/>
        <w:numPr>
          <w:ilvl w:val="0"/>
          <w:numId w:val="1045"/>
        </w:numPr>
      </w:pPr>
      <w:r>
        <w:rPr>
          <w:lang w:val="es-ES"/>
        </w:rPr>
        <w:t xml:space="preserve">OHADJA-POL-11 — Política de continuidad y recuperación del negocio (PCA/PRA)</w:t>
      </w:r>
    </w:p>
    <w:p>
      <w:pPr>
        <w:pStyle w:val="Compact"/>
        <w:numPr>
          <w:ilvl w:val="0"/>
          <w:numId w:val="1045"/>
        </w:numPr>
      </w:pPr>
      <w:r>
        <w:rPr>
          <w:lang w:val="es-ES"/>
        </w:rPr>
        <w:t xml:space="preserve">OHADJA-POL-12 — Política de seguridad de red</w:t>
      </w:r>
    </w:p>
    <w:p>
      <w:pPr>
        <w:pStyle w:val="Compact"/>
        <w:numPr>
          <w:ilvl w:val="0"/>
          <w:numId w:val="1045"/>
        </w:numPr>
      </w:pPr>
      <w:r>
        <w:rPr>
          <w:lang w:val="es-ES"/>
        </w:rPr>
        <w:t xml:space="preserve">OHADJA-POL-13 — Política de protección de datos</w:t>
      </w:r>
    </w:p>
    <w:p>
      <w:pPr>
        <w:pStyle w:val="Compact"/>
        <w:numPr>
          <w:ilvl w:val="0"/>
          <w:numId w:val="1045"/>
        </w:numPr>
      </w:pPr>
      <w:r>
        <w:rPr>
          <w:lang w:val="es-ES"/>
        </w:rPr>
        <w:t xml:space="preserve">OHADJA-POL-14 — Política de Ética</w:t>
      </w:r>
    </w:p>
    <w:p>
      <w:pPr>
        <w:pStyle w:val="Compact"/>
        <w:numPr>
          <w:ilvl w:val="0"/>
          <w:numId w:val="1045"/>
        </w:numPr>
      </w:pPr>
      <w:r>
        <w:rPr>
          <w:lang w:val="es-ES"/>
        </w:rPr>
        <w:t xml:space="preserve">OHADJA-POL-15 — Política de uso aceptable</w:t>
      </w:r>
    </w:p>
    <w:p>
      <w:pPr>
        <w:pStyle w:val="Compact"/>
        <w:numPr>
          <w:ilvl w:val="0"/>
          <w:numId w:val="1045"/>
        </w:numPr>
      </w:pPr>
      <w:r>
        <w:rPr>
          <w:lang w:val="es-ES"/>
        </w:rPr>
        <w:t xml:space="preserve">OHADJA-POL-16 — Política de gestión de parches y vulnerabilidades</w:t>
      </w:r>
    </w:p>
    <w:p>
      <w:r>
        <w:pict>
          <v:rect style="width:0;height:1.5pt" o:hralign="center" o:hrstd="t" o:hr="t"/>
        </w:pict>
      </w:r>
    </w:p>
    <w:bookmarkEnd w:id="159"/>
    <w:bookmarkStart w:id="160" w:name="Xc8fed863851aa9c00eed84623d24aa00af6affd"/>
    <w:p>
      <w:pPr>
        <w:pStyle w:val="Heading2"/>
        <w:keepNext/>
        <w:keepLines/>
      </w:pPr>
      <w:r>
        <w:rPr>
          <w:color w:val="000000"/>
          <w:lang w:val="es-ES"/>
        </w:rPr>
        <w:t xml:space="preserve">7. Provisión</w:t>
      </w:r>
    </w:p>
    <w:p>
      <w:pPr>
        <w:pStyle w:val="FirstParagraph"/>
      </w:pPr>
      <w:r>
        <w:rPr>
          <w:lang w:val="es-ES"/>
        </w:rPr>
        <w:t xml:space="preserve">Se </w:t>
      </w:r>
      <w:r>
        <w:rPr>
          <w:lang w:val="es-ES"/>
        </w:rPr>
        <w:t xml:space="preserve"/>
      </w:r>
      <w:r>
        <w:rPr>
          <w:b/>
          <w:bCs/>
          <w:lang w:val="es-ES"/>
        </w:rPr>
        <w:t xml:space="preserve">pueden solicitar declaraciones </w:t>
      </w:r>
      <w:r>
        <w:rPr>
          <w:lang w:val="es-ES"/>
        </w:rPr>
        <w:t xml:space="preserve"/>
      </w:r>
      <w:r>
        <w:rPr>
          <w:lang w:val="es-ES"/>
        </w:rPr>
        <w:t xml:space="preserve">sobre el avance de las actuaciones de cumplimiento </w:t>
      </w:r>
      <w:r>
        <w:rPr>
          <w:lang w:val="es-ES"/>
        </w:rPr>
        <w:t xml:space="preserve"/>
      </w:r>
      <w:r>
        <w:rPr>
          <w:b/>
          <w:bCs/>
          <w:lang w:val="es-ES"/>
        </w:rPr>
        <w:t xml:space="preserve">y certificación. OHADJA </w:t>
      </w:r>
      <w:r>
        <w:rPr>
          <w:lang w:val="es-ES"/>
        </w:rPr>
        <w:t xml:space="preserve">se compromete a describir el estado real de sus trabajos, sin anticipar la obtención de una certificación todavía no concedida.</w:t>
      </w:r>
    </w:p>
    <w:p>
      <w:r>
        <w:pict>
          <v:rect style="width:0;height:1.5pt" o:hralign="center" o:hrstd="t" o:hr="t"/>
        </w:pict>
      </w:r>
    </w:p>
    <w:p>
      <w:pPr>
        <w:pStyle w:val="FirstParagraph"/>
      </w:pPr>
      <w:r>
        <w:rPr>
          <w:i/>
          <w:iCs/>
          <w:lang w:val="es-ES"/>
        </w:rPr>
        <w:t xml:space="preserve">Documento de trabajo establecido por OHADJA — para ser validado por su asesor legal / DPO antes de la firma.</w:t>
      </w:r>
    </w:p>
    <w:bookmarkEnd w:id="160"/>
    <w:bookmarkEnd w:id="161"/>
    <w:p>
      <w:pPr>
        <w:pStyle w:val="Heading1"/>
        <w:pageBreakBefore/>
        <w:keepNext/>
        <w:keepLines/>
      </w:pPr>
      <w:r>
        <w:rPr>
          <w:lang w:val="es-ES"/>
          <w:color w:val="000000"/>
        </w:rPr>
        <w:t xml:space="preserve">Anexo sobre las normas nacionales de despliegue</w:t>
      </w:r>
    </w:p>
    <w:p>
      <w:pPr>
        <w:pStyle w:val="Heading2"/>
        <w:keepNext/>
        <w:keepLines/>
      </w:pPr>
      <w:r>
        <w:rPr>
          <w:lang w:val="es-ES"/>
          <w:color w:val="000000"/>
        </w:rPr>
        <w:t xml:space="preserve">Alcance de este anexo</w:t>
      </w:r>
    </w:p>
    <w:p>
      <w:pPr>
        <w:pStyle w:val="BodyText"/>
      </w:pPr>
      <w:r>
        <w:rPr>
          <w:lang w:val="es-ES"/>
        </w:rPr>
        <w:t xml:space="preserve">Esta edición cubre la base del RGPD de la Unión Europea y los aspectos de despliegue que se indican a continuación para Francia, Irlanda, los Países Bajos, España y Portugal. Estas notas deben leerse según el país y el uso reales del Cliente, sea cual sea el idioma del documento. Complementan los documentos del proyecto sin modificar automáticamente la identidad de las partes, el Derecho francés elegido ni los órganos jurisdiccionales designados. Se mantienen a salvo las normas imperativas aplicables al Cliente. Las referencias nacionales francesas del cuerpo del documento siguen identificadas como tales; no constituyen una equivalencia extranjera.</w:t>
      </w:r>
    </w:p>
    <w:p>
      <w:pPr>
        <w:pStyle w:val="Heading2"/>
        <w:keepNext/>
        <w:keepLines/>
      </w:pPr>
      <w:r>
        <w:rPr>
          <w:lang w:val="es-ES"/>
          <w:color w:val="000000"/>
        </w:rPr>
        <w:t xml:space="preserve">Base europea que debe documentarse antes de la puesta en servicio</w:t>
      </w:r>
    </w:p>
    <w:p>
      <w:pPr>
        <w:pStyle w:val="BodyText"/>
      </w:pPr>
      <w:r>
        <w:rPr>
          <w:lang w:val="es-ES"/>
        </w:rPr>
        <w:t xml:space="preserve">El Cliente debe determinar la finalidad, la necesidad, la proporcionalidad y la base jurídica de cada grabación y tratamiento; informar a las personas antes de recoger los datos; definir los destinatarios, los plazos y los medios para ejercer los derechos; y celebrar un acuerdo conforme al artículo 28 para las operaciones confiadas a un encargado del tratamiento. La información, la consulta o la validación humana no bastan para que un tratamiento sea lícito. El consentimiento de los empleados debe examinarse con prudencia dado el desequilibrio frente al empleador.</w:t>
      </w:r>
    </w:p>
    <w:p>
      <w:pPr>
        <w:pStyle w:val="BodyText"/>
      </w:pPr>
      <w:r>
        <w:rPr>
          <w:lang w:val="es-ES"/>
        </w:rPr>
        <w:t xml:space="preserve">Si se tratan categorías especiales de datos, debe identificarse una condición aplicable del artículo 9 además de la base del artículo 6. Una comparación vocal destinada a la identificación unívoca debe analizarse en relación con la biometría, incluso sin una plantilla persistente. Debe realizarse una evaluación de impacto antes de los tratamientos que puedan entrañar un alto riesgo y siguen siendo aplicables las normas de consulta previa a la autoridad cuando se cumplan las condiciones del artículo 36. Ni el alojamiento local ni un anexo contractual eximen de este análisis.</w:t>
      </w:r>
    </w:p>
    <w:p>
      <w:pPr>
        <w:pStyle w:val="BodyText"/>
      </w:pPr>
      <w:r>
        <w:rPr>
          <w:lang w:val="es-ES"/>
        </w:rPr>
        <w:t xml:space="preserve">La autoridad competente depende de las normas del RGPD, en particular en los tratamientos transfronterizos; no depende del idioma elegido. El encargado del tratamiento alerta al Cliente sin dilación indebida. El responsable notifica a la autoridad competente en las condiciones del artículo 33, de ser posible en las 72 horas siguientes a tener conocimiento de una violación, salvo que sea improbable que esta entrañe un riesgo para los derechos y libertades. La comunicación a los interesados está sujeta a las condiciones del artículo 34.</w:t>
      </w:r>
    </w:p>
    <w:p>
      <w:pPr>
        <w:pStyle w:val="BodyText"/>
      </w:pPr>
      <w:r>
        <w:rPr>
          <w:lang w:val="es-ES"/>
        </w:rPr>
        <w:t xml:space="preserve">Fuentes europeas https://eur-lex.europa.eu/eli/reg/2016/679/oj y https://www.edpb.europa.eu/documents/guideline/guidelines-052020-on-consent-under-regulation-2016679_en</w:t>
      </w:r>
    </w:p>
    <w:p>
      <w:pPr>
        <w:pStyle w:val="Heading2"/>
        <w:keepNext/>
        <w:keepLines/>
      </w:pPr>
      <w:r>
        <w:rPr>
          <w:lang w:val="es-ES"/>
          <w:color w:val="000000"/>
        </w:rPr>
        <w:t xml:space="preserve">Francia</w:t>
      </w:r>
    </w:p>
    <w:p>
      <w:pPr>
        <w:pStyle w:val="BodyText"/>
      </w:pPr>
      <w:r>
        <w:rPr>
          <w:lang w:val="es-ES"/>
        </w:rPr>
        <w:t xml:space="preserve">Para un despliegue en Francia, determinar las obligaciones de información a los empleados y de consulta previa al CSE según el dispositivo, la plantilla y el ámbito legal aplicable. El Code du travail francés contempla, en particular, las técnicas que permiten controlar la actividad, aunque el producto se presente como una ayuda a la redacción. La información y la consulta no sustituyen el análisis de licitud, necesidad y proporcionalidad ni las normas específicas sobre conversaciones privadas, datos sensibles y confidencialidad. La CNIL es la autoridad nacional, sin perjuicio de las normas de competencia del RGPD.</w:t>
      </w:r>
    </w:p>
    <w:p>
      <w:pPr>
        <w:pStyle w:val="BodyText"/>
      </w:pPr>
      <w:r>
        <w:rPr>
          <w:lang w:val="es-ES"/>
        </w:rPr>
        <w:t xml:space="preserve">Fuentes de Francia Code du travail, artículos L1222-4 y L2312-38 https://www.legifrance.gouv.fr/codes/article_lc/LEGIARTI000006900861 y https://www.legifrance.gouv.fr/codes/section_lc/LEGITEXT000006072050/LEGISCTA000035610273/</w:t>
      </w:r>
    </w:p>
    <w:p>
      <w:pPr>
        <w:pStyle w:val="Heading2"/>
        <w:keepNext/>
        <w:keepLines/>
      </w:pPr>
      <w:r>
        <w:rPr>
          <w:lang w:val="es-ES"/>
          <w:color w:val="000000"/>
        </w:rPr>
        <w:t xml:space="preserve">Irlanda</w:t>
      </w:r>
    </w:p>
    <w:p>
      <w:pPr>
        <w:pStyle w:val="BodyText"/>
      </w:pPr>
      <w:r>
        <w:rPr>
          <w:lang w:val="es-ES"/>
        </w:rPr>
        <w:t xml:space="preserve">Para un despliegue en Irlanda, aplicar el RGPD y el marco nacional; documentar la base jurídica e informar a los participantes antes de la grabación. Examinar las obligaciones de información y consulta a los empleados según el ámbito, la plantilla, los convenios colectivos y los mecanismos existentes. El régimen irlandés no equivale al CSE francés ni establece una consulta idéntica para todos los empleadores. La Data Protection Commission es la autoridad nacional, sin perjuicio de las normas de competencia transfronteriza.</w:t>
      </w:r>
    </w:p>
    <w:p>
      <w:pPr>
        <w:pStyle w:val="BodyText"/>
      </w:pPr>
      <w:r>
        <w:rPr>
          <w:lang w:val="es-ES"/>
        </w:rPr>
        <w:t xml:space="preserve">Fuentes de Irlanda https://www.dataprotection.ie/en/dpc-guidance/video-recording y Employees Provision of Information and Consultation Act 2006 https://www.irishstatutebook.ie/eli/2006/act/9/enacted/en/print</w:t>
      </w:r>
    </w:p>
    <w:p>
      <w:pPr>
        <w:pStyle w:val="Heading2"/>
        <w:keepNext/>
        <w:keepLines/>
      </w:pPr>
      <w:r>
        <w:rPr>
          <w:lang w:val="es-ES"/>
          <w:color w:val="000000"/>
        </w:rPr>
        <w:t xml:space="preserve">Países Bajos</w:t>
      </w:r>
    </w:p>
    <w:p>
      <w:pPr>
        <w:pStyle w:val="BodyText"/>
      </w:pPr>
      <w:r>
        <w:rPr>
          <w:lang w:val="es-ES"/>
        </w:rPr>
        <w:t xml:space="preserve">Para un despliegue en los Países Bajos, examinar las competencias del ondernemingsraad u OR. Un dispositivo que pueda permitir el seguimiento de la presencia, el comportamiento o el rendimiento puede estar sujeto a su derecho de aprobación previa conforme a la Wet op de ondernemingsraden, aunque todavía no se utilice con ese fin. La aprobación del OR no sustituye la base jurídica del tratamiento ni las condiciones aplicables a la biometría y a los datos sensibles. La Autoriteit Persoonsgegevens es la autoridad nacional, sin perjuicio de las normas de competencia del RGPD.</w:t>
      </w:r>
    </w:p>
    <w:p>
      <w:pPr>
        <w:pStyle w:val="BodyText"/>
      </w:pPr>
      <w:r>
        <w:rPr>
          <w:lang w:val="es-ES"/>
        </w:rPr>
        <w:t xml:space="preserve">Fuente de los Países Bajos Autoriteit Persoonsgegevens https://autoriteitpersoonsgegevens.nl/en/themes/employment-and-benefits/works-council/the-works-council-and-staff-tracking-systems</w:t>
      </w:r>
    </w:p>
    <w:p>
      <w:pPr>
        <w:pStyle w:val="Heading2"/>
        <w:keepNext/>
        <w:keepLines/>
      </w:pPr>
      <w:r>
        <w:rPr>
          <w:lang w:val="es-ES"/>
          <w:color w:val="000000"/>
        </w:rPr>
        <w:t xml:space="preserve">España</w:t>
      </w:r>
    </w:p>
    <w:p>
      <w:pPr>
        <w:pStyle w:val="BodyText"/>
      </w:pPr>
      <w:r>
        <w:rPr>
          <w:lang w:val="es-ES"/>
        </w:rPr>
        <w:t xml:space="preserve">Para un despliegue en España, distinguir la transcripción de reuniones del uso de dispositivos de vigilancia sonora. Dentro del ámbito del artículo 89 de la Ley Orgánica 3/2018, la grabación de sonidos en el trabajo está estrictamente limitada a determinados riesgos de seguridad, con proporcionalidad, intervención mínima y garantías; los espacios de descanso están protegidos. Examinar los derechos de información y consulta de los representantes y los acuerdos aplicables. Estas disposiciones no deben extenderse sin análisis a cualquier reunión puntual y el acuerdo de los participantes no constituye una autorización general. Identificar a la AEPD o a la autoridad autonómica competente según el tratamiento.</w:t>
      </w:r>
    </w:p>
    <w:p>
      <w:pPr>
        <w:pStyle w:val="BodyText"/>
      </w:pPr>
      <w:r>
        <w:rPr>
          <w:lang w:val="es-ES"/>
        </w:rPr>
        <w:t xml:space="preserve">Fuentes de España Ley Orgánica 3/2018, artículo 89 https://www.boe.es/buscar/act.php?id=BOE-A-2018-16673#a89 y Estatuto de los Trabajadores, artículo 64 https://www.boe.es/buscar/act.php?id=BOE-A-2015-11430#a64</w:t>
      </w:r>
    </w:p>
    <w:p>
      <w:pPr>
        <w:pStyle w:val="Heading2"/>
        <w:keepNext/>
        <w:keepLines/>
      </w:pPr>
      <w:r>
        <w:rPr>
          <w:lang w:val="es-ES"/>
          <w:color w:val="000000"/>
        </w:rPr>
        <w:t xml:space="preserve">Portugal</w:t>
      </w:r>
    </w:p>
    <w:p>
      <w:pPr>
        <w:pStyle w:val="BodyText"/>
      </w:pPr>
      <w:r>
        <w:rPr>
          <w:lang w:val="es-ES"/>
        </w:rPr>
        <w:t xml:space="preserve">Para un despliegue en Portugal, examinar el Código do Trabalho, la Lei 58/2019 y las normas aplicables al dispositivo concreto. Está prohibida la vigilancia a distancia destinada a controlar el rendimiento profesional. La captación de sonidos mediante un dispositivo de videovigilancia está sujeta a restricciones específicas; esta norma no significa que toda grabación de reuniones esté prohibida ni que esté siempre autorizada. Determinar las obligaciones frente a los trabajadores y sus representantes antes de la puesta en servicio. La Comissão Nacional de Proteção de Dados es la autoridad nacional, sin perjuicio de las normas de competencia del RGPD.</w:t>
      </w:r>
    </w:p>
    <w:p>
      <w:pPr>
        <w:pStyle w:val="BodyText"/>
      </w:pPr>
      <w:r>
        <w:rPr>
          <w:lang w:val="es-ES"/>
        </w:rPr>
        <w:t xml:space="preserve">Fuentes de Portugal Código do Trabalho, artículos 20 y 21 https://diariodarepublica.pt/dr/legislacao-consolidada/lei/2009-34546475-211441911 y CNPD https://www.cnpd.pt/organizacoes/areas-tematicas/videovigilancia/</w:t>
      </w:r>
    </w:p>
    <w:p>
      <w:pPr>
        <w:pStyle w:val="Heading2"/>
        <w:keepNext/>
        <w:keepLines/>
      </w:pPr>
      <w:r>
        <w:rPr>
          <w:lang w:val="es-ES"/>
          <w:color w:val="000000"/>
        </w:rPr>
        <w:t xml:space="preserve">Marcos franceses y compromisos del proyecto</w:t>
      </w:r>
    </w:p>
    <w:p>
      <w:pPr>
        <w:pStyle w:val="BodyText"/>
      </w:pPr>
      <w:r>
        <w:rPr>
          <w:lang w:val="es-ES"/>
        </w:rPr>
        <w:t xml:space="preserve">Los términos CSE, CGCT, HDS, SecNumCloud, ANSSI y RGAA designan instituciones, normas o marcos franceses. No acreditan una certificación de TranscribIA ni el cumplimiento automático de un marco extranjero. Los importes y mecanismos de pago de las condiciones generales de venta, incluida la remisión al Code de commerce francés, deben articularse con el Derecho elegido, la condición del Cliente y las normas imperativas aplicables; no deben presentarse como una reproducción de cada Derecho nacional. Las modalidades aplicables a la contratación pública, los consumidores y los sectores regulados deben precisarse por separado cuando proceda.</w:t>
      </w:r>
    </w:p>
    <w:p>
      <w:pPr>
        <w:pStyle w:val="BodyText"/>
      </w:pPr>
      <w:r>
        <w:rPr>
          <w:lang w:val="es-ES"/>
        </w:rPr>
        <w:t xml:space="preserve">Antes de firmar, completar y verificar los anexos del proyecto relativos a las partes, la configuración SaaS o local, los lugares de tratamiento y acceso, los subencargados del tratamiento, las transferencias, las medidas de seguridad efectivas, la conservación y los niveles de servicio. Este anexo no acredita que una medida técnica ya esté desplegada ni sustituye los compromisos particulares acordados. Los regímenes británicos, belgas y de los demás países no están cubiertos por estas notas nacionales; requieren una adaptación específica.</w:t>
      </w:r>
    </w:p>
    <w:p>
      <w:pPr>
        <w:pStyle w:val="BodyText"/>
      </w:pPr>
      <w:r>
        <w:rPr>
          <w:lang w:val="es-ES"/>
        </w:rPr>
        <w:t xml:space="preserve">Las capturas de interfaz y los ejemplos tomados de la aplicación pueden permanecer en francés. Se traducen las explicaciones y los pies de figura de la documentación; los comandos, nombres de archivos, identificadores técnicos y referencias documentales deben conservarse idénticos.</w:t>
      </w:r>
    </w:p>
    <w:p>
      <w:pPr>
        <w:pStyle w:val="Heading1"/>
        <w:keepNext/>
        <w:keepLines/>
      </w:pPr>
      <w:r>
        <w:rPr>
          <w:lang w:val="es-ES"/>
          <w:color w:val="000000"/>
        </w:rPr>
        <w:t>Historial de esta edición</w:t>
      </w:r>
    </w:p>
    <w:p>
      <w:pPr>
        <w:pStyle w:val="BodyText"/>
      </w:pPr>
      <w:r>
        <w:rPr>
          <w:lang w:val="es-ES"/>
        </w:rPr>
        <w:t>1.1 — 2026-10-17</w:t>
      </w:r>
    </w:p>
    <w:p>
      <w:pPr>
        <w:pStyle w:val="BodyText"/>
      </w:pPr>
      <w:r>
        <w:rPr>
          <w:lang w:val="es-ES"/>
        </w:rPr>
        <w:t>Edición multilingüe y correcciones documentales. Se conservan las versiones anteriores y sus fechas. El texto francés prevalece; las traducciones facilitan la lectura y no modifican las partes ni la ley aplicable.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6">
    <w:abstractNumId w:val="991"/>
  </w:num>
  <w:num w:numId="1027">
    <w:abstractNumId w:val="991"/>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0">
    <w:abstractNumId w:val="991"/>
  </w:num>
  <w:num w:numId="1041">
    <w:abstractNumId w:val="991"/>
  </w:num>
  <w:num w:numId="1042">
    <w:abstractNumId w:val="991"/>
  </w:num>
  <w:num w:numId="1043">
    <w:abstractNumId w:val="991"/>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s-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6" Target="media/rId56.png" /><Relationship Type="http://schemas.openxmlformats.org/officeDocument/2006/relationships/image" Id="rId73" Target="media/rId73.png" /><Relationship Type="http://schemas.openxmlformats.org/officeDocument/2006/relationships/hyperlink" Id="rId49" Target="mailto:olivier@ambassadia.com" TargetMode="External" /><Relationship Type="http://schemas.openxmlformats.org/officeDocument/2006/relationships/hyperlink" Id="rId9" Target="mailto:privacy@transcribia.eu" TargetMode="External" /></Relationships>
</file>

<file path=word/_rels/footnotes.xml.rels><?xml version="1.0" encoding="UTF-8"?><Relationships xmlns="http://schemas.openxmlformats.org/package/2006/relationships"><Relationship Type="http://schemas.openxmlformats.org/officeDocument/2006/relationships/hyperlink" Id="rId49" Target="mailto:olivier@ambassadia.com" TargetMode="External" /><Relationship Type="http://schemas.openxmlformats.org/officeDocument/2006/relationships/hyperlink" Id="rId9" Target="mailto:privacy@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2026-07-25T09:45:14Z</dcterms:created>
  <dcterms:modified xsi:type="dcterms:W3CDTF">2026-07-25T09:45:14Z</dcterms:modified>
</cp:coreProperties>
</file>

<file path=docProps/custom.xml><?xml version="1.0" encoding="utf-8"?>
<Properties xmlns="http://schemas.openxmlformats.org/officeDocument/2006/custom-properties" xmlns:vt="http://schemas.openxmlformats.org/officeDocument/2006/docPropsVTypes"/>
</file>