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1b1b5836544e95e7ba683b8f0eb4f65bf553171"/>
    <w:p>
      <w:pPr>
        <w:pStyle w:val="Title"/>
        <w:keepNext/>
        <w:keepLines/>
      </w:pPr>
      <w:r>
        <w:rPr>
          <w:color w:val="000000"/>
          <w:lang w:val="fr-FR"/>
        </w:rPr>
        <w:t xml:space="preserve">Attestation de confidentialité et de non-réutilisation des données — TranscribIA</w:t>
      </w:r>
    </w:p>
    <w:p>
      <w:pPr>
        <w:pStyle w:val="BodyText"/>
      </w:pPr>
      <w:r>
        <w:rPr>
          <w:lang w:val="fr-FR"/>
        </w:rPr>
        <w:t xml:space="preserve">Édition localisée v1.1 — 2026-10-17</w:t>
      </w:r>
    </w:p>
    <w:p>
      <w:pPr>
        <w:pStyle w:val="BodyText"/>
      </w:pPr>
      <w:r>
        <w:rPr>
          <w:lang w:val="fr-FR"/>
        </w:rPr>
        <w:t xml:space="preserve">Le texte français fait foi. Cette édition couvre la France, l’Irlande, les Pays-Bas, l’Espagne et le Portugal. La langue ne choisit ni le pays de déploiement, ni les parties, ni le droit applicable. Lire l’annexe nationale à la fin du document selon le pays et l’usage réels.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TRB-CONF-01.05</w:t>
            </w:r>
          </w:p>
        </w:tc>
      </w:tr>
      <w:tr>
        <w:trPr>
          <w:cantSplit/>
        </w:trPr>
        <w:tc>
          <w:tcPr/>
          <w:p>
            <w:pPr>
              <w:pStyle w:val="Compact"/>
            </w:pPr>
            <w:r>
              <w:rPr>
                <w:lang w:val="fr-FR"/>
              </w:rPr>
              <w:t xml:space="preserve">Version</w:t>
            </w:r>
          </w:p>
        </w:tc>
        <w:tc>
          <w:tcPr/>
          <w:p>
            <w:pPr>
              <w:pStyle w:val="Compact"/>
            </w:pPr>
            <w:r>
              <w:rPr>
                <w:lang w:val="fr-FR"/>
              </w:rPr>
              <w:t xml:space="preserve">1.0</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Classification</w:t>
            </w:r>
          </w:p>
        </w:tc>
        <w:tc>
          <w:tcPr/>
          <w:p>
            <w:pPr>
              <w:pStyle w:val="Compact"/>
            </w:pPr>
            <w:r>
              <w:rPr>
                <w:lang w:val="fr-FR"/>
              </w:rPr>
              <w:t xml:space="preserve">Public — document type, précisé lors de chaque contractualisation</w:t>
            </w:r>
          </w:p>
        </w:tc>
      </w:tr>
    </w:tbl>
    <w:bookmarkStart w:id="9" w:name="X911dca219555f1a78d100c92819cb03dc37c622"/>
    <w:p>
      <w:pPr>
        <w:pStyle w:val="Heading2"/>
        <w:keepNext/>
        <w:keepLines/>
      </w:pPr>
      <w:r>
        <w:rPr>
          <w:color w:val="000000"/>
          <w:lang w:val="fr-FR"/>
        </w:rPr>
        <w:t xml:space="preserve">1. Objet et périmètre de l'attestation</w:t>
      </w:r>
    </w:p>
    <w:p>
      <w:pPr>
        <w:pStyle w:val="FirstParagraph"/>
      </w:pPr>
      <w:r>
        <w:rPr>
          <w:lang w:val="fr-FR"/>
        </w:rPr>
        <w:t xml:space="preserve">La présente attestation est établie par OHADJA, éditeur et fournisseur de la solution TranscribIA, à la demande de son client, aux fins de confirmer par écrit les garanties de confidentialité et de non-réutilisation des données applicables à un déploiement en</w:t>
      </w:r>
      <w:r>
        <w:rPr>
          <w:lang w:val="fr-FR"/>
        </w:rPr>
        <w:t xml:space="preserve"> </w:t>
      </w:r>
      <w:r>
        <w:rPr>
          <w:b/>
          <w:bCs/>
          <w:lang w:val="fr-FR"/>
        </w:rPr>
        <w:t xml:space="preserve">Option B — on-premise isolé</w:t>
      </w:r>
      <w:r>
        <w:rPr>
          <w:lang w:val="fr-FR"/>
        </w:rPr>
        <w:t xml:space="preserve">.</w:t>
      </w:r>
    </w:p>
    <w:p>
      <w:pPr>
        <w:pStyle w:val="BodyText"/>
      </w:pPr>
      <w:r>
        <w:rPr>
          <w:b/>
          <w:bCs/>
          <w:lang w:val="fr-FR"/>
        </w:rPr>
        <w:t xml:space="preserve">Périmètre couvert.</w:t>
      </w:r>
      <w:r>
        <w:rPr>
          <w:lang w:val="fr-FR"/>
        </w:rPr>
        <w:t xml:space="preserve"> </w:t>
      </w:r>
      <w:r>
        <w:rPr>
          <w:lang w:val="fr-FR"/>
        </w:rPr>
        <w:t xml:space="preserve">L'attestation figurant à la section 2 vaut exclusivement pour un déploiement de TranscribIA en</w:t>
      </w:r>
      <w:r>
        <w:rPr>
          <w:lang w:val="fr-FR"/>
        </w:rPr>
        <w:t xml:space="preserve"> </w:t>
      </w:r>
      <w:r>
        <w:rPr>
          <w:b/>
          <w:bCs/>
          <w:lang w:val="fr-FR"/>
        </w:rPr>
        <w:t xml:space="preserve">Option B on-premise isolée</w:t>
      </w:r>
      <w:r>
        <w:rPr>
          <w:lang w:val="fr-FR"/>
        </w:rPr>
        <w:t xml:space="preserve">, c'est-à-dire une installation dans laquelle l'intégralité des composants de la solution (application, base de données, worker de transcription GPU, modèle d'intelligence artificielle auto-hébergé) s'exécute dans l'infrastructure du client, sans flux sortant requis pour le fonctionnement nominal.</w:t>
      </w:r>
    </w:p>
    <w:p>
      <w:pPr>
        <w:pStyle w:val="BodyText"/>
      </w:pPr>
      <w:r>
        <w:rPr>
          <w:b/>
          <w:bCs/>
          <w:lang w:val="fr-FR"/>
        </w:rPr>
        <w:t xml:space="preserve">Exclusions et réserves.</w:t>
      </w:r>
      <w:r>
        <w:rPr>
          <w:lang w:val="fr-FR"/>
        </w:rPr>
        <w:t xml:space="preserve"> </w:t>
      </w:r>
      <w:r>
        <w:rPr>
          <w:lang w:val="fr-FR"/>
        </w:rPr>
        <w:t xml:space="preserve">L'attestation ne couvre pas :</w:t>
      </w:r>
    </w:p>
    <w:p>
      <w:pPr>
        <w:pStyle w:val="Compact"/>
        <w:numPr>
          <w:ilvl w:val="0"/>
          <w:numId w:val="1001"/>
        </w:numPr>
      </w:pPr>
      <w:r>
        <w:rPr>
          <w:lang w:val="fr-FR"/>
        </w:rPr>
        <w:t xml:space="preserve">les opérations réalisées par le client lui-même sur son infrastructure (hébergement, administration système, sécurité réseau, sauvegardes, supervision), qui relèvent de sa responsabilité ;</w:t>
      </w:r>
    </w:p>
    <w:p>
      <w:pPr>
        <w:pStyle w:val="Compact"/>
        <w:numPr>
          <w:ilvl w:val="0"/>
          <w:numId w:val="1001"/>
        </w:numPr>
      </w:pPr>
      <w:r>
        <w:rPr>
          <w:lang w:val="fr-FR"/>
        </w:rPr>
        <w:t xml:space="preserve">toute activation, par le client, d'une fonction impliquant un flux sortant (par exemple recours à un modèle d'IA distant ou à une ressource GPU externe), qui ferait sortir le déploiement du périmètre « isolé » ;</w:t>
      </w:r>
    </w:p>
    <w:p>
      <w:pPr>
        <w:pStyle w:val="Compact"/>
        <w:numPr>
          <w:ilvl w:val="0"/>
          <w:numId w:val="1001"/>
        </w:numPr>
      </w:pPr>
      <w:r>
        <w:rPr>
          <w:lang w:val="fr-FR"/>
        </w:rPr>
        <w:t xml:space="preserve">le support à distance, qui n'a lieu que</w:t>
      </w:r>
      <w:r>
        <w:rPr>
          <w:lang w:val="fr-FR"/>
        </w:rPr>
        <w:t xml:space="preserve"> </w:t>
      </w:r>
      <w:r>
        <w:rPr>
          <w:b/>
          <w:bCs/>
          <w:lang w:val="fr-FR"/>
        </w:rPr>
        <w:t xml:space="preserve">sur autorisation expresse et préalable du client, dans le cadre d'une session supervisée</w:t>
      </w:r>
      <w:r>
        <w:rPr>
          <w:lang w:val="fr-FR"/>
        </w:rPr>
        <w:t xml:space="preserve"> </w:t>
      </w:r>
      <w:r>
        <w:rPr>
          <w:lang w:val="fr-FR"/>
        </w:rPr>
        <w:t xml:space="preserve">par le client,</w:t>
      </w:r>
      <w:r>
        <w:rPr>
          <w:lang w:val="fr-FR"/>
        </w:rPr>
        <w:t xml:space="preserve"> </w:t>
      </w:r>
      <w:r>
        <w:rPr>
          <w:b/>
          <w:bCs/>
          <w:lang w:val="fr-FR"/>
        </w:rPr>
        <w:t xml:space="preserve">réalisé exclusivement depuis la France ou l'Union européenne</w:t>
      </w:r>
      <w:r>
        <w:rPr>
          <w:lang w:val="fr-FR"/>
        </w:rPr>
        <w:t xml:space="preserve">, sans copie locale des données de production, et dont chaque intervention est journalisée.</w:t>
      </w:r>
    </w:p>
    <w:p>
      <w:pPr>
        <w:pStyle w:val="FirstParagraph"/>
      </w:pPr>
      <w:r>
        <w:rPr>
          <w:lang w:val="fr-FR"/>
        </w:rPr>
        <w:t xml:space="preserve">Toute intervention en dehors de ce périmètre fait l'objet d'un accord spécifique et n'est pas couverte par la présente attestation.</w:t>
      </w:r>
    </w:p>
    <w:bookmarkEnd w:id="9"/>
    <w:bookmarkStart w:id="10" w:name="Xedb769931442d0b50170f248284f489fa6faaa2"/>
    <w:p>
      <w:pPr>
        <w:pStyle w:val="Heading2"/>
        <w:keepNext/>
        <w:keepLines/>
      </w:pPr>
      <w:r>
        <w:rPr>
          <w:color w:val="000000"/>
          <w:lang w:val="fr-FR"/>
        </w:rPr>
        <w:t xml:space="preserve">2. Attestation — Option B on-premise isolée</w:t>
      </w:r>
    </w:p>
    <w:p>
      <w:pPr>
        <w:pStyle w:val="FirstParagraph"/>
      </w:pPr>
      <w:r>
        <w:rPr>
          <w:lang w:val="fr-FR"/>
        </w:rPr>
        <w:t xml:space="preserve">Je soussigné, Olivier Dupont, agissant en qualité de Président et représentant OHADJA, atteste, pour un déploiement de la solution TranscribIA en Option B on-premise isolée tel que défini à la section 1 :</w:t>
      </w:r>
    </w:p>
    <w:p>
      <w:pPr>
        <w:numPr>
          <w:ilvl w:val="0"/>
          <w:numId w:val="1002"/>
        </w:numPr>
      </w:pPr>
      <w:r>
        <w:rPr>
          <w:b/>
          <w:bCs/>
          <w:lang w:val="fr-FR"/>
        </w:rPr>
        <w:t xml:space="preserve">Aucune donnée envoyée dans le cloud.</w:t>
      </w:r>
      <w:r>
        <w:rPr>
          <w:lang w:val="fr-FR"/>
        </w:rPr>
        <w:t xml:space="preserve"> </w:t>
      </w:r>
      <w:r>
        <w:rPr>
          <w:lang w:val="fr-FR"/>
        </w:rPr>
        <w:t xml:space="preserve">Aucune donnée du client (fichiers audio, transcriptions, documents, métadonnées, comptes utilisateurs, générations) n'est transmise vers un service cloud externe ou un tiers pour le fonctionnement nominal de la solution. L'ensemble des traitements, y compris la transcription, la diarisation et l'exploitation par intelligence artificielle, s'exécute sur des composants hébergés dans l'infrastructure du client.</w:t>
      </w:r>
    </w:p>
    <w:p>
      <w:pPr>
        <w:numPr>
          <w:ilvl w:val="0"/>
          <w:numId w:val="1002"/>
        </w:numPr>
      </w:pPr>
      <w:r>
        <w:rPr>
          <w:b/>
          <w:bCs/>
          <w:lang w:val="fr-FR"/>
        </w:rPr>
        <w:t xml:space="preserve">Aucune donnée client utilisée pour entraîner des modèles.</w:t>
      </w:r>
      <w:r>
        <w:rPr>
          <w:lang w:val="fr-FR"/>
        </w:rPr>
        <w:t xml:space="preserve"> </w:t>
      </w:r>
      <w:r>
        <w:rPr>
          <w:lang w:val="fr-FR"/>
        </w:rPr>
        <w:t xml:space="preserve">Aucune donnée du client n'est utilisée par OHADJA pour entraîner, ré-entraîner, affiner ou évaluer un modèle, qu'il s'agisse de modèles de transcription, de diarisation, d'intelligence artificielle ou de corrélation vocale.</w:t>
      </w:r>
    </w:p>
    <w:p>
      <w:pPr>
        <w:numPr>
          <w:ilvl w:val="0"/>
          <w:numId w:val="1002"/>
        </w:numPr>
      </w:pPr>
      <w:r>
        <w:rPr>
          <w:b/>
          <w:bCs/>
          <w:lang w:val="fr-FR"/>
        </w:rPr>
        <w:t xml:space="preserve">Aucune réutilisation des données par le prestataire.</w:t>
      </w:r>
      <w:r>
        <w:rPr>
          <w:lang w:val="fr-FR"/>
        </w:rPr>
        <w:t xml:space="preserve"> </w:t>
      </w:r>
      <w:r>
        <w:rPr>
          <w:lang w:val="fr-FR"/>
        </w:rPr>
        <w:t xml:space="preserve">OHADJA ne réutilise les données du client à aucune fin propre. Les données sont traitées uniquement pour le compte du client, dans le cadre de la fourniture de la solution et des instructions documentées du client.</w:t>
      </w:r>
    </w:p>
    <w:p>
      <w:pPr>
        <w:numPr>
          <w:ilvl w:val="0"/>
          <w:numId w:val="1002"/>
        </w:numPr>
      </w:pPr>
      <w:r>
        <w:rPr>
          <w:b/>
          <w:bCs/>
          <w:lang w:val="fr-FR"/>
        </w:rPr>
        <w:t xml:space="preserve">Toutes les données restent hébergées dans l'infrastructure du client.</w:t>
      </w:r>
      <w:r>
        <w:rPr>
          <w:lang w:val="fr-FR"/>
        </w:rPr>
        <w:t xml:space="preserve"> </w:t>
      </w:r>
      <w:r>
        <w:rPr>
          <w:lang w:val="fr-FR"/>
        </w:rPr>
        <w:t xml:space="preserve">L'intégralité des données traitées demeure stockée et hébergée dans l'infrastructure désignée par le client. OHADJA ne détient aucune copie des données de production du client.</w:t>
      </w:r>
    </w:p>
    <w:p>
      <w:pPr>
        <w:pStyle w:val="FirstParagraph"/>
      </w:pPr>
      <w:r>
        <w:rPr>
          <w:lang w:val="fr-FR"/>
        </w:rPr>
        <w:t xml:space="preserve">Cette attestation est donnée de bonne foi sur la base du périmètre on-premise isolé convenu. Avant signature, le déploiement effectif, les flux sortants, les dépendances distantes et les accès de maintenance doivent être vérifiés et documentés. L’attestation est subordonnée au maintien de ce périmètre et à l’absence d’activation d’options impliquant des flux externes. Elle ne constitue pas une certification ni une autorisation générale de traiter des données personnelles.</w:t>
      </w:r>
    </w:p>
    <w:bookmarkEnd w:id="10"/>
    <w:bookmarkStart w:id="11" w:name="Xd34e22c39898983bff1130fe82c10f2b73dc6cb"/>
    <w:p>
      <w:pPr>
        <w:pStyle w:val="Heading2"/>
        <w:keepNext/>
        <w:keepLines/>
      </w:pPr>
      <w:r>
        <w:rPr>
          <w:color w:val="000000"/>
          <w:lang w:val="fr-FR"/>
        </w:rPr>
        <w:t xml:space="preserve">3. Variante — Option A SaaS souverain</w:t>
      </w:r>
    </w:p>
    <w:p>
      <w:pPr>
        <w:pStyle w:val="FirstParagraph"/>
      </w:pPr>
      <w:r>
        <w:rPr>
          <w:lang w:val="fr-FR"/>
        </w:rPr>
        <w:t xml:space="preserve">Lorsque la solution est fournie en</w:t>
      </w:r>
      <w:r>
        <w:rPr>
          <w:lang w:val="fr-FR"/>
        </w:rPr>
        <w:t xml:space="preserve"> </w:t>
      </w:r>
      <w:r>
        <w:rPr>
          <w:b/>
          <w:bCs/>
          <w:lang w:val="fr-FR"/>
        </w:rPr>
        <w:t xml:space="preserve">Option A — SaaS souverain</w:t>
      </w:r>
      <w:r>
        <w:rPr>
          <w:lang w:val="fr-FR"/>
        </w:rPr>
        <w:t xml:space="preserve">, l'attestation d'isolation totale de la section 2 ne s'applique pas, la solution étant hébergée et exploitée par OHADJA. Les garanties suivantes demeurent néanmoins applicables :</w:t>
      </w:r>
    </w:p>
    <w:p>
      <w:pPr>
        <w:pStyle w:val="Compact"/>
        <w:numPr>
          <w:ilvl w:val="0"/>
          <w:numId w:val="1003"/>
        </w:numPr>
      </w:pPr>
      <w:r>
        <w:rPr>
          <w:b/>
          <w:bCs/>
          <w:lang w:val="fr-FR"/>
        </w:rPr>
        <w:t xml:space="preserve">Non-entraînement (point 2 ci-dessus)</w:t>
      </w:r>
      <w:r>
        <w:rPr>
          <w:lang w:val="fr-FR"/>
        </w:rPr>
        <w:t xml:space="preserve"> </w:t>
      </w:r>
      <w:r>
        <w:rPr>
          <w:lang w:val="fr-FR"/>
        </w:rPr>
        <w:t xml:space="preserve">: aucune donnée du client n'est utilisée pour entraîner des modèles.</w:t>
      </w:r>
    </w:p>
    <w:p>
      <w:pPr>
        <w:pStyle w:val="Compact"/>
        <w:numPr>
          <w:ilvl w:val="0"/>
          <w:numId w:val="1003"/>
        </w:numPr>
      </w:pPr>
      <w:r>
        <w:rPr>
          <w:b/>
          <w:bCs/>
          <w:lang w:val="fr-FR"/>
        </w:rPr>
        <w:t xml:space="preserve">Non-réutilisation (point 3 ci-dessus)</w:t>
      </w:r>
      <w:r>
        <w:rPr>
          <w:lang w:val="fr-FR"/>
        </w:rPr>
        <w:t xml:space="preserve"> </w:t>
      </w:r>
      <w:r>
        <w:rPr>
          <w:lang w:val="fr-FR"/>
        </w:rPr>
        <w:t xml:space="preserve">: OHADJA ne réutilise pas les données du client à ses propres fins.</w:t>
      </w:r>
    </w:p>
    <w:p>
      <w:pPr>
        <w:pStyle w:val="Compact"/>
        <w:numPr>
          <w:ilvl w:val="0"/>
          <w:numId w:val="1003"/>
        </w:numPr>
      </w:pPr>
      <w:r>
        <w:rPr>
          <w:b/>
          <w:bCs/>
          <w:lang w:val="fr-FR"/>
        </w:rPr>
        <w:t xml:space="preserve">Hébergement France/UE</w:t>
      </w:r>
      <w:r>
        <w:rPr>
          <w:lang w:val="fr-FR"/>
        </w:rPr>
        <w:t xml:space="preserve"> </w:t>
      </w:r>
      <w:r>
        <w:rPr>
          <w:lang w:val="fr-FR"/>
        </w:rPr>
        <w:t xml:space="preserve">: les données de production sont hébergées en France (datacenter de Strasbourg) et les sauvegardes chiffrées sont stockées en France (Scaleway).</w:t>
      </w:r>
    </w:p>
    <w:p>
      <w:pPr>
        <w:pStyle w:val="Compact"/>
        <w:numPr>
          <w:ilvl w:val="0"/>
          <w:numId w:val="1003"/>
        </w:numPr>
      </w:pPr>
      <w:r>
        <w:rPr>
          <w:b/>
          <w:bCs/>
          <w:lang w:val="fr-FR"/>
        </w:rPr>
        <w:t xml:space="preserve">Encadrement de l'IA</w:t>
      </w:r>
      <w:r>
        <w:rPr>
          <w:lang w:val="fr-FR"/>
        </w:rPr>
        <w:t xml:space="preserve"> </w:t>
      </w:r>
      <w:r>
        <w:rPr>
          <w:lang w:val="fr-FR"/>
        </w:rPr>
        <w:t xml:space="preserve">: les traitements d'intelligence artificielle opèrent sur les seules sources sélectionnées par le client, avec minimisation, sans entraînement sur les données et sans stockage durable chez les fournisseurs. Selon la configuration, un traitement hors EEE est possible ; il est alors encadré par les mécanismes du chapitre V du RGPD et détaillé au document TRB-CONF-01.04. Un profil « UE strict » permet d'exclure tout traitement hors EEE.</w:t>
      </w:r>
    </w:p>
    <w:p>
      <w:pPr>
        <w:pStyle w:val="FirstParagraph"/>
      </w:pPr>
      <w:r>
        <w:rPr>
          <w:lang w:val="fr-FR"/>
        </w:rPr>
        <w:t xml:space="preserve">La variante SaaS ne peut donc pas attester de l'absence de tout envoi de données hors de l'infrastructure d'OHADJA, contrairement à l'Option B isolée. Cette distinction est faite de manière transparente.</w:t>
      </w:r>
    </w:p>
    <w:bookmarkEnd w:id="11"/>
    <w:bookmarkStart w:id="12" w:name="Xf87c5737d18b8839b8ac13a17e1a029202535fd"/>
    <w:p>
      <w:pPr>
        <w:pStyle w:val="Heading2"/>
        <w:keepNext/>
        <w:keepLines/>
      </w:pPr>
      <w:r>
        <w:rPr>
          <w:color w:val="000000"/>
          <w:lang w:val="fr-FR"/>
        </w:rPr>
        <w:t xml:space="preserve">4. Portée juridique et vérification du périmètre</w:t>
      </w:r>
    </w:p>
    <w:p>
      <w:pPr>
        <w:pStyle w:val="FirstParagraph"/>
      </w:pPr>
      <w:r>
        <w:rPr>
          <w:lang w:val="fr-FR"/>
        </w:rPr>
        <w:t xml:space="preserve">La présente attestation complète, sans les remplacer, les engagements figurant à l'Accord de sous-traitance (document TRB-CONF-01.02) et au contrat principal. En cas de divergence, les stipulations du DPA et du contrat principal prévalent.</w:t>
      </w:r>
    </w:p>
    <w:bookmarkEnd w:id="12"/>
    <w:bookmarkStart w:id="13" w:name="X14bc5de1db413596a714c28200c343943188e49"/>
    <w:p>
      <w:pPr>
        <w:pStyle w:val="Heading2"/>
        <w:keepNext/>
        <w:keepLines/>
      </w:pPr>
      <w:r>
        <w:rPr>
          <w:color w:val="000000"/>
          <w:lang w:val="fr-FR"/>
        </w:rPr>
        <w:t xml:space="preserve">5. Signature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Fait à</w:t>
            </w:r>
          </w:p>
        </w:tc>
        <w:tc>
          <w:tcPr/>
          <w:p>
            <w:pPr>
              <w:pStyle w:val="Compact"/>
            </w:pPr>
            <w:r>
              <w:rPr>
                <w:lang w:val="fr-FR"/>
              </w:rPr>
              <w:t xml:space="preserve">[À COMPLÉTER : lieu]</w:t>
            </w:r>
          </w:p>
        </w:tc>
      </w:tr>
      <w:tr>
        <w:trPr>
          <w:cantSplit/>
        </w:trPr>
        <w:tc>
          <w:tcPr/>
          <w:p>
            <w:pPr>
              <w:pStyle w:val="Compact"/>
            </w:pPr>
            <w:r>
              <w:rPr>
                <w:lang w:val="fr-FR"/>
              </w:rPr>
              <w:t xml:space="preserve">Le</w:t>
            </w:r>
          </w:p>
        </w:tc>
        <w:tc>
          <w:tcPr/>
          <w:p>
            <w:pPr>
              <w:pStyle w:val="Compact"/>
            </w:pPr>
            <w:r>
              <w:rPr>
                <w:lang w:val="fr-FR"/>
              </w:rPr>
              <w:t xml:space="preserve">[À COMPLÉTER : date de signature]</w:t>
            </w:r>
          </w:p>
        </w:tc>
      </w:tr>
      <w:tr>
        <w:trPr>
          <w:cantSplit/>
        </w:trPr>
        <w:tc>
          <w:tcPr/>
          <w:p>
            <w:pPr>
              <w:pStyle w:val="Compact"/>
            </w:pPr>
            <w:r>
              <w:rPr>
                <w:lang w:val="fr-FR"/>
              </w:rPr>
              <w:t xml:space="preserve">Nom</w:t>
            </w:r>
          </w:p>
        </w:tc>
        <w:tc>
          <w:tcPr/>
          <w:p>
            <w:pPr>
              <w:pStyle w:val="Compact"/>
            </w:pPr>
            <w:r>
              <w:rPr>
                <w:lang w:val="fr-FR"/>
              </w:rPr>
              <w:t xml:space="preserve">Olivier Dupont</w:t>
            </w:r>
          </w:p>
        </w:tc>
      </w:tr>
      <w:tr>
        <w:trPr>
          <w:cantSplit/>
        </w:trPr>
        <w:tc>
          <w:tcPr/>
          <w:p>
            <w:pPr>
              <w:pStyle w:val="Compact"/>
            </w:pPr>
            <w:r>
              <w:rPr>
                <w:lang w:val="fr-FR"/>
              </w:rPr>
              <w:t xml:space="preserve">Qualité</w:t>
            </w:r>
          </w:p>
        </w:tc>
        <w:tc>
          <w:tcPr/>
          <w:p>
            <w:pPr>
              <w:pStyle w:val="Compact"/>
            </w:pPr>
            <w:r>
              <w:rPr>
                <w:lang w:val="fr-FR"/>
              </w:rPr>
              <w:t xml:space="preserve">Président</w:t>
            </w:r>
          </w:p>
        </w:tc>
      </w:tr>
      <w:tr>
        <w:trPr>
          <w:cantSplit/>
        </w:trPr>
        <w:tc>
          <w:tcPr/>
          <w:p>
            <w:pPr>
              <w:pStyle w:val="Compact"/>
            </w:pPr>
            <w:r>
              <w:rPr>
                <w:lang w:val="fr-FR"/>
              </w:rPr>
              <w:t xml:space="preserve">Signature</w:t>
            </w:r>
          </w:p>
        </w:tc>
        <w:tc>
          <w:tcPr/>
          <w:p>
            <w:pPr>
              <w:pStyle w:val="Compact"/>
            </w:pPr>
          </w:p>
        </w:tc>
      </w:tr>
      <w:tr>
        <w:trPr>
          <w:cantSplit/>
        </w:trPr>
        <w:tc>
          <w:tcPr/>
          <w:p>
            <w:pPr>
              <w:pStyle w:val="Compact"/>
            </w:pPr>
            <w:r>
              <w:rPr>
                <w:lang w:val="fr-FR"/>
              </w:rPr>
              <w:t xml:space="preserve">Cachet</w:t>
            </w:r>
          </w:p>
        </w:tc>
        <w:tc>
          <w:tcPr/>
          <w:p>
            <w:pPr>
              <w:pStyle w:val="Compact"/>
            </w:pPr>
          </w:p>
        </w:tc>
      </w:tr>
    </w:tbl>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bookmarkEnd w:id="13"/>
    <w:bookmarkEnd w:id="14"/>
    <w:p>
      <w:pPr>
        <w:pStyle w:val="Heading1"/>
        <w:pageBreakBefore/>
        <w:keepNext/>
        <w:keepLines/>
      </w:pPr>
      <w:r>
        <w:rPr>
          <w:lang w:val="fr-FR"/>
          <w:color w:val="000000"/>
        </w:rPr>
        <w:t xml:space="preserve">Annexe sur les règles nationales de déploiement</w:t>
      </w:r>
    </w:p>
    <w:p>
      <w:pPr>
        <w:pStyle w:val="Heading2"/>
        <w:keepNext/>
        <w:keepLines/>
      </w:pPr>
      <w:r>
        <w:rPr>
          <w:lang w:val="fr-FR"/>
          <w:color w:val="000000"/>
        </w:rPr>
        <w:t xml:space="preserve">Portée de cette annexe</w:t>
      </w:r>
    </w:p>
    <w:p>
      <w:pPr>
        <w:pStyle w:val="BodyText"/>
      </w:pPr>
      <w:r>
        <w:rPr>
          <w:lang w:val="fr-FR"/>
        </w:rPr>
        <w:t xml:space="preserve">Cette édition couvre le socle du RGPD de l’Union européenne et les points de déploiement ci-dessous pour la France, l’Irlande, les Pays-Bas, l’Espagne et le Portugal. Les notices doivent être lues selon le pays et l’usage réels du Client, quelle que soit la langue du document. Elles complètent les documents du projet sans modifier automatiquement l’identité des parties, le droit français choisi ou les juridictions désignées. Les règles impératives applicables au Client demeurent réservées. Les références nationales françaises du corps du document restent identifiées comme telles ; elles ne constituent pas une équivalence étrangère.</w:t>
      </w:r>
    </w:p>
    <w:p>
      <w:pPr>
        <w:pStyle w:val="Heading2"/>
        <w:keepNext/>
        <w:keepLines/>
      </w:pPr>
      <w:r>
        <w:rPr>
          <w:lang w:val="fr-FR"/>
          <w:color w:val="000000"/>
        </w:rPr>
        <w:t xml:space="preserve">Socle européen à documenter avant la mise en service</w:t>
      </w:r>
    </w:p>
    <w:p>
      <w:pPr>
        <w:pStyle w:val="BodyText"/>
      </w:pPr>
      <w:r>
        <w:rPr>
          <w:lang w:val="fr-FR"/>
        </w:rPr>
        <w:t xml:space="preserve">Le Client doit déterminer la finalité, la nécessité, la proportionnalité et la base légale de chaque enregistrement et traitement ; informer les personnes avant la collecte ; définir les destinataires, les durées et les moyens d’exercice des droits ; et conclure un accord conforme à l’article 28 pour les opérations confiées à un sous-traitant. Une information, une consultation ou une validation humaine ne suffit pas à rendre un traitement licite. Le consentement des salariés doit être examiné avec prudence compte tenu du déséquilibre avec l’employeur.</w:t>
      </w:r>
    </w:p>
    <w:p>
      <w:pPr>
        <w:pStyle w:val="BodyText"/>
      </w:pPr>
      <w:r>
        <w:rPr>
          <w:lang w:val="fr-FR"/>
        </w:rPr>
        <w:t xml:space="preserve">Si des catégories particulières de données sont traitées, une condition applicable de l’article 9 doit être identifiée en plus de la base de l’article 6. Une comparaison vocale visant l’identification unique doit être analysée au regard de la biométrie, même sans gabarit persistant. L’analyse d’impact doit être réalisée avant les traitements susceptibles d’engendrer un risque élevé et les règles de consultation préalable de l’autorité restent applicables lorsque les conditions de l’article 36 sont réunies. Aucun hébergement local ni avenant ne dispense de cette analyse.</w:t>
      </w:r>
    </w:p>
    <w:p>
      <w:pPr>
        <w:pStyle w:val="BodyText"/>
      </w:pPr>
      <w:r>
        <w:rPr>
          <w:lang w:val="fr-FR"/>
        </w:rPr>
        <w:t xml:space="preserve">L’autorité compétente dépend des règles du RGPD, notamment en cas de traitement transfrontalier ; elle ne dépend pas de la langue choisie. Le sous-traitant alerte le Client sans retard indu. Le responsable notifie l’autorité compétente dans les conditions de l’article 33, dans la mesure du possible dans les 72 heures après avoir pris connaissance d’une violation, sauf si celle-ci est peu susceptible d’engendrer un risque pour les droits et libertés. La communication aux personnes relève des conditions de l’article 34.</w:t>
      </w:r>
    </w:p>
    <w:p>
      <w:pPr>
        <w:pStyle w:val="BodyText"/>
      </w:pPr>
      <w:r>
        <w:rPr>
          <w:lang w:val="fr-FR"/>
        </w:rPr>
        <w:t xml:space="preserve">Sources européennes https://eur-lex.europa.eu/eli/reg/2016/679/oj et https://www.edpb.europa.eu/documents/guideline/guidelines-052020-on-consent-under-regulation-2016679_en</w:t>
      </w:r>
    </w:p>
    <w:p>
      <w:pPr>
        <w:pStyle w:val="Heading2"/>
        <w:keepNext/>
        <w:keepLines/>
      </w:pPr>
      <w:r>
        <w:rPr>
          <w:lang w:val="fr-FR"/>
          <w:color w:val="000000"/>
        </w:rPr>
        <w:t xml:space="preserve">France</w:t>
      </w:r>
    </w:p>
    <w:p>
      <w:pPr>
        <w:pStyle w:val="BodyText"/>
      </w:pPr>
      <w:r>
        <w:rPr>
          <w:lang w:val="fr-FR"/>
        </w:rPr>
        <w:t xml:space="preserve">Pour un déploiement en France, déterminer les obligations d’information des salariés et de consultation préalable du CSE selon le dispositif, les effectifs et le champ légal applicable. Le Code du travail vise notamment les techniques permettant un contrôle de l’activité, même si le produit est présenté comme une aide à la rédaction. L’information et la consultation ne remplacent pas l’analyse de licéité, de nécessité et de proportionnalité, ni les règles propres aux conversations privées, aux données sensibles et à la confidentialité. La CNIL est l’autorité nationale, sous réserve des règles de compétence du RGPD.</w:t>
      </w:r>
    </w:p>
    <w:p>
      <w:pPr>
        <w:pStyle w:val="BodyText"/>
      </w:pPr>
      <w:r>
        <w:rPr>
          <w:lang w:val="fr-FR"/>
        </w:rPr>
        <w:t xml:space="preserve">Sources France Code du travail articles L1222-4 et L2312-38 https://www.legifrance.gouv.fr/codes/article_lc/LEGIARTI000006900861 et https://www.legifrance.gouv.fr/codes/section_lc/LEGITEXT000006072050/LEGISCTA000035610273/</w:t>
      </w:r>
    </w:p>
    <w:p>
      <w:pPr>
        <w:pStyle w:val="Heading2"/>
        <w:keepNext/>
        <w:keepLines/>
      </w:pPr>
      <w:r>
        <w:rPr>
          <w:lang w:val="fr-FR"/>
          <w:color w:val="000000"/>
        </w:rPr>
        <w:t xml:space="preserve">Irlande</w:t>
      </w:r>
    </w:p>
    <w:p>
      <w:pPr>
        <w:pStyle w:val="BodyText"/>
      </w:pPr>
      <w:r>
        <w:rPr>
          <w:lang w:val="fr-FR"/>
        </w:rPr>
        <w:t xml:space="preserve">Pour un déploiement en Irlande, appliquer le RGPD et le cadre national ; documenter la base légale et informer les participants avant l’enregistrement. Examiner les obligations d’information et de consultation des salariés selon le champ, les effectifs, les accords collectifs et les dispositifs existants. Le régime irlandais ne se confond pas avec le CSE français et ne crée pas une consultation identique pour tout employeur. La Data Protection Commission est l’autorité nationale, sous réserve des règles de compétence transfrontalière.</w:t>
      </w:r>
    </w:p>
    <w:p>
      <w:pPr>
        <w:pStyle w:val="BodyText"/>
      </w:pPr>
      <w:r>
        <w:rPr>
          <w:lang w:val="fr-FR"/>
        </w:rPr>
        <w:t xml:space="preserve">Sources Irlande https://www.dataprotection.ie/en/dpc-guidance/video-recording et Employees Provision of Information and Consultation Act 2006 https://www.irishstatutebook.ie/eli/2006/act/9/enacted/en/print</w:t>
      </w:r>
    </w:p>
    <w:p>
      <w:pPr>
        <w:pStyle w:val="Heading2"/>
        <w:keepNext/>
        <w:keepLines/>
      </w:pPr>
      <w:r>
        <w:rPr>
          <w:lang w:val="fr-FR"/>
          <w:color w:val="000000"/>
        </w:rPr>
        <w:t xml:space="preserve">Pays Bas</w:t>
      </w:r>
    </w:p>
    <w:p>
      <w:pPr>
        <w:pStyle w:val="BodyText"/>
      </w:pPr>
      <w:r>
        <w:rPr>
          <w:lang w:val="fr-FR"/>
        </w:rPr>
        <w:t xml:space="preserve">Pour un déploiement aux Pays-Bas, examiner les compétences de l’ondernemingsraad ou OR. Un dispositif pouvant permettre le suivi de la présence, du comportement ou des performances peut relever de son droit d’accord préalable au titre de la Wet op de ondernemingsraden, même s’il n’est pas encore utilisé à cette fin. L’accord de l’OR ne remplace ni la base légale du traitement ni les conditions applicables à la biométrie et aux données sensibles. L’Autoriteit Persoonsgegevens est l’autorité nationale, sous réserve des règles de compétence du RGPD.</w:t>
      </w:r>
    </w:p>
    <w:p>
      <w:pPr>
        <w:pStyle w:val="BodyText"/>
      </w:pPr>
      <w:r>
        <w:rPr>
          <w:lang w:val="fr-FR"/>
        </w:rPr>
        <w:t xml:space="preserve">Source Pays Bas Autoriteit Persoonsgegevens https://autoriteitpersoonsgegevens.nl/en/themes/employment-and-benefits/works-council/the-works-council-and-staff-tracking-systems</w:t>
      </w:r>
    </w:p>
    <w:p>
      <w:pPr>
        <w:pStyle w:val="Heading2"/>
        <w:keepNext/>
        <w:keepLines/>
      </w:pPr>
      <w:r>
        <w:rPr>
          <w:lang w:val="fr-FR"/>
          <w:color w:val="000000"/>
        </w:rPr>
        <w:t xml:space="preserve">Espagne</w:t>
      </w:r>
    </w:p>
    <w:p>
      <w:pPr>
        <w:pStyle w:val="BodyText"/>
      </w:pPr>
      <w:r>
        <w:rPr>
          <w:lang w:val="fr-FR"/>
        </w:rPr>
        <w:t xml:space="preserve">Pour un déploiement en Espagne, distinguer la transcription de réunions du recours à des dispositifs de surveillance sonore. Dans le champ de l’article 89 de la Ley Orgánica 3/2018, l’enregistrement sonore au travail est strictement limité à certains risques de sécurité, avec proportionnalité, intervention minimale et garanties ; les espaces de repos sont protégés. Examiner les droits d’information et de consultation des représentants et les accords applicables. Ces dispositions ne doivent pas être étendues sans analyse à toute réunion ponctuelle et l’accord des participants ne constitue pas une autorisation générale. Identifier l’AEPD ou l’autorité régionale compétente selon le traitement.</w:t>
      </w:r>
    </w:p>
    <w:p>
      <w:pPr>
        <w:pStyle w:val="BodyText"/>
      </w:pPr>
      <w:r>
        <w:rPr>
          <w:lang w:val="fr-FR"/>
        </w:rPr>
        <w:t xml:space="preserve">Sources Espagne Ley Orgánica 3/2018 article 89 https://www.boe.es/buscar/act.php?id=BOE-A-2018-16673#a89 et Estatuto de los Trabajadores article 64 https://www.boe.es/buscar/act.php?id=BOE-A-2015-11430#a64</w:t>
      </w:r>
    </w:p>
    <w:p>
      <w:pPr>
        <w:pStyle w:val="Heading2"/>
        <w:keepNext/>
        <w:keepLines/>
      </w:pPr>
      <w:r>
        <w:rPr>
          <w:lang w:val="fr-FR"/>
          <w:color w:val="000000"/>
        </w:rPr>
        <w:t xml:space="preserve">Portugal</w:t>
      </w:r>
    </w:p>
    <w:p>
      <w:pPr>
        <w:pStyle w:val="BodyText"/>
      </w:pPr>
      <w:r>
        <w:rPr>
          <w:lang w:val="fr-FR"/>
        </w:rPr>
        <w:t xml:space="preserve">Pour un déploiement au Portugal, examiner le Código do Trabalho, la Lei 58/2019 et les règles applicables au dispositif concret. La surveillance à distance visant le contrôle des performances professionnelles est interdite. La captation sonore dans un dispositif de vidéovigilance est soumise à des restrictions spécifiques ; cette règle ne signifie ni que tout enregistrement de réunion est interdit, ni qu’il serait toujours autorisé. Déterminer les obligations envers les travailleurs et leurs représentants avant la mise en service. La Comissão Nacional de Proteção de Dados est l’autorité nationale, sous réserve des règles de compétence du RGPD.</w:t>
      </w:r>
    </w:p>
    <w:p>
      <w:pPr>
        <w:pStyle w:val="BodyText"/>
      </w:pPr>
      <w:r>
        <w:rPr>
          <w:lang w:val="fr-FR"/>
        </w:rPr>
        <w:t xml:space="preserve">Sources Portugal Código do Trabalho articles 20 et 21 https://diariodarepublica.pt/dr/legislacao-consolidada/lei/2009-34546475-211441911 et CNPD https://www.cnpd.pt/organizacoes/areas-tematicas/videovigilancia/</w:t>
      </w:r>
    </w:p>
    <w:p>
      <w:pPr>
        <w:pStyle w:val="Heading2"/>
        <w:keepNext/>
        <w:keepLines/>
      </w:pPr>
      <w:r>
        <w:rPr>
          <w:lang w:val="fr-FR"/>
          <w:color w:val="000000"/>
        </w:rPr>
        <w:t xml:space="preserve">Champs français et engagements du projet</w:t>
      </w:r>
    </w:p>
    <w:p>
      <w:pPr>
        <w:pStyle w:val="BodyText"/>
      </w:pPr>
      <w:r>
        <w:rPr>
          <w:lang w:val="fr-FR"/>
        </w:rPr>
        <w:t xml:space="preserve">Les termes CSE, CGCT, HDS, SecNumCloud, ANSSI et RGAA désignent des institutions, règles ou référentiels français. Ils ne prouvent ni une certification de TranscribIA ni le respect automatique d’un cadre étranger. Les montants et mécanismes de paiement des CGV, dont le renvoi au Code de commerce français, doivent être articulés avec le droit choisi, la qualité du Client et les règles impératives applicables ; ils ne doivent pas être présentés comme une transcription de chaque droit national. Les modalités applicables aux marchés publics, aux consommateurs et aux secteurs réglementés doivent être précisées séparément lorsqu’ils sont concernés.</w:t>
      </w:r>
    </w:p>
    <w:p>
      <w:pPr>
        <w:pStyle w:val="BodyText"/>
      </w:pPr>
      <w:r>
        <w:rPr>
          <w:lang w:val="fr-FR"/>
        </w:rPr>
        <w:t xml:space="preserve">Avant signature, compléter et vérifier les annexes du projet concernant les parties, la configuration SaaS ou sur site, les lieux de traitement et d’accès, les sous-traitants ultérieurs, les transferts, les mesures de sécurité effectives, la conservation et les niveaux de service. Cette annexe ne constate pas qu’une mesure technique est déjà déployée et ne remplace pas les engagements particuliers convenus. Les régimes britanniques, belges et les autres pays ne sont pas couverts par ces notices nationales ; ils nécessitent une adaptation distincte.</w:t>
      </w:r>
    </w:p>
    <w:p>
      <w:pPr>
        <w:pStyle w:val="BodyText"/>
      </w:pPr>
      <w:r>
        <w:rPr>
          <w:lang w:val="fr-FR"/>
        </w:rPr>
        <w:t xml:space="preserve">Les captures d’interface et les exemples tirés de l’application peuvent rester en français. Les explications et légendes documentaires sont traduites ; les commandes, noms de fichiers, identifiants techniques et références documentaires doivent être conservés à l’identique.</w:t>
      </w:r>
    </w:p>
    <w:p>
      <w:pPr>
        <w:pStyle w:val="Heading1"/>
        <w:keepNext/>
        <w:keepLines/>
      </w:pPr>
      <w:r>
        <w:rPr>
          <w:lang w:val="fr-FR"/>
          <w:color w:val="000000"/>
        </w:rPr>
        <w:t>Historique de cette édition</w:t>
      </w:r>
    </w:p>
    <w:p>
      <w:pPr>
        <w:pStyle w:val="BodyText"/>
      </w:pPr>
      <w:r>
        <w:rPr>
          <w:lang w:val="fr-FR"/>
        </w:rPr>
        <w:t>1.1 — 2026-10-17</w:t>
      </w:r>
    </w:p>
    <w:p>
      <w:pPr>
        <w:pStyle w:val="BodyText"/>
      </w:pPr>
      <w:r>
        <w:rPr>
          <w:lang w:val="fr-FR"/>
        </w:rPr>
        <w:t>Édition multilingue et corrections documentaires. Les versions antérieures et leurs dates sont conservées. Le texte français fait foi ; les traductions facilitent la lecture et ne modifient ni les parties ni le droit applicable.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