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X1b1b5836544e95e7ba683b8f0eb4f65bf553171"/>
    <w:p>
      <w:pPr>
        <w:pStyle w:val="Title"/>
        <w:keepNext/>
        <w:keepLines/>
      </w:pPr>
      <w:r>
        <w:rPr>
          <w:color w:val="000000"/>
          <w:lang w:val="nl-NL"/>
        </w:rPr>
        <w:t xml:space="preserve">Verklaring van vertrouwelijkheid en niet-hergebruik van gegevens — TranscribIA</w:t>
      </w:r>
    </w:p>
    <w:p>
      <w:pPr>
        <w:pStyle w:val="BodyText"/>
      </w:pPr>
      <w:r>
        <w:rPr>
          <w:lang w:val="nl-NL"/>
        </w:rPr>
        <w:t xml:space="preserve">Gelokaliseerde editie v1.1 — 2026-10-17</w:t>
      </w:r>
    </w:p>
    <w:p>
      <w:pPr>
        <w:pStyle w:val="BodyText"/>
      </w:pPr>
      <w:r>
        <w:rPr>
          <w:lang w:val="nl-NL"/>
        </w:rPr>
        <w:t xml:space="preserve">De Franse tekst is doorslaggevend. Deze editie behandelt Frankrijk, Ierland, Nederland, Spanje en Portugal. De taal bepaalt niet het land van implementatie, de partijen of het toepasselijke recht. Lees de nationale bijlage aan het einde van dit document voor het werkelijke land en gebruik.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TRB-CONF-01.05</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9" w:name="X911dca219555f1a78d100c92819cb03dc37c622"/>
    <w:p>
      <w:pPr>
        <w:pStyle w:val="Heading2"/>
        <w:keepNext/>
        <w:keepLines/>
      </w:pPr>
      <w:r>
        <w:rPr>
          <w:color w:val="000000"/>
          <w:lang w:val="nl-NL"/>
        </w:rPr>
        <w:t xml:space="preserve">1. Doel en reikwijdte van de verklaring</w:t>
      </w:r>
    </w:p>
    <w:p>
      <w:pPr>
        <w:pStyle w:val="FirstParagraph"/>
      </w:pPr>
      <w:r>
        <w:rPr>
          <w:lang w:val="nl-NL"/>
        </w:rPr>
        <w:t xml:space="preserve">Dit certificaat is opgesteld door OHADJA, uitgever en leverancier van de TranscribIA-oplossing, op verzoek van zijn klant, met als doel de garanties van vertrouwelijkheid en niet-hergebruik van gegevens die van toepassing zijn op een geïsoleerde Optie B – on-premise implementatie </w:t>
      </w:r>
      <w:r>
        <w:rPr>
          <w:lang w:val="nl-NL"/>
        </w:rPr>
        <w:t xml:space="preserve"/>
      </w:r>
      <w:r>
        <w:rPr>
          <w:b/>
          <w:bCs/>
          <w:lang w:val="nl-NL"/>
        </w:rPr>
        <w:t xml:space="preserve">schriftelijk te </w:t>
      </w:r>
      <w:r>
        <w:rPr>
          <w:lang w:val="nl-NL"/>
        </w:rPr>
        <w:t xml:space="preserve">bevestigen.</w:t>
      </w:r>
    </w:p>
    <w:p>
      <w:pPr>
        <w:pStyle w:val="BodyText"/>
      </w:pPr>
      <w:r>
        <w:rPr>
          <w:b/>
          <w:bCs/>
          <w:lang w:val="nl-NL"/>
        </w:rPr>
        <w:t xml:space="preserve">Gedekte reikwijdte. </w:t>
      </w:r>
      <w:r>
        <w:rPr>
          <w:lang w:val="nl-NL"/>
        </w:rPr>
        <w:t xml:space="preserve"/>
      </w:r>
      <w:r>
        <w:rPr>
          <w:lang w:val="nl-NL"/>
        </w:rPr>
        <w:t xml:space="preserve">De verklaring in onderdeel 2 geldt uitsluitend voor een implementatie van </w:t>
      </w:r>
      <w:r>
        <w:rPr>
          <w:lang w:val="nl-NL"/>
        </w:rPr>
        <w:t xml:space="preserve"/>
      </w:r>
      <w:r>
        <w:rPr>
          <w:b/>
          <w:bCs/>
          <w:lang w:val="nl-NL"/>
        </w:rPr>
        <w:t xml:space="preserve">TranscribIA volgens </w:t>
      </w:r>
      <w:r>
        <w:rPr>
          <w:lang w:val="nl-NL"/>
        </w:rPr>
        <w:t xml:space="preserve">geïsoleerde on-premise Optie B: een installatie waarin alle onderdelen van de oplossing (applicatie, database, GPU-transcriptieworker en zelfgehost AI-model) in de infrastructuur van de klant draaien, zonder uitgaande gegevensstromen voor de normale werking.</w:t>
      </w:r>
    </w:p>
    <w:p>
      <w:pPr>
        <w:pStyle w:val="BodyText"/>
      </w:pPr>
      <w:r>
        <w:rPr>
          <w:b/>
          <w:bCs/>
          <w:lang w:val="nl-NL"/>
        </w:rPr>
        <w:t xml:space="preserve">Uitsluitingen en </w:t>
      </w:r>
      <w:r>
        <w:rPr>
          <w:lang w:val="nl-NL"/>
        </w:rPr>
        <w:t xml:space="preserve">voorbehouden. </w:t>
      </w:r>
      <w:r>
        <w:rPr>
          <w:lang w:val="nl-NL"/>
        </w:rPr>
        <w:t xml:space="preserve">De verklaring dekt niet:</w:t>
      </w:r>
    </w:p>
    <w:p>
      <w:pPr>
        <w:pStyle w:val="Compact"/>
        <w:numPr>
          <w:ilvl w:val="0"/>
          <w:numId w:val="1001"/>
        </w:numPr>
      </w:pPr>
      <w:r>
        <w:rPr>
          <w:lang w:val="nl-NL"/>
        </w:rPr>
        <w:t xml:space="preserve">door de klant zelf uitgevoerde handelingen op zijn infrastructuur (hosting, systeembeheer, netwerkbeveiliging, backups, toezicht), die onder zijn verantwoordelijkheid vallen;</w:t>
      </w:r>
    </w:p>
    <w:p>
      <w:pPr>
        <w:pStyle w:val="Compact"/>
        <w:numPr>
          <w:ilvl w:val="0"/>
          <w:numId w:val="1001"/>
        </w:numPr>
      </w:pPr>
      <w:r>
        <w:rPr>
          <w:lang w:val="nl-NL"/>
        </w:rPr>
        <w:t xml:space="preserve">elke activering, door de klant, van een functie die een uitgaande stroom met zich meebrengt (bijvoorbeeld het gebruik van een AI-model op afstand of een externe GPU-bron), waardoor de implementatie buiten de “geïsoleerde” perimeter zou komen;</w:t>
      </w:r>
    </w:p>
    <w:p>
      <w:pPr>
        <w:pStyle w:val="Compact"/>
        <w:numPr>
          <w:ilvl w:val="0"/>
          <w:numId w:val="1001"/>
        </w:numPr>
      </w:pPr>
      <w:r>
        <w:rPr>
          <w:lang w:val="nl-NL"/>
        </w:rPr>
        <w:t xml:space="preserve">Ondersteuning op afstand, die alleen </w:t>
      </w:r>
      <w:r>
        <w:rPr>
          <w:lang w:val="nl-NL"/>
        </w:rPr>
        <w:t xml:space="preserve"/>
      </w:r>
      <w:r>
        <w:rPr>
          <w:b/>
          <w:bCs/>
          <w:lang w:val="nl-NL"/>
        </w:rPr>
        <w:t xml:space="preserve">plaatsvindt met uitdrukkelijke voorafgaande toestemming van de klant, als onderdeel van een sessie </w:t>
      </w:r>
      <w:r>
        <w:rPr>
          <w:lang w:val="nl-NL"/>
        </w:rPr>
        <w:t xml:space="preserve"/>
      </w:r>
      <w:r>
        <w:rPr>
          <w:lang w:val="nl-NL"/>
        </w:rPr>
        <w:t xml:space="preserve">onder toezicht van </w:t>
      </w:r>
      <w:r>
        <w:rPr>
          <w:lang w:val="nl-NL"/>
        </w:rPr>
        <w:t xml:space="preserve"/>
      </w:r>
      <w:r>
        <w:rPr>
          <w:b/>
          <w:bCs/>
          <w:lang w:val="nl-NL"/>
        </w:rPr>
        <w:t xml:space="preserve">de klant, uitsluitend uitgevoerd vanuit Frankrijk of de Europese </w:t>
      </w:r>
      <w:r>
        <w:rPr>
          <w:lang w:val="nl-NL"/>
        </w:rPr>
        <w:t xml:space="preserve">Unie, zonder lokale kopie van productiegegevens, en waarvan elke tussenkomst wordt geregistreerd.</w:t>
      </w:r>
    </w:p>
    <w:p>
      <w:pPr>
        <w:pStyle w:val="FirstParagraph"/>
      </w:pPr>
      <w:r>
        <w:rPr>
          <w:lang w:val="nl-NL"/>
        </w:rPr>
        <w:t xml:space="preserve">Elke interventie buiten dit toepassingsgebied is onderworpen aan een specifieke overeenkomst en valt niet onder dit certificaat.</w:t>
      </w:r>
    </w:p>
    <w:bookmarkEnd w:id="9"/>
    <w:bookmarkStart w:id="10" w:name="Xedb769931442d0b50170f248284f489fa6faaa2"/>
    <w:p>
      <w:pPr>
        <w:pStyle w:val="Heading2"/>
        <w:keepNext/>
        <w:keepLines/>
      </w:pPr>
      <w:r>
        <w:rPr>
          <w:color w:val="000000"/>
          <w:lang w:val="nl-NL"/>
        </w:rPr>
        <w:t xml:space="preserve">2. Verklaring — Geïsoleerde on-premise Optie B</w:t>
      </w:r>
    </w:p>
    <w:p>
      <w:pPr>
        <w:pStyle w:val="FirstParagraph"/>
      </w:pPr>
      <w:r>
        <w:rPr>
          <w:lang w:val="nl-NL"/>
        </w:rPr>
        <w:t xml:space="preserve">Ik, Olivier Dupont, optredend als president en vertegenwoordiger van OHADJA, verklaar voor de implementatie van de TranscribIA-oplossing in geïsoleerde lokale optie B zoals gedefinieerd in sectie 1:</w:t>
      </w:r>
    </w:p>
    <w:p>
      <w:pPr>
        <w:numPr>
          <w:ilvl w:val="0"/>
          <w:numId w:val="1002"/>
        </w:numPr>
      </w:pPr>
      <w:r>
        <w:rPr>
          <w:b/>
          <w:bCs/>
          <w:lang w:val="nl-NL"/>
        </w:rPr>
        <w:t xml:space="preserve">Er worden geen gegevens naar de cloud </w:t>
      </w:r>
      <w:r>
        <w:rPr>
          <w:lang w:val="nl-NL"/>
        </w:rPr>
        <w:t xml:space="preserve"/>
      </w:r>
      <w:r>
        <w:rPr>
          <w:lang w:val="nl-NL"/>
        </w:rPr>
        <w:t xml:space="preserve">verzonden. Er worden geen klantgegevens (audiobestanden, transcripties, documenten, metadata, gebruikersaccounts, generaties) verzonden naar een externe clouddienst of een derde partij voor de nominale werking van de oplossing. Alle verwerking, inclusief transcriptie, sprekerdiarisatie en exploitatie door kunstmatige intelligentie, draait op componenten die worden gehost in de infrastructuur van de klant.</w:t>
      </w:r>
    </w:p>
    <w:p>
      <w:pPr>
        <w:numPr>
          <w:ilvl w:val="0"/>
          <w:numId w:val="1002"/>
        </w:numPr>
      </w:pPr>
      <w:r>
        <w:rPr>
          <w:b/>
          <w:bCs/>
          <w:lang w:val="nl-NL"/>
        </w:rPr>
        <w:t xml:space="preserve">Er worden geen klantgegevens gebruikt om modellen te trainen. </w:t>
      </w:r>
      <w:r>
        <w:rPr>
          <w:lang w:val="nl-NL"/>
        </w:rPr>
        <w:t xml:space="preserve"/>
      </w:r>
      <w:r>
        <w:rPr>
          <w:lang w:val="nl-NL"/>
        </w:rPr>
        <w:t xml:space="preserve">OHADJA gebruikt geen klantgegevens om welk model dan ook te trainen, opnieuw te trainen, te verfijnen of te evalueren, of het nu gaat om transcriptie-, sprekerdiarisatie-, kunstmatige intelligentie- of spraakcorrelatiemodellen.</w:t>
      </w:r>
    </w:p>
    <w:p>
      <w:pPr>
        <w:numPr>
          <w:ilvl w:val="0"/>
          <w:numId w:val="1002"/>
        </w:numPr>
      </w:pPr>
      <w:r>
        <w:rPr>
          <w:b/>
          <w:bCs/>
          <w:lang w:val="nl-NL"/>
        </w:rPr>
        <w:t xml:space="preserve">Geen hergebruik van gegevens door de dienstverlener. </w:t>
      </w:r>
      <w:r>
        <w:rPr>
          <w:lang w:val="nl-NL"/>
        </w:rPr>
        <w:t xml:space="preserve"/>
      </w:r>
      <w:r>
        <w:rPr>
          <w:lang w:val="nl-NL"/>
        </w:rPr>
        <w:t xml:space="preserve">OHADJA hergebruikt klantgegevens niet voor eigen doeleinden. De gegevens worden uitsluitend namens de klant verwerkt, voor de levering van de oplossing en volgens de gedocumenteerde instructies van de klant.</w:t>
      </w:r>
    </w:p>
    <w:p>
      <w:pPr>
        <w:numPr>
          <w:ilvl w:val="0"/>
          <w:numId w:val="1002"/>
        </w:numPr>
      </w:pPr>
      <w:r>
        <w:rPr>
          <w:b/>
          <w:bCs/>
          <w:lang w:val="nl-NL"/>
        </w:rPr>
        <w:t xml:space="preserve">Alle gegevens blijven gehost in de infrastructuur van de klant. </w:t>
      </w:r>
      <w:r>
        <w:rPr>
          <w:lang w:val="nl-NL"/>
        </w:rPr>
        <w:t xml:space="preserve"/>
      </w:r>
      <w:r>
        <w:rPr>
          <w:lang w:val="nl-NL"/>
        </w:rPr>
        <w:t xml:space="preserve">Alle verwerkte gegevens blijven opgeslagen en gehost in de door de klant aangewezen infrastructuur. OHADJA bewaart geen kopieën van productiegegevens van klanten.</w:t>
      </w:r>
    </w:p>
    <w:p>
      <w:pPr>
        <w:pStyle w:val="FirstParagraph"/>
      </w:pPr>
      <w:r>
        <w:rPr>
          <w:lang w:val="nl-NL"/>
        </w:rPr>
        <w:t xml:space="preserve">Deze verklaring wordt te goeder trouw afgegeven op basis van de overeengekomen geïsoleerde on-premisereikwijdte. Vóór ondertekening moeten de feitelijke implementatie, uitgaande gegevensstromen, externe afhankelijkheden en onderhoudstoegang worden geverifieerd en gedocumenteerd. De verklaring is afhankelijk van handhaving van deze reikwijdte en het niet activeren van opties met externe gegevensstromen. Zij vormt geen certificering of algemene toestemming om persoonsgegevens te verwerken.</w:t>
      </w:r>
    </w:p>
    <w:bookmarkEnd w:id="10"/>
    <w:bookmarkStart w:id="11" w:name="Xd34e22c39898983bff1130fe82c10f2b73dc6cb"/>
    <w:p>
      <w:pPr>
        <w:pStyle w:val="Heading2"/>
        <w:keepNext/>
        <w:keepLines/>
      </w:pPr>
      <w:r>
        <w:rPr>
          <w:color w:val="000000"/>
          <w:lang w:val="nl-NL"/>
        </w:rPr>
        <w:t xml:space="preserve">3. Variant — Optie A Soevereine SaaS</w:t>
      </w:r>
    </w:p>
    <w:p>
      <w:pPr>
        <w:pStyle w:val="FirstParagraph"/>
      </w:pPr>
      <w:r>
        <w:rPr>
          <w:lang w:val="nl-NL"/>
        </w:rPr>
        <w:t xml:space="preserve">Bij levering van de oplossing </w:t>
      </w:r>
      <w:r>
        <w:rPr>
          <w:lang w:val="nl-NL"/>
        </w:rPr>
        <w:t xml:space="preserve"/>
      </w:r>
      <w:r>
        <w:rPr>
          <w:b/>
          <w:bCs/>
          <w:lang w:val="nl-NL"/>
        </w:rPr>
        <w:t xml:space="preserve">volgens Optie A — soevereine </w:t>
      </w:r>
      <w:r>
        <w:rPr>
          <w:lang w:val="nl-NL"/>
        </w:rPr>
        <w:t xml:space="preserve">SaaS geldt de verklaring van volledige isolatie uit onderdeel 2 niet, omdat OHADJA de oplossing host en beheert. De volgende waarborgen blijven niettemin van toepassing:</w:t>
      </w:r>
    </w:p>
    <w:p>
      <w:pPr>
        <w:pStyle w:val="Compact"/>
        <w:numPr>
          <w:ilvl w:val="0"/>
          <w:numId w:val="1003"/>
        </w:numPr>
      </w:pPr>
      <w:r>
        <w:rPr>
          <w:b/>
          <w:bCs/>
          <w:lang w:val="nl-NL"/>
        </w:rPr>
        <w:t xml:space="preserve">Niet-training (punt 2 hierboven): </w:t>
      </w:r>
      <w:r>
        <w:rPr>
          <w:lang w:val="nl-NL"/>
        </w:rPr>
        <w:t xml:space="preserve"/>
      </w:r>
      <w:r>
        <w:rPr>
          <w:lang w:val="nl-NL"/>
        </w:rPr>
        <w:t xml:space="preserve">Er worden geen klantgegevens gebruikt om modellen te trainen.</w:t>
      </w:r>
    </w:p>
    <w:p>
      <w:pPr>
        <w:pStyle w:val="Compact"/>
        <w:numPr>
          <w:ilvl w:val="0"/>
          <w:numId w:val="1003"/>
        </w:numPr>
      </w:pPr>
      <w:r>
        <w:rPr>
          <w:b/>
          <w:bCs/>
          <w:lang w:val="nl-NL"/>
        </w:rPr>
        <w:t xml:space="preserve">Niet-hergebruik (punt 3 hierboven): </w:t>
      </w:r>
      <w:r>
        <w:rPr>
          <w:lang w:val="nl-NL"/>
        </w:rPr>
        <w:t xml:space="preserve"/>
      </w:r>
      <w:r>
        <w:rPr>
          <w:lang w:val="nl-NL"/>
        </w:rPr>
        <w:t xml:space="preserve">OHADJA hergebruikt klantgegevens niet voor eigen doeleinden.</w:t>
      </w:r>
    </w:p>
    <w:p>
      <w:pPr>
        <w:pStyle w:val="Compact"/>
        <w:numPr>
          <w:ilvl w:val="0"/>
          <w:numId w:val="1003"/>
        </w:numPr>
      </w:pPr>
      <w:r>
        <w:rPr>
          <w:b/>
          <w:bCs/>
          <w:lang w:val="nl-NL"/>
        </w:rPr>
        <w:t xml:space="preserve">Hosting in Frankrijk/EU: </w:t>
      </w:r>
      <w:r>
        <w:rPr>
          <w:lang w:val="nl-NL"/>
        </w:rPr>
        <w:t xml:space="preserve"/>
      </w:r>
      <w:r>
        <w:rPr>
          <w:lang w:val="nl-NL"/>
        </w:rPr>
        <w:t xml:space="preserve">productiegegevens worden gehost in Frankrijk (datacentrum in Straatsburg) en gecodeerde back-ups worden opgeslagen in Frankrijk (Scaleway).</w:t>
      </w:r>
    </w:p>
    <w:p>
      <w:pPr>
        <w:pStyle w:val="Compact"/>
        <w:numPr>
          <w:ilvl w:val="0"/>
          <w:numId w:val="1003"/>
        </w:numPr>
      </w:pPr>
      <w:r>
        <w:rPr>
          <w:b/>
          <w:bCs/>
          <w:lang w:val="nl-NL"/>
        </w:rPr>
        <w:t xml:space="preserve">AI-waarborgen: </w:t>
      </w:r>
      <w:r>
        <w:rPr>
          <w:lang w:val="nl-NL"/>
        </w:rPr>
        <w:t xml:space="preserve"/>
      </w:r>
      <w:r>
        <w:rPr>
          <w:lang w:val="nl-NL"/>
        </w:rPr>
        <w:t xml:space="preserve">AI-verwerkingen gebruiken uitsluitend door de klant geselecteerde bronnen, met gegevensminimalisatie, zonder training met de gegevens en zonder langdurige opslag bij aanbieders. Afhankelijk van de configuratie is verwerking buiten de EER mogelijk; deze wordt dan geregeld door de mechanismen van hoofdstuk V AVG en beschreven in document TRB-CONF-01.04. Met een profiel ‘strikt EU’ kan alle verwerking buiten de EER worden uitgesloten.</w:t>
      </w:r>
    </w:p>
    <w:p>
      <w:pPr>
        <w:pStyle w:val="FirstParagraph"/>
      </w:pPr>
      <w:r>
        <w:rPr>
          <w:lang w:val="nl-NL"/>
        </w:rPr>
        <w:t xml:space="preserve">De SaaS-variant kan dus niet getuigen van het ontbreken van enige verzending van gegevens buiten de OHADJA-infrastructuur, in tegenstelling tot de geïsoleerde Optie B. Dit onderscheid wordt op transparante wijze gemaakt.</w:t>
      </w:r>
    </w:p>
    <w:bookmarkEnd w:id="11"/>
    <w:bookmarkStart w:id="12" w:name="Xf87c5737d18b8839b8ac13a17e1a029202535fd"/>
    <w:p>
      <w:pPr>
        <w:pStyle w:val="Heading2"/>
        <w:keepNext/>
        <w:keepLines/>
      </w:pPr>
      <w:r>
        <w:rPr>
          <w:color w:val="000000"/>
          <w:lang w:val="nl-NL"/>
        </w:rPr>
        <w:t xml:space="preserve">4. Juridische reikwijdte en verificatie van de omgeving</w:t>
      </w:r>
    </w:p>
    <w:p>
      <w:pPr>
        <w:pStyle w:val="FirstParagraph"/>
      </w:pPr>
      <w:r>
        <w:rPr>
          <w:lang w:val="nl-NL"/>
        </w:rPr>
        <w:t xml:space="preserve">Deze verklaring vult de toezeggingen uit de Verwerkersovereenkomst (document TRB-CONF-01.02) en het hoofdcontract aan, zonder deze te vervangen. Bij tegenstrijdigheid hebben de bepalingen van de Verwerkersovereenkomst en het hoofdcontract voorrang.</w:t>
      </w:r>
    </w:p>
    <w:bookmarkEnd w:id="12"/>
    <w:bookmarkStart w:id="13" w:name="X14bc5de1db413596a714c28200c343943188e49"/>
    <w:p>
      <w:pPr>
        <w:pStyle w:val="Heading2"/>
        <w:keepNext/>
        <w:keepLines/>
      </w:pPr>
      <w:r>
        <w:rPr>
          <w:color w:val="000000"/>
          <w:lang w:val="nl-NL"/>
        </w:rPr>
        <w:t xml:space="preserve">5. Handtekening</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Gemaakt bij</w:t>
            </w:r>
          </w:p>
        </w:tc>
        <w:tc>
          <w:tcPr/>
          <w:p>
            <w:pPr>
              <w:pStyle w:val="Compact"/>
            </w:pPr>
            <w:r>
              <w:rPr>
                <w:lang w:val="nl-NL"/>
              </w:rPr>
              <w:t xml:space="preserve">[IN TE VULLEN: locatie]</w:t>
            </w:r>
          </w:p>
        </w:tc>
      </w:tr>
      <w:tr>
        <w:trPr>
          <w:cantSplit/>
        </w:trPr>
        <w:tc>
          <w:tcPr/>
          <w:p>
            <w:pPr>
              <w:pStyle w:val="Compact"/>
            </w:pPr>
            <w:r>
              <w:rPr>
                <w:lang w:val="nl-NL"/>
              </w:rPr>
              <w:t xml:space="preserve">Op</w:t>
            </w:r>
          </w:p>
        </w:tc>
        <w:tc>
          <w:tcPr/>
          <w:p>
            <w:pPr>
              <w:pStyle w:val="Compact"/>
            </w:pPr>
            <w:r>
              <w:rPr>
                <w:lang w:val="nl-NL"/>
              </w:rPr>
              <w:t xml:space="preserve">[IN TE VULLEN: datum van ondertekening]</w:t>
            </w:r>
          </w:p>
        </w:tc>
      </w:tr>
      <w:tr>
        <w:trPr>
          <w:cantSplit/>
        </w:trPr>
        <w:tc>
          <w:tcPr/>
          <w:p>
            <w:pPr>
              <w:pStyle w:val="Compact"/>
            </w:pPr>
            <w:r>
              <w:rPr>
                <w:lang w:val="nl-NL"/>
              </w:rPr>
              <w:t xml:space="preserve">Naam</w:t>
            </w:r>
          </w:p>
        </w:tc>
        <w:tc>
          <w:tcPr/>
          <w:p>
            <w:pPr>
              <w:pStyle w:val="Compact"/>
            </w:pPr>
            <w:r>
              <w:rPr>
                <w:lang w:val="nl-NL"/>
              </w:rPr>
              <w:t xml:space="preserve">Olivier Dupont</w:t>
            </w:r>
          </w:p>
        </w:tc>
      </w:tr>
      <w:tr>
        <w:trPr>
          <w:cantSplit/>
        </w:trPr>
        <w:tc>
          <w:tcPr/>
          <w:p>
            <w:pPr>
              <w:pStyle w:val="Compact"/>
            </w:pPr>
            <w:r>
              <w:rPr>
                <w:lang w:val="nl-NL"/>
              </w:rPr>
              <w:t xml:space="preserve">Hoedanigheid</w:t>
            </w:r>
          </w:p>
        </w:tc>
        <w:tc>
          <w:tcPr/>
          <w:p>
            <w:pPr>
              <w:pStyle w:val="Compact"/>
            </w:pPr>
            <w:r>
              <w:rPr>
                <w:lang w:val="nl-NL"/>
              </w:rPr>
              <w:t xml:space="preserve">Voorzitter</w:t>
            </w:r>
          </w:p>
        </w:tc>
      </w:tr>
      <w:tr>
        <w:trPr>
          <w:cantSplit/>
        </w:trPr>
        <w:tc>
          <w:tcPr/>
          <w:p>
            <w:pPr>
              <w:pStyle w:val="Compact"/>
            </w:pPr>
            <w:r>
              <w:rPr>
                <w:lang w:val="nl-NL"/>
              </w:rPr>
              <w:t xml:space="preserve">Handtekening</w:t>
            </w:r>
          </w:p>
        </w:tc>
        <w:tc>
          <w:tcPr/>
          <w:p>
            <w:pPr>
              <w:pStyle w:val="Compact"/>
            </w:pPr>
          </w:p>
        </w:tc>
      </w:tr>
      <w:tr>
        <w:trPr>
          <w:cantSplit/>
        </w:trPr>
        <w:tc>
          <w:tcPr/>
          <w:p>
            <w:pPr>
              <w:pStyle w:val="Compact"/>
            </w:pPr>
            <w:r>
              <w:rPr>
                <w:lang w:val="nl-NL"/>
              </w:rPr>
              <w:t xml:space="preserve">Stempel</w:t>
            </w:r>
          </w:p>
        </w:tc>
        <w:tc>
          <w:tcPr/>
          <w:p>
            <w:pPr>
              <w:pStyle w:val="Compact"/>
            </w:pPr>
          </w:p>
        </w:tc>
      </w:tr>
    </w:tbl>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bookmarkEnd w:id="13"/>
    <w:bookmarkEnd w:id="14"/>
    <w:p>
      <w:pPr>
        <w:pStyle w:val="Heading1"/>
        <w:pageBreakBefore/>
        <w:keepNext/>
        <w:keepLines/>
      </w:pPr>
      <w:r>
        <w:rPr>
          <w:lang w:val="nl-NL"/>
          <w:color w:val="000000"/>
        </w:rPr>
        <w:t xml:space="preserve">Bijlage over nationale implementatieregels</w:t>
      </w:r>
    </w:p>
    <w:p>
      <w:pPr>
        <w:pStyle w:val="Heading2"/>
        <w:keepNext/>
        <w:keepLines/>
      </w:pPr>
      <w:r>
        <w:rPr>
          <w:lang w:val="nl-NL"/>
          <w:color w:val="000000"/>
        </w:rPr>
        <w:t xml:space="preserve">Reikwijdte van deze bijlage</w:t>
      </w:r>
    </w:p>
    <w:p>
      <w:pPr>
        <w:pStyle w:val="BodyText"/>
      </w:pPr>
      <w:r>
        <w:rPr>
          <w:lang w:val="nl-NL"/>
        </w:rPr>
        <w:t xml:space="preserve">Deze editie behandelt het AVG-kader van de Europese Unie en de onderstaande implementatiepunten voor Frankrijk, Ierland, Nederland, Spanje en Portugal. De toelichtingen moeten worden gelezen in het licht van het feitelijke land en gebruik van de Klant, ongeacht de taal van het document. Zij vullen de projectdocumenten aan zonder automatisch de identiteit van partijen, het gekozen Franse recht of de aangewezen rechtbanken te wijzigen. Toepasselijke dwingende regels blijven voorbehouden. Franse nationale verwijzingen in de hoofdtekst blijven als zodanig herkenbaar; zij vormen geen buitenlandse equivalenten.</w:t>
      </w:r>
    </w:p>
    <w:p>
      <w:pPr>
        <w:pStyle w:val="Heading2"/>
        <w:keepNext/>
        <w:keepLines/>
      </w:pPr>
      <w:r>
        <w:rPr>
          <w:lang w:val="nl-NL"/>
          <w:color w:val="000000"/>
        </w:rPr>
        <w:t xml:space="preserve">Europees kader te documenteren vóór ingebruikname</w:t>
      </w:r>
    </w:p>
    <w:p>
      <w:pPr>
        <w:pStyle w:val="BodyText"/>
      </w:pPr>
      <w:r>
        <w:rPr>
          <w:lang w:val="nl-NL"/>
        </w:rPr>
        <w:t xml:space="preserve">De Klant moet het doel, de noodzaak, de evenredigheid en de rechtsgrond van elke opname en verwerking bepalen; personen vóór de verzameling informeren; ontvangers, bewaartermijnen en mogelijkheden voor het uitoefenen van rechten vastleggen; en voor aan een verwerker toevertrouwde handelingen een overeenkomst sluiten die aan artikel 28 voldoet. Alleen informeren, raadplegen of menselijke validatie maakt een verwerking niet rechtmatig. Toestemming van werknemers moet voorzichtig worden beoordeeld gezien de ongelijke verhouding tot de werkgever.</w:t>
      </w:r>
    </w:p>
    <w:p>
      <w:pPr>
        <w:pStyle w:val="BodyText"/>
      </w:pPr>
      <w:r>
        <w:rPr>
          <w:lang w:val="nl-NL"/>
        </w:rPr>
        <w:t xml:space="preserve">Bij verwerking van bijzondere categorieën gegevens moet naast de grondslag van artikel 6 een toepasselijke voorwaarde van artikel 9 worden vastgesteld. Stemvergelijking voor unieke identificatie moet op biometrische aspecten worden beoordeeld, ook zonder blijvend sjabloon. Vóór verwerkingen die waarschijnlijk een hoog risico opleveren, moet een effectbeoordeling worden uitgevoerd; de regels voor voorafgaande raadpleging van de autoriteit blijven gelden wanneer aan de voorwaarden van artikel 36 is voldaan. Lokale hosting of een addendum ontslaat niet van deze beoordeling.</w:t>
      </w:r>
    </w:p>
    <w:p>
      <w:pPr>
        <w:pStyle w:val="BodyText"/>
      </w:pPr>
      <w:r>
        <w:rPr>
          <w:lang w:val="nl-NL"/>
        </w:rPr>
        <w:t xml:space="preserve">De bevoegde autoriteit wordt bepaald door de AVG-regels, met name bij grensoverschrijdende verwerking; zij hangt niet af van de gekozen taal. De verwerker waarschuwt de Klant zonder onredelijke vertraging. De verwerkingsverantwoordelijke meldt de inbreuk aan de bevoegde autoriteit onder de voorwaarden van artikel 33, waar mogelijk binnen 72 uur na kennisneming, tenzij deze waarschijnlijk geen risico voor rechten en vrijheden oplevert. Voor mededeling aan personen gelden de voorwaarden van artikel 34.</w:t>
      </w:r>
    </w:p>
    <w:p>
      <w:pPr>
        <w:pStyle w:val="BodyText"/>
      </w:pPr>
      <w:r>
        <w:rPr>
          <w:lang w:val="nl-NL"/>
        </w:rPr>
        <w:t xml:space="preserve">Europese bronnen https://eur-lex.europa.eu/eli/reg/2016/679/oj en https://www.edpb.europa.eu/documents/guideline/guidelines-052020-on-consent-under-regulation-2016679_en</w:t>
      </w:r>
    </w:p>
    <w:p>
      <w:pPr>
        <w:pStyle w:val="Heading2"/>
        <w:keepNext/>
        <w:keepLines/>
      </w:pPr>
      <w:r>
        <w:rPr>
          <w:lang w:val="nl-NL"/>
          <w:color w:val="000000"/>
        </w:rPr>
        <w:t xml:space="preserve">Frankrijk</w:t>
      </w:r>
    </w:p>
    <w:p>
      <w:pPr>
        <w:pStyle w:val="BodyText"/>
      </w:pPr>
      <w:r>
        <w:rPr>
          <w:lang w:val="nl-NL"/>
        </w:rPr>
        <w:t xml:space="preserve">Bepaal voor implementatie in Frankrijk de verplichtingen voor informatie aan werknemers en voorafgaande raadpleging van de CSE op basis van het systeem, de personeelsomvang en het toepasselijke wettelijke bereik. De Franse Code du travail betreft onder meer technieken die controle van activiteiten mogelijk maken, ook als het product als schrijfondersteuning wordt gepresenteerd. Informatie en raadpleging vervangen niet de beoordeling van rechtmatigheid, noodzaak en evenredigheid, noch de regels voor privégesprekken, gevoelige gegevens en vertrouwelijkheid. De CNIL is de nationale toezichthouder, onder voorbehoud van de bevoegdheidsregels van de AVG.</w:t>
      </w:r>
    </w:p>
    <w:p>
      <w:pPr>
        <w:pStyle w:val="BodyText"/>
      </w:pPr>
      <w:r>
        <w:rPr>
          <w:lang w:val="nl-NL"/>
        </w:rPr>
        <w:t xml:space="preserve">Franse bronnen Code du travail, artikelen L1222-4 en L2312-38 https://www.legifrance.gouv.fr/codes/article_lc/LEGIARTI000006900861 en https://www.legifrance.gouv.fr/codes/section_lc/LEGITEXT000006072050/LEGISCTA000035610273/</w:t>
      </w:r>
    </w:p>
    <w:p>
      <w:pPr>
        <w:pStyle w:val="Heading2"/>
        <w:keepNext/>
        <w:keepLines/>
      </w:pPr>
      <w:r>
        <w:rPr>
          <w:lang w:val="nl-NL"/>
          <w:color w:val="000000"/>
        </w:rPr>
        <w:t xml:space="preserve">Ierland</w:t>
      </w:r>
    </w:p>
    <w:p>
      <w:pPr>
        <w:pStyle w:val="BodyText"/>
      </w:pPr>
      <w:r>
        <w:rPr>
          <w:lang w:val="nl-NL"/>
        </w:rPr>
        <w:t xml:space="preserve">Pas voor implementatie in Ierland de AVG en het nationale kader toe; documenteer de rechtsgrond en informeer deelnemers vóór de opname. Onderzoek de informatie- en raadplegingsverplichtingen jegens werknemers op basis van het toepassingsgebied, de personeelsomvang, collectieve overeenkomsten en bestaande regelingen. Het Ierse stelsel is niet hetzelfde als de Franse CSE en legt niet iedere werkgever een identieke raadpleging op. De Data Protection Commission is de nationale toezichthouder, onder voorbehoud van de grensoverschrijdende bevoegdheidsregels.</w:t>
      </w:r>
    </w:p>
    <w:p>
      <w:pPr>
        <w:pStyle w:val="BodyText"/>
      </w:pPr>
      <w:r>
        <w:rPr>
          <w:lang w:val="nl-NL"/>
        </w:rPr>
        <w:t xml:space="preserve">Ierse bronnen https://www.dataprotection.ie/en/dpc-guidance/video-recording en Employees (Provision of Information and Consultation) Act 2006 https://www.irishstatutebook.ie/eli/2006/act/9/enacted/en/print</w:t>
      </w:r>
    </w:p>
    <w:p>
      <w:pPr>
        <w:pStyle w:val="Heading2"/>
        <w:keepNext/>
        <w:keepLines/>
      </w:pPr>
      <w:r>
        <w:rPr>
          <w:lang w:val="nl-NL"/>
          <w:color w:val="000000"/>
        </w:rPr>
        <w:t xml:space="preserve">Nederland</w:t>
      </w:r>
    </w:p>
    <w:p>
      <w:pPr>
        <w:pStyle w:val="BodyText"/>
      </w:pPr>
      <w:r>
        <w:rPr>
          <w:lang w:val="nl-NL"/>
        </w:rPr>
        <w:t xml:space="preserve">Onderzoek voor implementatie in Nederland de bevoegdheden van de ondernemingsraad of OR. Een systeem waarmee aanwezigheid, gedrag of prestaties kunnen worden gevolgd, kan onder zijn voorafgaande instemmingsrecht op grond van de Wet op de ondernemingsraden vallen, ook als het nog niet voor dat doel wordt gebruikt. Instemming van de OR vervangt noch de rechtsgrond voor de verwerking, noch de voorwaarden voor biometrie en gevoelige gegevens. De Autoriteit Persoonsgegevens is de nationale toezichthouder, onder voorbehoud van de bevoegdheidsregels van de AVG.</w:t>
      </w:r>
    </w:p>
    <w:p>
      <w:pPr>
        <w:pStyle w:val="BodyText"/>
      </w:pPr>
      <w:r>
        <w:rPr>
          <w:lang w:val="nl-NL"/>
        </w:rPr>
        <w:t xml:space="preserve">Nederlandse bron Autoriteit Persoonsgegevens https://autoriteitpersoonsgegevens.nl/en/themes/employment-and-benefits/works-council/the-works-council-and-staff-tracking-systems</w:t>
      </w:r>
    </w:p>
    <w:p>
      <w:pPr>
        <w:pStyle w:val="Heading2"/>
        <w:keepNext/>
        <w:keepLines/>
      </w:pPr>
      <w:r>
        <w:rPr>
          <w:lang w:val="nl-NL"/>
          <w:color w:val="000000"/>
        </w:rPr>
        <w:t xml:space="preserve">Spanje</w:t>
      </w:r>
    </w:p>
    <w:p>
      <w:pPr>
        <w:pStyle w:val="BodyText"/>
      </w:pPr>
      <w:r>
        <w:rPr>
          <w:lang w:val="nl-NL"/>
        </w:rPr>
        <w:t xml:space="preserve">Maak voor implementatie in Spanje onderscheid tussen transcriptie van vergaderingen en het gebruik van systemen voor geluidsbewaking. Binnen de reikwijdte van artikel 89 van Ley Orgánica 3/2018 is geluidsopname op de werkplek strikt beperkt tot bepaalde veiligheidsrisico’s, met evenredigheid, minimale inbreuk en waarborgen; rustruimten zijn beschermd. Onderzoek de informatie- en raadplegingsrechten van vertegenwoordigers en toepasselijke overeenkomsten. Deze bepalingen mogen niet zonder beoordeling op elke incidentele vergadering worden toegepast; instemming van deelnemers vormt geen algemene toestemming. Bepaal afhankelijk van de verwerking of de AEPD of een regionale autoriteit bevoegd is.</w:t>
      </w:r>
    </w:p>
    <w:p>
      <w:pPr>
        <w:pStyle w:val="BodyText"/>
      </w:pPr>
      <w:r>
        <w:rPr>
          <w:lang w:val="nl-NL"/>
        </w:rPr>
        <w:t xml:space="preserve">Spaanse bronnen Ley Orgánica 3/2018, artikel 89 https://www.boe.es/buscar/act.php?id=BOE-A-2018-16673#a89 en Estatuto de los Trabajadores, artikel 64 https://www.boe.es/buscar/act.php?id=BOE-A-2015-11430#a64</w:t>
      </w:r>
    </w:p>
    <w:p>
      <w:pPr>
        <w:pStyle w:val="Heading2"/>
        <w:keepNext/>
        <w:keepLines/>
      </w:pPr>
      <w:r>
        <w:rPr>
          <w:lang w:val="nl-NL"/>
          <w:color w:val="000000"/>
        </w:rPr>
        <w:t xml:space="preserve">Portugal</w:t>
      </w:r>
    </w:p>
    <w:p>
      <w:pPr>
        <w:pStyle w:val="BodyText"/>
      </w:pPr>
      <w:r>
        <w:rPr>
          <w:lang w:val="nl-NL"/>
        </w:rPr>
        <w:t xml:space="preserve">Onderzoek voor implementatie in Portugal de Código do Trabalho, Lei 58/2019 en de regels voor het concrete systeem. Toezicht op afstand met als doel controle van de beroepsprestaties is verboden. Geluidsregistratie binnen een videobewakingssysteem is aan specifieke beperkingen onderworpen; dit betekent niet dat elke opname van een vergadering verboden is, noch dat deze altijd is toegestaan. Bepaal vóór ingebruikname de verplichtingen jegens werknemers en hun vertegenwoordigers. De Comissão Nacional de Proteção de Dados is de nationale toezichthouder, onder voorbehoud van de bevoegdheidsregels van de AVG.</w:t>
      </w:r>
    </w:p>
    <w:p>
      <w:pPr>
        <w:pStyle w:val="BodyText"/>
      </w:pPr>
      <w:r>
        <w:rPr>
          <w:lang w:val="nl-NL"/>
        </w:rPr>
        <w:t xml:space="preserve">Portugese bronnen Código do Trabalho, artikelen 20 en 21 https://diariodarepublica.pt/dr/legislacao-consolidada/lei/2009-34546475-211441911 en CNPD https://www.cnpd.pt/organizacoes/areas-tematicas/videovigilancia/</w:t>
      </w:r>
    </w:p>
    <w:p>
      <w:pPr>
        <w:pStyle w:val="Heading2"/>
        <w:keepNext/>
        <w:keepLines/>
      </w:pPr>
      <w:r>
        <w:rPr>
          <w:lang w:val="nl-NL"/>
          <w:color w:val="000000"/>
        </w:rPr>
        <w:t xml:space="preserve">Franse kaders en projecttoezeggingen</w:t>
      </w:r>
    </w:p>
    <w:p>
      <w:pPr>
        <w:pStyle w:val="BodyText"/>
      </w:pPr>
      <w:r>
        <w:rPr>
          <w:lang w:val="nl-NL"/>
        </w:rPr>
        <w:t xml:space="preserve">De termen CSE, CGCT, HDS, SecNumCloud, ANSSI en RGAA verwijzen naar Franse instanties, regels of kaders. Zij bewijzen noch certificering van TranscribIA, noch automatische naleving van een buitenlands kader. Bedragen en betalingsregelingen in de verkoopvoorwaarden, waaronder de verwijzing naar de Franse Code de commerce, moeten worden afgestemd op het gekozen recht, de hoedanigheid van de Klant en toepasselijke dwingende regels; zij mogen niet worden gepresenteerd als omzettingen van elk nationaal recht. Regelingen voor overheidsopdrachten, consumenten en gereguleerde sectoren moeten waar relevant afzonderlijk worden uitgewerkt.</w:t>
      </w:r>
    </w:p>
    <w:p>
      <w:pPr>
        <w:pStyle w:val="BodyText"/>
      </w:pPr>
      <w:r>
        <w:rPr>
          <w:lang w:val="nl-NL"/>
        </w:rPr>
        <w:t xml:space="preserve">Vul vóór ondertekening de projectbijlagen in en controleer deze wat betreft partijen, SaaS- of on-premiseconfiguratie, verwerkings- en toegangslocaties, subverwerkers, doorgiften, feitelijke beveiligingsmaatregelen, bewaring en serviceniveaus. Deze bijlage stelt niet vast dat een technische maatregel al is ingevoerd en vervangt geen overeengekomen specifieke toezeggingen. Britse en Belgische stelsels en andere landen vallen niet onder deze nationale toelichtingen; zij vereisen een afzonderlijke aanpassing.</w:t>
      </w:r>
    </w:p>
    <w:p>
      <w:pPr>
        <w:pStyle w:val="BodyText"/>
      </w:pPr>
      <w:r>
        <w:rPr>
          <w:lang w:val="nl-NL"/>
        </w:rPr>
        <w:t xml:space="preserve">Schermafbeeldingen en voorbeelden uit de applicatie kunnen in het Frans blijven. Toelichtingen en documentbijschriften worden vertaald; opdrachten, bestandsnamen, technische identificatoren en documentverwijzingen moeten exact behouden blijven.</w:t>
      </w:r>
    </w:p>
    <w:p>
      <w:pPr>
        <w:pStyle w:val="Heading1"/>
        <w:keepNext/>
        <w:keepLines/>
      </w:pPr>
      <w:r>
        <w:rPr>
          <w:lang w:val="nl-NL"/>
          <w:color w:val="000000"/>
        </w:rPr>
        <w:t>Geschiedenis van deze editie</w:t>
      </w:r>
    </w:p>
    <w:p>
      <w:pPr>
        <w:pStyle w:val="BodyText"/>
      </w:pPr>
      <w:r>
        <w:rPr>
          <w:lang w:val="nl-NL"/>
        </w:rPr>
        <w:t>1.1 — 2026-10-17</w:t>
      </w:r>
    </w:p>
    <w:p>
      <w:pPr>
        <w:pStyle w:val="BodyText"/>
      </w:pPr>
      <w:r>
        <w:rPr>
          <w:lang w:val="nl-NL"/>
        </w:rPr>
        <w:t>Meertalige editie en documentcorrecties. Eerdere versies en hun datums blijven behouden. De Franse tekst is doorslaggevend; vertalingen vergemakkelijken het lezen en wijzigen de partijen of het toepasselijke recht niet.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nl-NL"/>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