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7" w:name="X539e31f0c026021fb8cde29549f83f5b9ec291c"/>
    <w:p>
      <w:pPr>
        <w:pStyle w:val="Title"/>
        <w:keepNext/>
        <w:keepLines/>
      </w:pPr>
      <w:r>
        <w:rPr>
          <w:color w:val="000000"/>
          <w:lang w:val="nl-NL"/>
        </w:rPr>
        <w:t xml:space="preserve">Algemene verkoop- en onderhoudsvoorwaarden — TranscribIA</w:t>
      </w:r>
    </w:p>
    <w:p>
      <w:pPr>
        <w:pStyle w:val="BodyText"/>
      </w:pPr>
      <w:r>
        <w:rPr>
          <w:lang w:val="nl-NL"/>
        </w:rPr>
        <w:t xml:space="preserve">Gelokaliseerde editie v1.1 — 2026-10-17</w:t>
      </w:r>
    </w:p>
    <w:p>
      <w:pPr>
        <w:pStyle w:val="BodyText"/>
      </w:pPr>
      <w:r>
        <w:rPr>
          <w:lang w:val="nl-NL"/>
        </w:rPr>
        <w:t xml:space="preserve">De Franse tekst is doorslaggevend. Deze editie behandelt Frankrijk, Ierland, Nederland, Spanje en Portugal. De taal bepaalt niet het land van implementatie, de partijen of het toepasselijke recht. Lees de nationale bijlage aan het einde van dit document voor het werkelijke land en gebruik.</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nl-NL"/>
              </w:rPr>
              <w:t xml:space="preserve">Referentie</w:t>
            </w:r>
          </w:p>
        </w:tc>
        <w:tc>
          <w:tcPr/>
          <w:p>
            <w:pPr>
              <w:pStyle w:val="Compact"/>
            </w:pPr>
            <w:r>
              <w:rPr>
                <w:lang w:val="nl-NL"/>
              </w:rPr>
              <w:t xml:space="preserve">CGVM-TRANSCRIBIA-2026-01</w:t>
            </w:r>
          </w:p>
        </w:tc>
      </w:tr>
      <w:tr>
        <w:trPr>
          <w:cantSplit/>
        </w:trPr>
        <w:tc>
          <w:tcPr/>
          <w:p>
            <w:pPr>
              <w:pStyle w:val="Compact"/>
            </w:pPr>
            <w:r>
              <w:rPr>
                <w:b/>
                <w:bCs/>
                <w:lang w:val="nl-NL"/>
              </w:rPr>
              <w:t xml:space="preserve">Versie</w:t>
            </w:r>
          </w:p>
        </w:tc>
        <w:tc>
          <w:tcPr/>
          <w:p>
            <w:pPr>
              <w:pStyle w:val="Compact"/>
            </w:pPr>
            <w:r>
              <w:rPr>
                <w:lang w:val="nl-NL"/>
              </w:rPr>
              <w:t xml:space="preserve">1.0</w:t>
            </w:r>
          </w:p>
        </w:tc>
      </w:tr>
      <w:tr>
        <w:trPr>
          <w:cantSplit/>
        </w:trPr>
        <w:tc>
          <w:tcPr/>
          <w:p>
            <w:pPr>
              <w:pStyle w:val="Compact"/>
            </w:pPr>
            <w:r>
              <w:rPr>
                <w:b/>
                <w:bCs/>
                <w:lang w:val="nl-NL"/>
              </w:rPr>
              <w:t xml:space="preserve">Datum</w:t>
            </w:r>
          </w:p>
        </w:tc>
        <w:tc>
          <w:tcPr/>
          <w:p>
            <w:pPr>
              <w:pStyle w:val="Compact"/>
            </w:pPr>
            <w:r>
              <w:rPr>
                <w:lang w:val="nl-NL"/>
              </w:rPr>
              <w:t xml:space="preserve">2026-07-24</w:t>
            </w:r>
          </w:p>
        </w:tc>
      </w:tr>
      <w:tr>
        <w:trPr>
          <w:cantSplit/>
        </w:trPr>
        <w:tc>
          <w:tcPr/>
          <w:p>
            <w:pPr>
              <w:pStyle w:val="Compact"/>
            </w:pPr>
            <w:r>
              <w:rPr>
                <w:b/>
                <w:bCs/>
                <w:lang w:val="nl-NL"/>
              </w:rPr>
              <w:t xml:space="preserve">Redacteur</w:t>
            </w:r>
          </w:p>
        </w:tc>
        <w:tc>
          <w:tcPr/>
          <w:p>
            <w:pPr>
              <w:pStyle w:val="Compact"/>
            </w:pPr>
            <w:r>
              <w:rPr>
                <w:lang w:val="nl-NL"/>
              </w:rPr>
              <w:t xml:space="preserve">OHADJA</w:t>
            </w:r>
          </w:p>
        </w:tc>
      </w:tr>
      <w:tr>
        <w:trPr>
          <w:cantSplit/>
        </w:trPr>
        <w:tc>
          <w:tcPr/>
          <w:p>
            <w:pPr>
              <w:pStyle w:val="Compact"/>
            </w:pPr>
            <w:r>
              <w:rPr>
                <w:b/>
                <w:bCs/>
                <w:lang w:val="nl-NL"/>
              </w:rPr>
              <w:t xml:space="preserve">Classificatie</w:t>
            </w:r>
          </w:p>
        </w:tc>
        <w:tc>
          <w:tcPr/>
          <w:p>
            <w:pPr>
              <w:pStyle w:val="Compact"/>
            </w:pPr>
            <w:r>
              <w:rPr>
                <w:lang w:val="nl-NL"/>
              </w:rPr>
              <w:t xml:space="preserve">Openbaar — contractmodel (in te vullen vóór ondertekening)</w:t>
            </w:r>
          </w:p>
        </w:tc>
      </w:tr>
    </w:tbl>
    <w:p>
      <w:r>
        <w:pict>
          <v:rect style="width:0;height:1.5pt" o:hralign="center" o:hrstd="t" o:hr="t"/>
        </w:pict>
      </w:r>
    </w:p>
    <w:bookmarkStart w:id="15" w:name="article-1--objet-et-définitions"/>
    <w:p>
      <w:pPr>
        <w:pStyle w:val="Heading2"/>
        <w:keepNext/>
        <w:keepLines/>
      </w:pPr>
      <w:r>
        <w:rPr>
          <w:color w:val="000000"/>
          <w:lang w:val="nl-NL"/>
        </w:rPr>
        <w:t xml:space="preserve">Artikel 1 — Doel en definities</w:t>
      </w:r>
    </w:p>
    <w:bookmarkStart w:id="9" w:name="Xf4671889473d27fcb7b5710cf7ac2343be1d8a0"/>
    <w:p>
      <w:pPr>
        <w:pStyle w:val="Heading3"/>
        <w:keepNext/>
        <w:keepLines/>
      </w:pPr>
      <w:r>
        <w:rPr>
          <w:color w:val="000000"/>
          <w:lang w:val="nl-NL"/>
        </w:rPr>
        <w:t xml:space="preserve">1.1 Doel</w:t>
      </w:r>
    </w:p>
    <w:p>
      <w:pPr>
        <w:pStyle w:val="FirstParagraph"/>
      </w:pPr>
      <w:r>
        <w:rPr>
          <w:lang w:val="nl-NL"/>
        </w:rPr>
        <w:t xml:space="preserve">Deze algemene verkoop- en onderhoudsvoorwaarden (hierna de “Voorwaarden” of “CGVM”) regelen de levering, door het bedrijf OHADJA, uitgever van de softwareoplossing </w:t>
      </w:r>
      <w:r>
        <w:rPr>
          <w:lang w:val="nl-NL"/>
        </w:rPr>
        <w:t xml:space="preserve">TranscribIA, </w:t>
      </w:r>
      <w:r>
        <w:rPr>
          <w:b/>
          <w:bCs/>
          <w:lang w:val="nl-NL"/>
        </w:rPr>
        <w:t xml:space="preserve">van </w:t>
      </w:r>
      <w:r>
        <w:rPr>
          <w:lang w:val="nl-NL"/>
        </w:rPr>
        <w:t xml:space="preserve">alle diensten die verband houden met deze oplossing: levering in software-as-a-service (SaaS)-modus, toekenning van licentie voor gebruik in on-site modus (on-premise), onderhoud, ondersteuning, updates en mogelijke aanvullende diensten.</w:t>
      </w:r>
    </w:p>
    <w:p>
      <w:pPr>
        <w:pStyle w:val="BodyText"/>
      </w:pPr>
      <w:r>
        <w:rPr>
          <w:lang w:val="nl-NL"/>
        </w:rPr>
        <w:t xml:space="preserve">Ze zijn van toepassing op elke bestelling die door de klant (hierna de “Klant”) wordt geplaatst bij OHADJA, zowel rechtstreeks als via een erkende distributeur of integrator.</w:t>
      </w:r>
    </w:p>
    <w:p>
      <w:pPr>
        <w:pStyle w:val="BodyText"/>
      </w:pPr>
      <w:r>
        <w:rPr>
          <w:lang w:val="nl-NL"/>
        </w:rPr>
        <w:t xml:space="preserve">Elke bestelling impliceert de onvoorwaardelijke aanvaarding van deze Voorwaarden, die prevaleren boven elk tegenstrijdig document uitgaande van de Klant, in het bijzonder de algemene aankoopvoorwaarden, tenzij een specifieke bepaling uitdrukkelijk schriftelijk aanvaard wordt door OHADJA.</w:t>
      </w:r>
    </w:p>
    <w:bookmarkEnd w:id="9"/>
    <w:bookmarkStart w:id="13" w:name="X89d109302845bed012e9ce6674460c1e1467532"/>
    <w:p>
      <w:pPr>
        <w:pStyle w:val="Heading3"/>
        <w:keepNext/>
        <w:keepLines/>
      </w:pPr>
      <w:r>
        <w:rPr>
          <w:color w:val="000000"/>
          <w:lang w:val="nl-NL"/>
        </w:rPr>
        <w:t xml:space="preserve">1.2 Identificatie van de uitgever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Waarde</w:t>
            </w:r>
          </w:p>
        </w:tc>
      </w:tr>
      <w:tr>
        <w:trPr>
          <w:cantSplit/>
        </w:trPr>
        <w:tc>
          <w:tcPr/>
          <w:p>
            <w:pPr>
              <w:pStyle w:val="Compact"/>
            </w:pPr>
            <w:r>
              <w:rPr>
                <w:lang w:val="nl-NL"/>
              </w:rPr>
              <w:t xml:space="preserve">Bedrijfsnaam</w:t>
            </w:r>
          </w:p>
        </w:tc>
        <w:tc>
          <w:tcPr/>
          <w:p>
            <w:pPr>
              <w:pStyle w:val="Compact"/>
            </w:pPr>
            <w:r>
              <w:rPr>
                <w:lang w:val="nl-NL"/>
              </w:rPr>
              <w:t xml:space="preserve">OHADJA</w:t>
            </w:r>
          </w:p>
        </w:tc>
      </w:tr>
      <w:tr>
        <w:trPr>
          <w:cantSplit/>
        </w:trPr>
        <w:tc>
          <w:tcPr/>
          <w:p>
            <w:pPr>
              <w:pStyle w:val="Compact"/>
            </w:pPr>
            <w:r>
              <w:rPr>
                <w:lang w:val="nl-NL"/>
              </w:rPr>
              <w:t xml:space="preserve">Juridische vorm</w:t>
            </w:r>
          </w:p>
        </w:tc>
        <w:tc>
          <w:tcPr/>
          <w:p>
            <w:pPr>
              <w:pStyle w:val="Compact"/>
            </w:pPr>
            <w:r>
              <w:rPr>
                <w:lang w:val="nl-NL"/>
              </w:rPr>
              <w:t xml:space="preserve">Franse société par actions simplifiée (SAS), een vereenvoudigde vennootschap op aandelen — hoofdactiviteit 62.01Z (computerprogrammering)</w:t>
            </w:r>
          </w:p>
        </w:tc>
      </w:tr>
      <w:tr>
        <w:trPr>
          <w:cantSplit/>
        </w:trPr>
        <w:tc>
          <w:tcPr/>
          <w:p>
            <w:pPr>
              <w:pStyle w:val="Compact"/>
            </w:pPr>
            <w:r>
              <w:rPr>
                <w:lang w:val="nl-NL"/>
              </w:rPr>
              <w:t xml:space="preserve">Intracommunautair BTW-nummer</w:t>
            </w:r>
          </w:p>
        </w:tc>
        <w:tc>
          <w:tcPr/>
          <w:p>
            <w:pPr>
              <w:pStyle w:val="Compact"/>
            </w:pPr>
            <w:r>
              <w:rPr>
                <w:lang w:val="nl-NL"/>
              </w:rPr>
              <w:t xml:space="preserve">FR78992146480</w:t>
            </w:r>
          </w:p>
        </w:tc>
      </w:tr>
      <w:tr>
        <w:trPr>
          <w:cantSplit/>
        </w:trPr>
        <w:tc>
          <w:tcPr/>
          <w:p>
            <w:pPr>
              <w:pStyle w:val="Compact"/>
            </w:pPr>
            <w:r>
              <w:rPr>
                <w:lang w:val="nl-NL"/>
              </w:rPr>
              <w:t xml:space="preserve">Wettelijke vertegenwoordiger</w:t>
            </w:r>
          </w:p>
        </w:tc>
        <w:tc>
          <w:tcPr/>
          <w:p>
            <w:pPr>
              <w:pStyle w:val="Compact"/>
            </w:pPr>
            <w:r>
              <w:rPr>
                <w:lang w:val="nl-NL"/>
              </w:rPr>
              <w:t xml:space="preserve">Olivier Dupont, voorzitter</w:t>
            </w:r>
          </w:p>
        </w:tc>
      </w:tr>
      <w:tr>
        <w:trPr>
          <w:cantSplit/>
        </w:trPr>
        <w:tc>
          <w:tcPr/>
          <w:p>
            <w:pPr>
              <w:pStyle w:val="Compact"/>
            </w:pPr>
            <w:r>
              <w:rPr>
                <w:lang w:val="nl-NL"/>
              </w:rPr>
              <w:t xml:space="preserve">Hoofdkantoor</w:t>
            </w:r>
          </w:p>
        </w:tc>
        <w:tc>
          <w:tcPr/>
          <w:p>
            <w:pPr>
              <w:pStyle w:val="Compact"/>
            </w:pPr>
            <w:r>
              <w:rPr>
                <w:lang w:val="nl-NL"/>
              </w:rPr>
              <w:t xml:space="preserve">60 rue François 1er, 75008 Parijs, Frankrijk</w:t>
            </w:r>
          </w:p>
        </w:tc>
      </w:tr>
      <w:tr>
        <w:trPr>
          <w:cantSplit/>
        </w:trPr>
        <w:tc>
          <w:tcPr/>
          <w:p>
            <w:pPr>
              <w:pStyle w:val="Compact"/>
            </w:pPr>
            <w:r>
              <w:rPr>
                <w:lang w:val="nl-NL"/>
              </w:rPr>
              <w:t xml:space="preserve">Registratie</w:t>
            </w:r>
          </w:p>
        </w:tc>
        <w:tc>
          <w:tcPr/>
          <w:p>
            <w:pPr>
              <w:pStyle w:val="Compact"/>
            </w:pPr>
            <w:r>
              <w:rPr>
                <w:lang w:val="nl-NL"/>
              </w:rPr>
              <w:t xml:space="preserve">992 146 480 RCS Parijs — SIRET van het hoofdkantoor: 992 146 480 00015</w:t>
            </w:r>
          </w:p>
        </w:tc>
      </w:tr>
      <w:tr>
        <w:trPr>
          <w:cantSplit/>
        </w:trPr>
        <w:tc>
          <w:tcPr/>
          <w:p>
            <w:pPr>
              <w:pStyle w:val="Compact"/>
            </w:pPr>
            <w:r>
              <w:rPr>
                <w:lang w:val="nl-NL"/>
              </w:rPr>
              <w:t xml:space="preserve">Verkoopcontactpersoon</w:t>
            </w:r>
          </w:p>
        </w:tc>
        <w:tc>
          <w:tcPr/>
          <w:p>
            <w:pPr>
              <w:pStyle w:val="Compact"/>
            </w:pPr>
            <w:hyperlink r:id="rId10">
              <w:r>
                <w:rPr>
                  <w:rStyle w:val="Hyperlink"/>
                  <w:lang w:val="nl-NL"/>
                </w:rPr>
                <w:t xml:space="preserve">contact@transcribia.eu</w:t>
              </w:r>
            </w:hyperlink>
            <w:r>
              <w:rPr>
                <w:lang w:val="nl-NL"/>
              </w:rPr>
              <w:t xml:space="preserve"> </w:t>
            </w:r>
            <w:r>
              <w:rPr>
                <w:lang w:val="nl-NL"/>
              </w:rPr>
              <w:t xml:space="preserve">(telefoon: [IN TE VOEREN])</w:t>
            </w:r>
          </w:p>
        </w:tc>
      </w:tr>
      <w:tr>
        <w:trPr>
          <w:cantSplit/>
        </w:trPr>
        <w:tc>
          <w:tcPr/>
          <w:p>
            <w:pPr>
              <w:pStyle w:val="Compact"/>
            </w:pPr>
            <w:r>
              <w:rPr>
                <w:lang w:val="nl-NL"/>
              </w:rPr>
              <w:t xml:space="preserve">Ondersteuningscontact</w:t>
            </w:r>
          </w:p>
        </w:tc>
        <w:tc>
          <w:tcPr/>
          <w:p>
            <w:pPr>
              <w:pStyle w:val="Compact"/>
            </w:pPr>
            <w:hyperlink r:id="rId11">
              <w:r>
                <w:rPr>
                  <w:rStyle w:val="Hyperlink"/>
                  <w:lang w:val="nl-NL"/>
                </w:rPr>
                <w:t xml:space="preserve">support@transcribia.eu</w:t>
              </w:r>
            </w:hyperlink>
          </w:p>
        </w:tc>
      </w:tr>
      <w:tr>
        <w:trPr>
          <w:cantSplit/>
        </w:trPr>
        <w:tc>
          <w:tcPr/>
          <w:p>
            <w:pPr>
              <w:pStyle w:val="Compact"/>
            </w:pPr>
            <w:r>
              <w:rPr>
                <w:lang w:val="nl-NL"/>
              </w:rPr>
              <w:t xml:space="preserve">Contactpersoon voor gegevensbescherming</w:t>
            </w:r>
          </w:p>
        </w:tc>
        <w:tc>
          <w:tcPr/>
          <w:p>
            <w:pPr>
              <w:pStyle w:val="Compact"/>
            </w:pPr>
            <w:hyperlink r:id="rId12">
              <w:r>
                <w:rPr>
                  <w:rStyle w:val="Hyperlink"/>
                  <w:lang w:val="nl-NL"/>
                </w:rPr>
                <w:t xml:space="preserve">privacy@transcribia.eu</w:t>
              </w:r>
            </w:hyperlink>
          </w:p>
        </w:tc>
      </w:tr>
    </w:tbl>
    <w:bookmarkEnd w:id="13"/>
    <w:bookmarkStart w:id="14" w:name="X13918ccd61158bc68fb2c044c7c8daaf9a87e12"/>
    <w:p>
      <w:pPr>
        <w:pStyle w:val="Heading3"/>
        <w:keepNext/>
        <w:keepLines/>
      </w:pPr>
      <w:r>
        <w:rPr>
          <w:color w:val="000000"/>
          <w:lang w:val="nl-NL"/>
        </w:rPr>
        <w:t xml:space="preserve">1.3 Definities</w:t>
      </w:r>
    </w:p>
    <w:p>
      <w:pPr>
        <w:pStyle w:val="FirstParagraph"/>
      </w:pPr>
      <w:r>
        <w:rPr>
          <w:lang w:val="nl-NL"/>
        </w:rPr>
        <w:t xml:space="preserve">In deze Voorwaarden hebben de volgende termen de hieronder weergegeven betekenis:</w:t>
      </w:r>
    </w:p>
    <w:p>
      <w:pPr>
        <w:pStyle w:val="Compact"/>
        <w:numPr>
          <w:ilvl w:val="0"/>
          <w:numId w:val="1001"/>
        </w:numPr>
      </w:pPr>
      <w:r>
        <w:rPr>
          <w:b/>
          <w:bCs/>
          <w:lang w:val="nl-NL"/>
        </w:rPr>
        <w:t xml:space="preserve">“Oplossing” of “TranscribIA”: </w:t>
      </w:r>
      <w:r>
        <w:rPr>
          <w:lang w:val="nl-NL"/>
        </w:rPr>
        <w:t xml:space="preserve">het </w:t>
      </w:r>
      <w:r>
        <w:rPr>
          <w:lang w:val="nl-NL"/>
        </w:rPr>
        <w:t xml:space="preserve">intelligente softwareplatform voor audiotranscriptie uitgegeven door OHADJA, waarmee de import van audiobestanden, de automatische transcriptie ervan, sprekerdiarisatie (segmentatie per spreker), exploitatie ondersteund door kunstmatige intelligentie (correctie, samenvatting, notulen, hoofdstukken, suggestie voor sprekeridentificatie) en de export van documenten mogelijk zijn.</w:t>
      </w:r>
    </w:p>
    <w:p>
      <w:pPr>
        <w:pStyle w:val="Compact"/>
        <w:numPr>
          <w:ilvl w:val="0"/>
          <w:numId w:val="1001"/>
        </w:numPr>
      </w:pPr>
      <w:r>
        <w:rPr>
          <w:b/>
          <w:bCs/>
          <w:lang w:val="nl-NL"/>
        </w:rPr>
        <w:t xml:space="preserve">“SaaS-modus” (Optie </w:t>
      </w:r>
      <w:r>
        <w:rPr>
          <w:lang w:val="nl-NL"/>
        </w:rPr>
        <w:t xml:space="preserve">A): </w:t>
      </w:r>
      <w:r>
        <w:rPr>
          <w:lang w:val="nl-NL"/>
        </w:rPr>
        <w:t xml:space="preserve">levering van de Oplossing als een online dienst, gehost en beheerd door OHADJA, toegankelijk via een abonnement.</w:t>
      </w:r>
    </w:p>
    <w:p>
      <w:pPr>
        <w:pStyle w:val="Compact"/>
        <w:numPr>
          <w:ilvl w:val="0"/>
          <w:numId w:val="1001"/>
        </w:numPr>
      </w:pPr>
      <w:r>
        <w:rPr>
          <w:b/>
          <w:bCs/>
          <w:lang w:val="nl-NL"/>
        </w:rPr>
        <w:t xml:space="preserve">“On-premise modus” (Optie B): </w:t>
      </w:r>
      <w:r>
        <w:rPr>
          <w:lang w:val="nl-NL"/>
        </w:rPr>
        <w:t xml:space="preserve"/>
      </w:r>
      <w:r>
        <w:rPr>
          <w:lang w:val="nl-NL"/>
        </w:rPr>
        <w:t xml:space="preserve">toekenning van een licentie voor het gebruik van de Oplossing die is geïmplementeerd in de infrastructuur van de Klant of in een door hem aangewezen infrastructuur.</w:t>
      </w:r>
    </w:p>
    <w:p>
      <w:pPr>
        <w:pStyle w:val="Compact"/>
        <w:numPr>
          <w:ilvl w:val="0"/>
          <w:numId w:val="1001"/>
        </w:numPr>
      </w:pPr>
      <w:r>
        <w:rPr>
          <w:b/>
          <w:bCs/>
          <w:lang w:val="nl-NL"/>
        </w:rPr>
        <w:t xml:space="preserve">“Contract”: </w:t>
      </w:r>
      <w:r>
        <w:rPr>
          <w:lang w:val="nl-NL"/>
        </w:rPr>
        <w:t xml:space="preserve"/>
      </w:r>
      <w:r>
        <w:rPr>
          <w:lang w:val="nl-NL"/>
        </w:rPr>
        <w:t xml:space="preserve">het contractuele geheel gevormd door de geaccepteerde bestelbon of offerte, deze Voorwaarden, eventuele bijzondere voorwaarden en hun bijlagen, inclusief de Verwerkersovereenkomst persoonsgegevens (hierna de “DPA”).</w:t>
      </w:r>
    </w:p>
    <w:p>
      <w:pPr>
        <w:pStyle w:val="Compact"/>
        <w:numPr>
          <w:ilvl w:val="0"/>
          <w:numId w:val="1001"/>
        </w:numPr>
      </w:pPr>
      <w:r>
        <w:rPr>
          <w:b/>
          <w:bCs/>
          <w:lang w:val="nl-NL"/>
        </w:rPr>
        <w:t xml:space="preserve">“Documentatie”: de </w:t>
      </w:r>
      <w:r>
        <w:rPr>
          <w:lang w:val="nl-NL"/>
        </w:rPr>
        <w:t xml:space="preserve"/>
      </w:r>
      <w:r>
        <w:rPr>
          <w:lang w:val="nl-NL"/>
        </w:rPr>
        <w:t xml:space="preserve">technische en functionele documenten die de Oplossing en de gebruiksvoorwaarden ervan beschrijven, geleverd of toegankelijk gemaakt voor de Klant.</w:t>
      </w:r>
    </w:p>
    <w:p>
      <w:pPr>
        <w:pStyle w:val="Compact"/>
        <w:numPr>
          <w:ilvl w:val="0"/>
          <w:numId w:val="1001"/>
        </w:numPr>
      </w:pPr>
      <w:r>
        <w:rPr>
          <w:b/>
          <w:bCs/>
          <w:lang w:val="nl-NL"/>
        </w:rPr>
        <w:t xml:space="preserve">“Incident”: </w:t>
      </w:r>
      <w:r>
        <w:rPr>
          <w:lang w:val="nl-NL"/>
        </w:rPr>
        <w:t xml:space="preserve"/>
      </w:r>
      <w:r>
        <w:rPr>
          <w:lang w:val="nl-NL"/>
        </w:rPr>
        <w:t xml:space="preserve">elke reproduceerbare storing van de Oplossing die niet in overeenstemming is met de Documentatie.</w:t>
      </w:r>
    </w:p>
    <w:p>
      <w:pPr>
        <w:pStyle w:val="Compact"/>
        <w:numPr>
          <w:ilvl w:val="0"/>
          <w:numId w:val="1001"/>
        </w:numPr>
      </w:pPr>
      <w:r>
        <w:rPr>
          <w:b/>
          <w:bCs/>
          <w:lang w:val="nl-NL"/>
        </w:rPr>
        <w:t xml:space="preserve">“Correctief Onderhoud”: </w:t>
      </w:r>
      <w:r>
        <w:rPr>
          <w:lang w:val="nl-NL"/>
        </w:rPr>
        <w:t xml:space="preserve"/>
      </w:r>
      <w:r>
        <w:rPr>
          <w:lang w:val="nl-NL"/>
        </w:rPr>
        <w:t xml:space="preserve">correctie van Incidenten.</w:t>
      </w:r>
    </w:p>
    <w:p>
      <w:pPr>
        <w:pStyle w:val="Compact"/>
        <w:numPr>
          <w:ilvl w:val="0"/>
          <w:numId w:val="1001"/>
        </w:numPr>
      </w:pPr>
      <w:r>
        <w:rPr>
          <w:b/>
          <w:bCs/>
          <w:lang w:val="nl-NL"/>
        </w:rPr>
        <w:t xml:space="preserve">“Evolutionair onderhoud”: </w:t>
      </w:r>
      <w:r>
        <w:rPr>
          <w:lang w:val="nl-NL"/>
        </w:rPr>
        <w:t xml:space="preserve"/>
      </w:r>
      <w:r>
        <w:rPr>
          <w:lang w:val="nl-NL"/>
        </w:rPr>
        <w:t xml:space="preserve">het aanbieden van nieuwe versies, verbeteringen en functionele ontwikkelingen van de Oplossing.</w:t>
      </w:r>
    </w:p>
    <w:p>
      <w:pPr>
        <w:pStyle w:val="Compact"/>
        <w:numPr>
          <w:ilvl w:val="0"/>
          <w:numId w:val="1001"/>
        </w:numPr>
      </w:pPr>
      <w:r>
        <w:rPr>
          <w:b/>
          <w:bCs/>
          <w:lang w:val="nl-NL"/>
        </w:rPr>
        <w:t xml:space="preserve">“Beveiligingsupdate”: het </w:t>
      </w:r>
      <w:r>
        <w:rPr>
          <w:lang w:val="nl-NL"/>
        </w:rPr>
        <w:t xml:space="preserve"/>
      </w:r>
      <w:r>
        <w:rPr>
          <w:lang w:val="nl-NL"/>
        </w:rPr>
        <w:t xml:space="preserve">corrigeren van kwetsbaarheden die de Oplossing of onderdelen daarvan beïnvloeden.</w:t>
      </w:r>
    </w:p>
    <w:p>
      <w:pPr>
        <w:pStyle w:val="Compact"/>
        <w:numPr>
          <w:ilvl w:val="0"/>
          <w:numId w:val="1001"/>
        </w:numPr>
      </w:pPr>
      <w:r>
        <w:rPr>
          <w:b/>
          <w:bCs/>
          <w:lang w:val="nl-NL"/>
        </w:rPr>
        <w:t xml:space="preserve">‘Werkdag’: </w:t>
      </w:r>
      <w:r>
        <w:rPr>
          <w:lang w:val="nl-NL"/>
        </w:rPr>
        <w:t xml:space="preserve"/>
      </w:r>
      <w:r>
        <w:rPr>
          <w:lang w:val="nl-NL"/>
        </w:rPr>
        <w:t xml:space="preserve">elke weekdag behalve zaterdag, zondag en wettelijke feestdagen in Frankrijk.</w:t>
      </w:r>
    </w:p>
    <w:p>
      <w:pPr>
        <w:pStyle w:val="Compact"/>
        <w:numPr>
          <w:ilvl w:val="0"/>
          <w:numId w:val="1001"/>
        </w:numPr>
      </w:pPr>
      <w:r>
        <w:rPr>
          <w:b/>
          <w:bCs/>
          <w:lang w:val="nl-NL"/>
        </w:rPr>
        <w:t xml:space="preserve">“Kantooruur” </w:t>
      </w:r>
      <w:r>
        <w:rPr>
          <w:lang w:val="nl-NL"/>
        </w:rPr>
        <w:t xml:space="preserve"/>
      </w:r>
      <w:r>
        <w:rPr>
          <w:lang w:val="nl-NL"/>
        </w:rPr>
        <w:t xml:space="preserve">betekent ieder uur binnen de periode 09:00–18:00 (Midden-Europese tijd, CET/CEST) op een Werkdag.</w:t>
      </w:r>
    </w:p>
    <w:p>
      <w:r>
        <w:pict>
          <v:rect style="width:0;height:1.5pt" o:hralign="center" o:hrstd="t" o:hr="t"/>
        </w:pict>
      </w:r>
    </w:p>
    <w:bookmarkEnd w:id="14"/>
    <w:bookmarkEnd w:id="15"/>
    <w:bookmarkStart w:id="20" w:name="article-2--modes-de-fourniture"/>
    <w:p>
      <w:pPr>
        <w:pStyle w:val="Heading2"/>
        <w:keepNext/>
        <w:keepLines/>
      </w:pPr>
      <w:r>
        <w:rPr>
          <w:color w:val="000000"/>
          <w:lang w:val="nl-NL"/>
        </w:rPr>
        <w:t xml:space="preserve">Artikel 2 — Wijzen van levering</w:t>
      </w:r>
    </w:p>
    <w:p>
      <w:pPr>
        <w:pStyle w:val="FirstParagraph"/>
      </w:pPr>
      <w:r>
        <w:rPr>
          <w:lang w:val="nl-NL"/>
        </w:rPr>
        <w:t xml:space="preserve">De Oplossing wordt aangeboden in twee leveringswijzen, exclusief of gecombineerd, afhankelijk van de bestelling.</w:t>
      </w:r>
    </w:p>
    <w:bookmarkStart w:id="16" w:name="Xd1b37f610e12c897edc1ce61e5bef0271ea79ab"/>
    <w:p>
      <w:pPr>
        <w:pStyle w:val="Heading3"/>
        <w:keepNext/>
        <w:keepLines/>
      </w:pPr>
      <w:r>
        <w:rPr>
          <w:color w:val="000000"/>
          <w:lang w:val="nl-NL"/>
        </w:rPr>
        <w:t xml:space="preserve">2.1 SaaS-modus (optie A) — abonnement</w:t>
      </w:r>
    </w:p>
    <w:p>
      <w:pPr>
        <w:pStyle w:val="FirstParagraph"/>
      </w:pPr>
      <w:r>
        <w:rPr>
          <w:lang w:val="nl-NL"/>
        </w:rPr>
        <w:t xml:space="preserve">In de SaaS-modus stelt OHADJA de Oplossing ter beschikking van de Klant in de vorm van een dienst die op afstand toegankelijk is, door hem wordt gehost en geëxploiteerd op een infrastructuur in Frankrijk (zie artikel 2.3). De Klant sluit zich aan bij een abonnement waarvan de duur, de omvang (aantal organisaties, gebruikers, verwerkingsvolumes) en de prijs worden gedefinieerd in het bestelformulier.</w:t>
      </w:r>
    </w:p>
    <w:p>
      <w:pPr>
        <w:pStyle w:val="BodyText"/>
      </w:pPr>
      <w:r>
        <w:rPr>
          <w:lang w:val="nl-NL"/>
        </w:rPr>
        <w:t xml:space="preserve">Het abonnement omvat hosting, applicatiebeheer, toezicht, technische back-ups, onderhoud en ondersteuning onder de voorwaarden van deze Voorwaarden.</w:t>
      </w:r>
    </w:p>
    <w:bookmarkEnd w:id="16"/>
    <w:bookmarkStart w:id="17" w:name="Xfc88b1eba500b140931b7f3a307c6f84755c81f"/>
    <w:p>
      <w:pPr>
        <w:pStyle w:val="Heading3"/>
        <w:keepNext/>
        <w:keepLines/>
      </w:pPr>
      <w:r>
        <w:rPr>
          <w:color w:val="000000"/>
          <w:lang w:val="nl-NL"/>
        </w:rPr>
        <w:t xml:space="preserve">2.2 Modus op locatie (optie B) — licentie</w:t>
      </w:r>
    </w:p>
    <w:p>
      <w:pPr>
        <w:pStyle w:val="FirstParagraph"/>
      </w:pPr>
      <w:r>
        <w:rPr>
          <w:lang w:val="nl-NL"/>
        </w:rPr>
        <w:t xml:space="preserve">In de on-premise modus verleent OHADJA de Klant een licentie om de Oplossing te gebruiken, ingezet in de vorm van Docker-containers in de infrastructuur van de Klant of in een door hem aangewezen infrastructuur. De licentie wordt verleend voor de duur en de reikwijdte zoals gedefinieerd in het bestelformulier.</w:t>
      </w:r>
    </w:p>
    <w:p>
      <w:pPr>
        <w:pStyle w:val="BodyText"/>
      </w:pPr>
      <w:r>
        <w:rPr>
          <w:lang w:val="nl-NL"/>
        </w:rPr>
        <w:t xml:space="preserve">In de “geïsoleerde” variant (zonder afhankelijkheid van een clouddienst) draaien alle componenten van de Oplossing in de infrastructuur van de Klant, inclusief de transcriptie-engine en het door de organisatie geconfigureerde zelf-gehoste taalmodel. Voor de nominale werking van de Solution is in deze variant geen uitgaand debiet nodig.</w:t>
      </w:r>
    </w:p>
    <w:p>
      <w:pPr>
        <w:pStyle w:val="BodyText"/>
      </w:pPr>
      <w:r>
        <w:rPr>
          <w:lang w:val="nl-NL"/>
        </w:rPr>
        <w:t xml:space="preserve">In de on-premise-modus zorgt de Klant voor de hosting, het infrastructuurbeheer, de netwerkbeveiliging, de back-ups en het toezicht op zijn omgeving, behalve voor onderhouds- of exploitatiemissies die uitdrukkelijk in het bestelformulier aan OHADJA zijn toevertrouwd.</w:t>
      </w:r>
    </w:p>
    <w:bookmarkEnd w:id="17"/>
    <w:bookmarkStart w:id="18" w:name="X620cd868255f86573729856f08d4b05334ea34f"/>
    <w:p>
      <w:pPr>
        <w:pStyle w:val="Heading3"/>
        <w:keepNext/>
        <w:keepLines/>
      </w:pPr>
      <w:r>
        <w:rPr>
          <w:color w:val="000000"/>
          <w:lang w:val="nl-NL"/>
        </w:rPr>
        <w:t xml:space="preserve">2.3 Locatie van hosting (SaaS-modus)</w:t>
      </w:r>
    </w:p>
    <w:p>
      <w:pPr>
        <w:pStyle w:val="FirstParagraph"/>
      </w:pPr>
      <w:r>
        <w:rPr>
          <w:lang w:val="nl-NL"/>
        </w:rPr>
        <w:t xml:space="preserve">In de SaaS-modus wordt de oplossing gehost op een Hostinger-infrastructuur in een datacenter in Frankrijk (Straatsburg). De back-ups worden gecodeerd vóór uitbesteding (age, X25519 + ChaCha20-Poly1305) en opgeslagen in de Europese Unie, bij Scaleway (Frankrijk). De versleuteling van systeemschijven is afhankelijk van het datacenteraanbod; er is een upgrade (LUKS/gocryptfs) gepland. De gedetailleerde voorwaarden met betrekking tot de locatie, de daaropvolgende uitbesteding en de overdrachten staan ​​vermeld in de DPA die bij het Contract is gevoegd.</w:t>
      </w:r>
    </w:p>
    <w:bookmarkEnd w:id="18"/>
    <w:bookmarkStart w:id="19" w:name="Xc84de25915f548014284dbc3485a2fe891f2579"/>
    <w:p>
      <w:pPr>
        <w:pStyle w:val="Heading3"/>
        <w:keepNext/>
        <w:keepLines/>
      </w:pPr>
      <w:r>
        <w:rPr>
          <w:color w:val="000000"/>
          <w:lang w:val="nl-NL"/>
        </w:rPr>
        <w:t xml:space="preserve">2.4 Distributie en erkende tussenpersonen</w:t>
      </w:r>
    </w:p>
    <w:p>
      <w:pPr>
        <w:pStyle w:val="FirstParagraph"/>
      </w:pPr>
      <w:r>
        <w:rPr>
          <w:lang w:val="nl-NL"/>
        </w:rPr>
        <w:t xml:space="preserve">Het Contract kan rechtstreeks </w:t>
      </w:r>
      <w:r>
        <w:rPr>
          <w:lang w:val="nl-NL"/>
        </w:rPr>
        <w:t xml:space="preserve"/>
      </w:r>
      <w:r>
        <w:rPr>
          <w:b/>
          <w:bCs/>
          <w:lang w:val="nl-NL"/>
        </w:rPr>
        <w:t xml:space="preserve">worden gesloten met </w:t>
      </w:r>
      <w:r>
        <w:rPr>
          <w:lang w:val="nl-NL"/>
        </w:rPr>
        <w:t xml:space="preserve">OHADJA, uitgever van de Oplossing, </w:t>
      </w:r>
      <w:r>
        <w:rPr>
          <w:lang w:val="nl-NL"/>
        </w:rPr>
        <w:t xml:space="preserve"/>
      </w:r>
      <w:r>
        <w:rPr>
          <w:b/>
          <w:bCs/>
          <w:lang w:val="nl-NL"/>
        </w:rPr>
        <w:t xml:space="preserve">of via een geautoriseerde wederverkoper of distributeur, in </w:t>
      </w:r>
      <w:r>
        <w:rPr>
          <w:lang w:val="nl-NL"/>
        </w:rPr>
        <w:t xml:space="preserve">het bijzonder AMBASSADIA SARL (Frankrijk en Monaco) of Televic Conference France.</w:t>
      </w:r>
    </w:p>
    <w:p>
      <w:pPr>
        <w:pStyle w:val="BodyText"/>
      </w:pPr>
      <w:r>
        <w:rPr>
          <w:lang w:val="nl-NL"/>
        </w:rPr>
        <w:t xml:space="preserve">Inschakeling van een erkende tussenpersoon wijzigt noch de identiteit van de uitgever van </w:t>
      </w:r>
      <w:r>
        <w:rPr>
          <w:lang w:val="nl-NL"/>
        </w:rPr>
        <w:t xml:space="preserve"/>
      </w:r>
      <w:r>
        <w:rPr>
          <w:b/>
          <w:bCs/>
          <w:lang w:val="nl-NL"/>
        </w:rPr>
        <w:t xml:space="preserve">de Oplossing, noch die van de verwerker in de zin van artikel </w:t>
      </w:r>
      <w:r>
        <w:rPr>
          <w:lang w:val="nl-NL"/>
        </w:rPr>
        <w:t xml:space="preserve">28 AVG, die OHADJA blijft. Erkende wederverkopers en distributeurs verzorgen commercialisering, integratie met conferentiesystemen en eerstelijnsklantcontact; zij verwerken geen productiegegevens namens de Klant, tenzij een specifieke opdracht uitdrukkelijk is overeengekomen en contractueel geregeld.</w:t>
      </w:r>
    </w:p>
    <w:p>
      <w:r>
        <w:pict>
          <v:rect style="width:0;height:1.5pt" o:hralign="center" o:hrstd="t" o:hr="t"/>
        </w:pict>
      </w:r>
    </w:p>
    <w:bookmarkEnd w:id="19"/>
    <w:bookmarkEnd w:id="20"/>
    <w:bookmarkStart w:id="25" w:name="article-3--commande-et-livraison"/>
    <w:p>
      <w:pPr>
        <w:pStyle w:val="Heading2"/>
        <w:keepNext/>
        <w:keepLines/>
      </w:pPr>
      <w:r>
        <w:rPr>
          <w:color w:val="000000"/>
          <w:lang w:val="nl-NL"/>
        </w:rPr>
        <w:t xml:space="preserve">Artikel 3 — Bestelling en levering</w:t>
      </w:r>
    </w:p>
    <w:bookmarkStart w:id="21" w:name="X43dd320c834ca055ba327dd351bd46bcfec9061"/>
    <w:p>
      <w:pPr>
        <w:pStyle w:val="Heading3"/>
        <w:keepNext/>
        <w:keepLines/>
      </w:pPr>
      <w:r>
        <w:rPr>
          <w:color w:val="000000"/>
          <w:lang w:val="nl-NL"/>
        </w:rPr>
        <w:t xml:space="preserve">3.1 Ordervorming</w:t>
      </w:r>
    </w:p>
    <w:p>
      <w:pPr>
        <w:pStyle w:val="FirstParagraph"/>
      </w:pPr>
      <w:r>
        <w:rPr>
          <w:lang w:val="nl-NL"/>
        </w:rPr>
        <w:t xml:space="preserve">De bestelling komt tot stand door de ondertekening of schriftelijke aanvaarding door de Klant van een inkooporder of een offerte uitgegeven door OHADJA of door een erkende distributeur. De offerte is dertig (30) kalenderdagen geldig, tenzij anders vermeld.</w:t>
      </w:r>
    </w:p>
    <w:bookmarkEnd w:id="21"/>
    <w:bookmarkStart w:id="22" w:name="X9444373bc25488c51399ba626a539feb8a1af94"/>
    <w:p>
      <w:pPr>
        <w:pStyle w:val="Heading3"/>
        <w:keepNext/>
        <w:keepLines/>
      </w:pPr>
      <w:r>
        <w:rPr>
          <w:color w:val="000000"/>
          <w:lang w:val="nl-NL"/>
        </w:rPr>
        <w:t xml:space="preserve">3.2 Levering — SaaS-modus</w:t>
      </w:r>
    </w:p>
    <w:p>
      <w:pPr>
        <w:pStyle w:val="FirstParagraph"/>
      </w:pPr>
      <w:r>
        <w:rPr>
          <w:lang w:val="nl-NL"/>
        </w:rPr>
        <w:t xml:space="preserve">In de SaaS-modus wordt de levering uitgevoerd door toegang tot de Oplossing te openen (aanmaken van de klantorganisatie en het beheerdersaccount) binnen [IN TE VOLTOOIEN: openingstijd van de dienst] vanaf de validatie van de bestelling en, indien van toepassing, de ontvangst van de eerste abonnementstermijn.</w:t>
      </w:r>
    </w:p>
    <w:bookmarkEnd w:id="22"/>
    <w:bookmarkStart w:id="23" w:name="X89462a0379b7571981a99a0a103e8c222066ded"/>
    <w:p>
      <w:pPr>
        <w:pStyle w:val="Heading3"/>
        <w:keepNext/>
        <w:keepLines/>
      </w:pPr>
      <w:r>
        <w:rPr>
          <w:color w:val="000000"/>
          <w:lang w:val="nl-NL"/>
        </w:rPr>
        <w:t xml:space="preserve">3.3 Levering — Modus op locatie</w:t>
      </w:r>
    </w:p>
    <w:p>
      <w:pPr>
        <w:pStyle w:val="FirstParagraph"/>
      </w:pPr>
      <w:r>
        <w:rPr>
          <w:lang w:val="nl-NL"/>
        </w:rPr>
        <w:t xml:space="preserve">In de on-premise-modus wordt de levering bereikt door het verstrekken van software-images, implementatiedocumentatie en licentiesleutels. Voor de installatie in de infrastructuur van de Klant is, indien van toepassing, een afzonderlijke implementatiedienst van toepassing, gedefinieerd in het bestelformulier. De adresserings-, VLAN- en integratieparameters met de infrastructuur van de Klant worden tijdens de implementatiefase samen met de technische teams van de Klant vastgesteld.</w:t>
      </w:r>
    </w:p>
    <w:bookmarkEnd w:id="23"/>
    <w:bookmarkStart w:id="24" w:name="X31405e772d2f048c2f0b7fa20199b409cfb8474"/>
    <w:p>
      <w:pPr>
        <w:pStyle w:val="Heading3"/>
        <w:keepNext/>
        <w:keepLines/>
      </w:pPr>
      <w:r>
        <w:rPr>
          <w:color w:val="000000"/>
          <w:lang w:val="nl-NL"/>
        </w:rPr>
        <w:t xml:space="preserve">3.4 Terugdraaien van acceptatie</w:t>
      </w:r>
    </w:p>
    <w:p>
      <w:pPr>
        <w:pStyle w:val="FirstParagraph"/>
      </w:pPr>
      <w:r>
        <w:rPr>
          <w:lang w:val="nl-NL"/>
        </w:rPr>
        <w:t xml:space="preserve">Met uitzondering van de aanvaardingsprocedure die uitdrukkelijk voorzien is in het bestelformulier, wordt de Oplossing geacht conform te zijn en aanvaard te zijn bij gebrek aan een schriftelijk en gemotiveerd voorbehoud van de Klant binnen [IN TE VULLEN: aanvaardingsdeadline, b.v. 15 werkdagen] vanaf levering.</w:t>
      </w:r>
    </w:p>
    <w:p>
      <w:r>
        <w:pict>
          <v:rect style="width:0;height:1.5pt" o:hralign="center" o:hrstd="t" o:hr="t"/>
        </w:pict>
      </w:r>
    </w:p>
    <w:bookmarkEnd w:id="24"/>
    <w:bookmarkEnd w:id="25"/>
    <w:bookmarkStart w:id="30" w:name="article-4--conditions-financières"/>
    <w:p>
      <w:pPr>
        <w:pStyle w:val="Heading2"/>
        <w:keepNext/>
        <w:keepLines/>
      </w:pPr>
      <w:r>
        <w:rPr>
          <w:color w:val="000000"/>
          <w:lang w:val="nl-NL"/>
        </w:rPr>
        <w:t xml:space="preserve">Artikel 4 — Financiële voorwaarden</w:t>
      </w:r>
    </w:p>
    <w:bookmarkStart w:id="26" w:name="X7a65ee48142714814faf1fac0c74cda3d7b89fc"/>
    <w:p>
      <w:pPr>
        <w:pStyle w:val="Heading3"/>
        <w:keepNext/>
        <w:keepLines/>
      </w:pPr>
      <w:r>
        <w:rPr>
          <w:color w:val="000000"/>
          <w:lang w:val="nl-NL"/>
        </w:rPr>
        <w:t xml:space="preserve">4.1 Prijs</w:t>
      </w:r>
    </w:p>
    <w:p>
      <w:pPr>
        <w:pStyle w:val="FirstParagraph"/>
      </w:pPr>
      <w:r>
        <w:rPr>
          <w:lang w:val="nl-NL"/>
        </w:rPr>
        <w:t xml:space="preserve">De prijzen zijn de prijzen die vermeld staan op het bestelformulier of de aanvaarde offerte. Ze zijn uitgedrukt in euro en zijn exclusief belastingen, belasting over de toegevoegde waarde en eventuele toepasselijke belastingen bovenop het geldende tarief.</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nl-NL"/>
              </w:rPr>
              <w:t xml:space="preserve">Tariefelement</w:t>
            </w:r>
          </w:p>
        </w:tc>
        <w:tc>
          <w:tcPr/>
          <w:p>
            <w:pPr>
              <w:pStyle w:val="Compact"/>
            </w:pPr>
            <w:r>
              <w:rPr>
                <w:lang w:val="nl-NL"/>
              </w:rPr>
              <w:t xml:space="preserve">Basis</w:t>
            </w:r>
          </w:p>
        </w:tc>
        <w:tc>
          <w:tcPr/>
          <w:p>
            <w:pPr>
              <w:pStyle w:val="Compact"/>
            </w:pPr>
            <w:r>
              <w:rPr>
                <w:lang w:val="nl-NL"/>
              </w:rPr>
              <w:t xml:space="preserve">Bedrag</w:t>
            </w:r>
          </w:p>
        </w:tc>
      </w:tr>
      <w:tr>
        <w:trPr>
          <w:cantSplit/>
        </w:trPr>
        <w:tc>
          <w:tcPr/>
          <w:p>
            <w:pPr>
              <w:pStyle w:val="Compact"/>
            </w:pPr>
            <w:r>
              <w:rPr>
                <w:lang w:val="nl-NL"/>
              </w:rPr>
              <w:t xml:space="preserve">SaaS-abonnement (optie A)</w:t>
            </w:r>
          </w:p>
        </w:tc>
        <w:tc>
          <w:tcPr/>
          <w:p>
            <w:pPr>
              <w:pStyle w:val="Compact"/>
            </w:pPr>
            <w:r>
              <w:rPr>
                <w:lang w:val="nl-NL"/>
              </w:rPr>
              <w:t xml:space="preserve">Per [IN TE VULLEN: eenheid — organisatie/gebruiker/volumeniveau] en per periode</w:t>
            </w:r>
          </w:p>
        </w:tc>
        <w:tc>
          <w:tcPr/>
          <w:p>
            <w:pPr>
              <w:pStyle w:val="Compact"/>
            </w:pPr>
            <w:r>
              <w:rPr>
                <w:lang w:val="nl-NL"/>
              </w:rPr>
              <w:t xml:space="preserve">[IN TE VULLEN: bedrag]</w:t>
            </w:r>
          </w:p>
        </w:tc>
      </w:tr>
      <w:tr>
        <w:trPr>
          <w:cantSplit/>
        </w:trPr>
        <w:tc>
          <w:tcPr/>
          <w:p>
            <w:pPr>
              <w:pStyle w:val="Compact"/>
            </w:pPr>
            <w:r>
              <w:rPr>
                <w:lang w:val="nl-NL"/>
              </w:rPr>
              <w:t xml:space="preserve">Licentie op locatie (optie B)</w:t>
            </w:r>
          </w:p>
        </w:tc>
        <w:tc>
          <w:tcPr/>
          <w:p>
            <w:pPr>
              <w:pStyle w:val="Compact"/>
            </w:pPr>
            <w:r>
              <w:rPr>
                <w:lang w:val="nl-NL"/>
              </w:rPr>
              <w:t xml:space="preserve">Door [IN TE VULLEN: licentie-eenheid]</w:t>
            </w:r>
          </w:p>
        </w:tc>
        <w:tc>
          <w:tcPr/>
          <w:p>
            <w:pPr>
              <w:pStyle w:val="Compact"/>
            </w:pPr>
            <w:r>
              <w:rPr>
                <w:lang w:val="nl-NL"/>
              </w:rPr>
              <w:t xml:space="preserve">[IN TE VULLEN: bedrag]</w:t>
            </w:r>
          </w:p>
        </w:tc>
      </w:tr>
      <w:tr>
        <w:trPr>
          <w:cantSplit/>
        </w:trPr>
        <w:tc>
          <w:tcPr/>
          <w:p>
            <w:pPr>
              <w:pStyle w:val="Compact"/>
            </w:pPr>
            <w:r>
              <w:rPr>
                <w:lang w:val="nl-NL"/>
              </w:rPr>
              <w:t xml:space="preserve">Onderhoud en ondersteuning (Optie B)</w:t>
            </w:r>
          </w:p>
        </w:tc>
        <w:tc>
          <w:tcPr/>
          <w:p>
            <w:pPr>
              <w:pStyle w:val="Compact"/>
            </w:pPr>
            <w:r>
              <w:rPr>
                <w:lang w:val="nl-NL"/>
              </w:rPr>
              <w:t xml:space="preserve">Jaarlijks percentage van de licentieprijs of het pakket</w:t>
            </w:r>
          </w:p>
        </w:tc>
        <w:tc>
          <w:tcPr/>
          <w:p>
            <w:pPr>
              <w:pStyle w:val="Compact"/>
            </w:pPr>
            <w:r>
              <w:rPr>
                <w:lang w:val="nl-NL"/>
              </w:rPr>
              <w:t xml:space="preserve">[IN TE VULLEN: bedrag of tarief]</w:t>
            </w:r>
          </w:p>
        </w:tc>
      </w:tr>
      <w:tr>
        <w:trPr>
          <w:cantSplit/>
        </w:trPr>
        <w:tc>
          <w:tcPr/>
          <w:p>
            <w:pPr>
              <w:pStyle w:val="Compact"/>
            </w:pPr>
            <w:r>
              <w:rPr>
                <w:lang w:val="nl-NL"/>
              </w:rPr>
              <w:t xml:space="preserve">Implementatie dienst</w:t>
            </w:r>
          </w:p>
        </w:tc>
        <w:tc>
          <w:tcPr/>
          <w:p>
            <w:pPr>
              <w:pStyle w:val="Compact"/>
            </w:pPr>
            <w:r>
              <w:rPr>
                <w:lang w:val="nl-NL"/>
              </w:rPr>
              <w:t xml:space="preserve">Pakket of beheer</w:t>
            </w:r>
          </w:p>
        </w:tc>
        <w:tc>
          <w:tcPr/>
          <w:p>
            <w:pPr>
              <w:pStyle w:val="Compact"/>
            </w:pPr>
            <w:r>
              <w:rPr>
                <w:lang w:val="nl-NL"/>
              </w:rPr>
              <w:t xml:space="preserve">[IN TE VULLEN: bedrag]</w:t>
            </w:r>
          </w:p>
        </w:tc>
      </w:tr>
      <w:tr>
        <w:trPr>
          <w:cantSplit/>
        </w:trPr>
        <w:tc>
          <w:tcPr/>
          <w:p>
            <w:pPr>
              <w:pStyle w:val="Compact"/>
            </w:pPr>
            <w:r>
              <w:rPr>
                <w:lang w:val="nl-NL"/>
              </w:rPr>
              <w:t xml:space="preserve">Aanvullende diensten</w:t>
            </w:r>
          </w:p>
        </w:tc>
        <w:tc>
          <w:tcPr/>
          <w:p>
            <w:pPr>
              <w:pStyle w:val="Compact"/>
            </w:pPr>
            <w:r>
              <w:rPr>
                <w:lang w:val="nl-NL"/>
              </w:rPr>
              <w:t xml:space="preserve">Op offerte</w:t>
            </w:r>
          </w:p>
        </w:tc>
        <w:tc>
          <w:tcPr/>
          <w:p>
            <w:pPr>
              <w:pStyle w:val="Compact"/>
            </w:pPr>
            <w:r>
              <w:rPr>
                <w:lang w:val="nl-NL"/>
              </w:rPr>
              <w:t xml:space="preserve">[IN TE VULLEN: voorwaarden]</w:t>
            </w:r>
          </w:p>
        </w:tc>
      </w:tr>
    </w:tbl>
    <w:bookmarkEnd w:id="26"/>
    <w:bookmarkStart w:id="27" w:name="Xe7b3bd34afd2c74c6f4a3fa06951ef874be78c8"/>
    <w:p>
      <w:pPr>
        <w:pStyle w:val="Heading3"/>
        <w:keepNext/>
        <w:keepLines/>
      </w:pPr>
      <w:r>
        <w:rPr>
          <w:color w:val="000000"/>
          <w:lang w:val="nl-NL"/>
        </w:rPr>
        <w:t xml:space="preserve">4.2 Facturering en betaling</w:t>
      </w:r>
    </w:p>
    <w:p>
      <w:pPr>
        <w:pStyle w:val="FirstParagraph"/>
      </w:pPr>
      <w:r>
        <w:rPr>
          <w:lang w:val="nl-NL"/>
        </w:rPr>
        <w:t xml:space="preserve">In SaaS-modus wordt het abonnement [IN TE VULLEN: frequentie — maandelijks / per kwartaal / jaarlijks] gefactureerd, [IN TE VULLEN: vooraf / achteraf]. In on-premise-modus wordt de licentie bij levering gefactureerd en het jaarlijkse onderhoud aan het einde van elke periode.</w:t>
      </w:r>
    </w:p>
    <w:p>
      <w:pPr>
        <w:pStyle w:val="BodyText"/>
      </w:pPr>
      <w:r>
        <w:rPr>
          <w:lang w:val="nl-NL"/>
        </w:rPr>
        <w:t xml:space="preserve">Facturen zijn betaalbaar op [IN TE VOEREN: betalingstermijn, binnen de wettelijke limiet van 60 dagen vanaf de datum van uitgifte, of 45 dagen einde maand] door [IN TE VOEREN: betaalmiddel].</w:t>
      </w:r>
    </w:p>
    <w:bookmarkEnd w:id="27"/>
    <w:bookmarkStart w:id="28" w:name="Xb8a5ed9c1ea1f71a52285cc681b69a2726474fe"/>
    <w:p>
      <w:pPr>
        <w:pStyle w:val="Heading3"/>
        <w:keepNext/>
        <w:keepLines/>
      </w:pPr>
      <w:r>
        <w:rPr>
          <w:color w:val="000000"/>
          <w:lang w:val="nl-NL"/>
        </w:rPr>
        <w:t xml:space="preserve">4.3 Te late betaling</w:t>
      </w:r>
    </w:p>
    <w:p>
      <w:pPr>
        <w:pStyle w:val="FirstParagraph"/>
      </w:pPr>
      <w:r>
        <w:rPr>
          <w:lang w:val="nl-NL"/>
        </w:rPr>
        <w:t xml:space="preserve">Elke laattijdige betaling brengt automatisch, zonder voorafgaande ingebrekestelling, de toepassing van boetes voor laattijdige betaling met zich mee, berekend tegen het tarief voorzien in artikel L. 441-10 van het Wetboek van Koophandel, evenals een forfaitaire schadevergoeding voor de invorderingskosten van veertig (40) euro. OHADJA behoudt zich het recht voor om de toegang tot de Oplossing op te schorten nadat een formele kennisgeving zonder effect blijft gedurende [IN TE VULLEN: deadline].</w:t>
      </w:r>
    </w:p>
    <w:bookmarkEnd w:id="28"/>
    <w:bookmarkStart w:id="29" w:name="X6a36c543605d00afebbb6192ce2c488e6ea045a"/>
    <w:p>
      <w:pPr>
        <w:pStyle w:val="Heading3"/>
        <w:keepNext/>
        <w:keepLines/>
      </w:pPr>
      <w:r>
        <w:rPr>
          <w:color w:val="000000"/>
          <w:lang w:val="nl-NL"/>
        </w:rPr>
        <w:t xml:space="preserve">4.4 Prijsherziening</w:t>
      </w:r>
    </w:p>
    <w:p>
      <w:pPr>
        <w:pStyle w:val="FirstParagraph"/>
      </w:pPr>
      <w:r>
        <w:rPr>
          <w:lang w:val="nl-NL"/>
        </w:rPr>
        <w:t xml:space="preserve">De prijzen kunnen bij elke verlenging worden herzien, na schriftelijke kennisgeving van [IN TE VULLEN: kennisgeving, ex. 3 maanden] vóór de vervaldatum.</w:t>
      </w:r>
    </w:p>
    <w:p>
      <w:r>
        <w:pict>
          <v:rect style="width:0;height:1.5pt" o:hralign="center" o:hrstd="t" o:hr="t"/>
        </w:pict>
      </w:r>
    </w:p>
    <w:bookmarkEnd w:id="29"/>
    <w:bookmarkEnd w:id="30"/>
    <w:bookmarkStart w:id="35" w:name="Xe0854fd2a66c567a99cd1c0db0f3fadceac7b5a"/>
    <w:p>
      <w:pPr>
        <w:pStyle w:val="Heading2"/>
        <w:keepNext/>
        <w:keepLines/>
      </w:pPr>
      <w:r>
        <w:rPr>
          <w:color w:val="000000"/>
          <w:lang w:val="nl-NL"/>
        </w:rPr>
        <w:t xml:space="preserve">Artikel 5 — Duur, verlenging en beëindiging</w:t>
      </w:r>
    </w:p>
    <w:bookmarkStart w:id="31" w:name="X49652cce112a73bae82357e686fc2e76f2b7d01"/>
    <w:p>
      <w:pPr>
        <w:pStyle w:val="Heading3"/>
        <w:keepNext/>
        <w:keepLines/>
      </w:pPr>
      <w:r>
        <w:rPr>
          <w:color w:val="000000"/>
          <w:lang w:val="nl-NL"/>
        </w:rPr>
        <w:t xml:space="preserve">5.1 Duur</w:t>
      </w:r>
    </w:p>
    <w:p>
      <w:pPr>
        <w:pStyle w:val="FirstParagraph"/>
      </w:pPr>
      <w:r>
        <w:rPr>
          <w:lang w:val="nl-NL"/>
        </w:rPr>
        <w:t xml:space="preserve">Het Contract wordt gesloten voor de duur aangegeven op het bestelformulier. Indien niet gespecificeerd, is de initiële duur [TO BE COMPLETED: initiële duur, b.v. 12 maanden] vanaf levering.</w:t>
      </w:r>
    </w:p>
    <w:bookmarkEnd w:id="31"/>
    <w:bookmarkStart w:id="32" w:name="X5ed32690737873463fea37eb4ccd0f9fe212862"/>
    <w:p>
      <w:pPr>
        <w:pStyle w:val="Heading3"/>
        <w:keepNext/>
        <w:keepLines/>
      </w:pPr>
      <w:r>
        <w:rPr>
          <w:color w:val="000000"/>
          <w:lang w:val="nl-NL"/>
        </w:rPr>
        <w:t xml:space="preserve">5.2 Verlenging</w:t>
      </w:r>
    </w:p>
    <w:p>
      <w:pPr>
        <w:pStyle w:val="FirstParagraph"/>
      </w:pPr>
      <w:r>
        <w:rPr>
          <w:lang w:val="nl-NL"/>
        </w:rPr>
        <w:t xml:space="preserve">Het Contract wordt bij stilzwijgende overeenkomst verlengd voor opeenvolgende perioden van [IN TE VULLEN: verlengingsperiode], tenzij opgezegd door een van de Partijen die schriftelijk aan de andere is gericht met kennisgeving van [IN TE VULLEN: kennisgeving, b.v. 3 maanden] vóór de huidige deadline.</w:t>
      </w:r>
    </w:p>
    <w:bookmarkEnd w:id="32"/>
    <w:bookmarkStart w:id="33" w:name="X16661962c17eae5ab6db1bdfa24b9b48cc90354"/>
    <w:p>
      <w:pPr>
        <w:pStyle w:val="Heading3"/>
        <w:keepNext/>
        <w:keepLines/>
      </w:pPr>
      <w:r>
        <w:rPr>
          <w:color w:val="000000"/>
          <w:lang w:val="nl-NL"/>
        </w:rPr>
        <w:t xml:space="preserve">5.3 Beëindiging wegens schending</w:t>
      </w:r>
    </w:p>
    <w:p>
      <w:pPr>
        <w:pStyle w:val="FirstParagraph"/>
      </w:pPr>
      <w:r>
        <w:rPr>
          <w:lang w:val="nl-NL"/>
        </w:rPr>
        <w:t xml:space="preserve">In geval van ernstige schending door een van de Partijen van haar verplichtingen, die niet is verholpen binnen dertig (30) kalenderdagen na de verzending van een schriftelijke en gemotiveerde ingebrekestelling die geen gevolg heeft, kan de andere Partij het Contract van rechtswege beëindigen, onverminderd de verschuldigde schadevergoedingen en interesten.</w:t>
      </w:r>
    </w:p>
    <w:bookmarkEnd w:id="33"/>
    <w:bookmarkStart w:id="34" w:name="Xe28ef8c5ae32ef1523fbf33ecb47c747365dd77"/>
    <w:p>
      <w:pPr>
        <w:pStyle w:val="Heading3"/>
        <w:keepNext/>
        <w:keepLines/>
      </w:pPr>
      <w:r>
        <w:rPr>
          <w:color w:val="000000"/>
          <w:lang w:val="nl-NL"/>
        </w:rPr>
        <w:t xml:space="preserve">5.4 Gevolgen van beëindiging</w:t>
      </w:r>
    </w:p>
    <w:p>
      <w:pPr>
        <w:pStyle w:val="FirstParagraph"/>
      </w:pPr>
      <w:r>
        <w:rPr>
          <w:lang w:val="nl-NL"/>
        </w:rPr>
        <w:t xml:space="preserve">De beëindiging brengt de stopzetting van het recht om de Oplossing te gebruiken met zich mee en implementeert de omkeerbaarheidsoperaties voorzien in Artikel 12. De bedragen die verschuldigd zijn voor reeds uitgevoerde diensten blijven verworven door OHADJA.</w:t>
      </w:r>
    </w:p>
    <w:p>
      <w:r>
        <w:pict>
          <v:rect style="width:0;height:1.5pt" o:hralign="center" o:hrstd="t" o:hr="t"/>
        </w:pict>
      </w:r>
    </w:p>
    <w:bookmarkEnd w:id="34"/>
    <w:bookmarkEnd w:id="35"/>
    <w:bookmarkStart w:id="41" w:name="article-6--maintenance-et-support"/>
    <w:p>
      <w:pPr>
        <w:pStyle w:val="Heading2"/>
        <w:keepNext/>
        <w:keepLines/>
      </w:pPr>
      <w:r>
        <w:rPr>
          <w:color w:val="000000"/>
          <w:lang w:val="nl-NL"/>
        </w:rPr>
        <w:t xml:space="preserve">Artikel 6 — Onderhoud en ondersteuning</w:t>
      </w:r>
    </w:p>
    <w:bookmarkStart w:id="36" w:name="X673e57832d50283a4fef64c8f5fdd984604e394"/>
    <w:p>
      <w:pPr>
        <w:pStyle w:val="Heading3"/>
        <w:keepNext/>
        <w:keepLines/>
      </w:pPr>
      <w:r>
        <w:rPr>
          <w:color w:val="000000"/>
          <w:lang w:val="nl-NL"/>
        </w:rPr>
        <w:t xml:space="preserve">6.1 Omvang van onderhoud</w:t>
      </w:r>
    </w:p>
    <w:p>
      <w:pPr>
        <w:pStyle w:val="FirstParagraph"/>
      </w:pPr>
      <w:r>
        <w:rPr>
          <w:lang w:val="nl-NL"/>
        </w:rPr>
        <w:t xml:space="preserve">Tijdens de looptijd van het Contract en onder voorbehoud van betaling van de verschuldigde bedragen, levert OHADJA de volgende onderhoudsdiensten:</w:t>
      </w:r>
    </w:p>
    <w:p>
      <w:pPr>
        <w:pStyle w:val="Compact"/>
        <w:numPr>
          <w:ilvl w:val="0"/>
          <w:numId w:val="1002"/>
        </w:numPr>
      </w:pPr>
      <w:r>
        <w:rPr>
          <w:b/>
          <w:bCs/>
          <w:lang w:val="nl-NL"/>
        </w:rPr>
        <w:t xml:space="preserve">Correctief onderhoud: </w:t>
      </w:r>
      <w:r>
        <w:rPr>
          <w:lang w:val="nl-NL"/>
        </w:rPr>
        <w:t xml:space="preserve"/>
      </w:r>
      <w:r>
        <w:rPr>
          <w:lang w:val="nl-NL"/>
        </w:rPr>
        <w:t xml:space="preserve">diagnose en correctie van Incidenten die de Oplossing beïnvloeden, onder de voorwaarden van Artikel 6.4.</w:t>
      </w:r>
    </w:p>
    <w:p>
      <w:pPr>
        <w:pStyle w:val="Compact"/>
        <w:numPr>
          <w:ilvl w:val="0"/>
          <w:numId w:val="1002"/>
        </w:numPr>
      </w:pPr>
      <w:r>
        <w:rPr>
          <w:b/>
          <w:bCs/>
          <w:lang w:val="nl-NL"/>
        </w:rPr>
        <w:t xml:space="preserve">Evolutionair onderhoud: </w:t>
      </w:r>
      <w:r>
        <w:rPr>
          <w:lang w:val="nl-NL"/>
        </w:rPr>
        <w:t xml:space="preserve"/>
      </w:r>
      <w:r>
        <w:rPr>
          <w:lang w:val="nl-NL"/>
        </w:rPr>
        <w:t xml:space="preserve">levering van nieuwe versies en functionele verbeteringen van de oplossing gepubliceerd door OHADJA, zonder extra kosten wanneer deze zijn opgenomen in het abonnementsaanbod.</w:t>
      </w:r>
    </w:p>
    <w:p>
      <w:pPr>
        <w:pStyle w:val="Compact"/>
        <w:numPr>
          <w:ilvl w:val="0"/>
          <w:numId w:val="1002"/>
        </w:numPr>
      </w:pPr>
      <w:r>
        <w:rPr>
          <w:b/>
          <w:bCs/>
          <w:lang w:val="nl-NL"/>
        </w:rPr>
        <w:t xml:space="preserve">Beveiligingsupdates: correctie </w:t>
      </w:r>
      <w:r>
        <w:rPr>
          <w:lang w:val="nl-NL"/>
        </w:rPr>
        <w:t xml:space="preserve"/>
      </w:r>
      <w:r>
        <w:rPr>
          <w:lang w:val="nl-NL"/>
        </w:rPr>
        <w:t xml:space="preserve">van kwetsbaarheden die van invloed zijn op de Oplossing en de componenten ervan, geprioriteerd op basis van hun kritiekheid, exploiteerbaarheid en blootstelling.</w:t>
      </w:r>
    </w:p>
    <w:p>
      <w:pPr>
        <w:pStyle w:val="FirstParagraph"/>
      </w:pPr>
      <w:r>
        <w:rPr>
          <w:lang w:val="nl-NL"/>
        </w:rPr>
        <w:t xml:space="preserve">In de SaaS-modus worden updates door OHADJA geïmplementeerd in de productieomgeving. In de on-premise-modus worden ze ter beschikking gesteld van de Klant. Het is aan hem om door te gaan met de effectieve implementatie ervan, tenzij de implementatiemissie in het bestelformulier aan OHADJA is toevertrouwd.</w:t>
      </w:r>
    </w:p>
    <w:bookmarkEnd w:id="36"/>
    <w:bookmarkStart w:id="37" w:name="X830b4979545a185e94eae7fcd8132e3f317db9a"/>
    <w:p>
      <w:pPr>
        <w:pStyle w:val="Heading3"/>
        <w:keepNext/>
        <w:keepLines/>
      </w:pPr>
      <w:r>
        <w:rPr>
          <w:color w:val="000000"/>
          <w:lang w:val="nl-NL"/>
        </w:rPr>
        <w:t xml:space="preserve">6.2 Uitsluitingen van onderhoud</w:t>
      </w:r>
    </w:p>
    <w:p>
      <w:pPr>
        <w:pStyle w:val="FirstParagraph"/>
      </w:pPr>
      <w:r>
        <w:rPr>
          <w:lang w:val="nl-NL"/>
        </w:rPr>
        <w:t xml:space="preserve">Onder Onderhoud vallen niet storingen die het gevolg zijn van: gebruik niet in overeenstemming met de Documentatie; een wijziging van de Oplossing die niet is geautoriseerd door OHADJA; een defect in de infrastructuur, het netwerk, de werkstations of de software van derden van de Klant (in on-premise Modus); een geval van overmacht; of het niet implementeren door de Klant van de updates die hem ter beschikking worden gesteld.</w:t>
      </w:r>
    </w:p>
    <w:bookmarkEnd w:id="37"/>
    <w:bookmarkStart w:id="38" w:name="Xb2f5fdc13a273b96bb93f053d53153c9f893f46"/>
    <w:p>
      <w:pPr>
        <w:pStyle w:val="Heading3"/>
        <w:keepNext/>
        <w:keepLines/>
      </w:pPr>
      <w:r>
        <w:rPr>
          <w:color w:val="000000"/>
          <w:lang w:val="nl-NL"/>
        </w:rPr>
        <w:t xml:space="preserve">6.3 Ondersteuningskanalen en tijden</w:t>
      </w:r>
    </w:p>
    <w:p>
      <w:pPr>
        <w:pStyle w:val="FirstParagraph"/>
      </w:pPr>
      <w:r>
        <w:rPr>
          <w:lang w:val="nl-NL"/>
        </w:rPr>
        <w:t xml:space="preserve">Technische ondersteuning is per e-mail te bereiken op </w:t>
      </w:r>
      <w:r>
        <w:rPr>
          <w:lang w:val="nl-NL"/>
        </w:rPr>
        <w:t xml:space="preserve"/>
      </w:r>
      <w:hyperlink r:id="rId11">
        <w:r>
          <w:rPr>
            <w:rStyle w:val="Hyperlink"/>
            <w:lang w:val="nl-NL"/>
          </w:rPr>
          <w:t xml:space="preserve">support@transcribia.eu</w:t>
        </w:r>
      </w:hyperlink>
      <w:r>
        <w:rPr>
          <w:lang w:val="nl-NL"/>
        </w:rPr>
        <w:t xml:space="preserve">. Aanvragen worden verwerkt op werkdagen, tijdens kantooruren (09.00 uur – 18.00 uur Midden-Europese tijd). Verzoeken die buiten dit venster worden ontvangen, worden geacht te zijn ontvangen bij de opening van de volgende Werkdag.</w:t>
      </w:r>
    </w:p>
    <w:bookmarkEnd w:id="38"/>
    <w:bookmarkStart w:id="39" w:name="X8ca21d31bc85988755cd74a428742f0a4c91a7d"/>
    <w:p>
      <w:pPr>
        <w:pStyle w:val="Heading3"/>
        <w:keepNext/>
        <w:keepLines/>
      </w:pPr>
      <w:r>
        <w:rPr>
          <w:color w:val="000000"/>
          <w:lang w:val="nl-NL"/>
        </w:rPr>
        <w:t xml:space="preserve">6.4 Toezeggingen over responstijd (gegarandeerde interventietijd)</w:t>
      </w:r>
    </w:p>
    <w:p>
      <w:pPr>
        <w:pStyle w:val="FirstParagraph"/>
      </w:pPr>
      <w:r>
        <w:rPr>
          <w:lang w:val="nl-NL"/>
        </w:rPr>
        <w:t xml:space="preserve">OHADJA stelt de volgende </w:t>
      </w:r>
      <w:r>
        <w:rPr>
          <w:lang w:val="nl-NL"/>
        </w:rPr>
        <w:t xml:space="preserve"/>
      </w:r>
      <w:r>
        <w:rPr>
          <w:b/>
          <w:bCs/>
          <w:lang w:val="nl-NL"/>
        </w:rPr>
        <w:t xml:space="preserve">responstijdtoezeggingen </w:t>
      </w:r>
      <w:r>
        <w:rPr>
          <w:lang w:val="nl-NL"/>
        </w:rPr>
        <w:t xml:space="preserve"/>
      </w:r>
      <w:r>
        <w:rPr>
          <w:lang w:val="nl-NL"/>
        </w:rPr>
        <w:t xml:space="preserve">voor (gegarandeerde interventietijd, GTI), gemeten in Werkuren of Werkdagen vanaf ontvangst van het door de Klant gekwalificeerde verzoek:</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nl-NL"/>
              </w:rPr>
              <w:t xml:space="preserve">Ernstniveau</w:t>
            </w:r>
          </w:p>
        </w:tc>
        <w:tc>
          <w:tcPr/>
          <w:p>
            <w:pPr>
              <w:pStyle w:val="Compact"/>
            </w:pPr>
            <w:r>
              <w:rPr>
                <w:lang w:val="nl-NL"/>
              </w:rPr>
              <w:t xml:space="preserve">Beschrijving</w:t>
            </w:r>
          </w:p>
        </w:tc>
        <w:tc>
          <w:tcPr/>
          <w:p>
            <w:pPr>
              <w:pStyle w:val="Compact"/>
            </w:pPr>
            <w:r>
              <w:rPr>
                <w:lang w:val="nl-NL"/>
              </w:rPr>
              <w:t xml:space="preserve">Voorgestelde overweging</w:t>
            </w:r>
          </w:p>
        </w:tc>
      </w:tr>
      <w:tr>
        <w:trPr>
          <w:cantSplit/>
        </w:trPr>
        <w:tc>
          <w:tcPr/>
          <w:p>
            <w:pPr>
              <w:pStyle w:val="Compact"/>
            </w:pPr>
            <w:r>
              <w:rPr>
                <w:lang w:val="nl-NL"/>
              </w:rPr>
              <w:t xml:space="preserve">Blokkeren</w:t>
            </w:r>
          </w:p>
        </w:tc>
        <w:tc>
          <w:tcPr/>
          <w:p>
            <w:pPr>
              <w:pStyle w:val="Compact"/>
            </w:pPr>
            <w:r>
              <w:rPr>
                <w:lang w:val="nl-NL"/>
              </w:rPr>
              <w:t xml:space="preserve">De Oplossing is onbruikbaar of een essentiële functie is volledig niet beschikbaar, zonder oplossing</w:t>
            </w:r>
          </w:p>
        </w:tc>
        <w:tc>
          <w:tcPr/>
          <w:p>
            <w:pPr>
              <w:pStyle w:val="Compact"/>
            </w:pPr>
            <w:r>
              <w:rPr>
                <w:lang w:val="nl-NL"/>
              </w:rPr>
              <w:t xml:space="preserve">4 werkuren</w:t>
            </w:r>
          </w:p>
        </w:tc>
      </w:tr>
      <w:tr>
        <w:trPr>
          <w:cantSplit/>
        </w:trPr>
        <w:tc>
          <w:tcPr/>
          <w:p>
            <w:pPr>
              <w:pStyle w:val="Compact"/>
            </w:pPr>
            <w:r>
              <w:rPr>
                <w:lang w:val="nl-NL"/>
              </w:rPr>
              <w:t xml:space="preserve">Majoor</w:t>
            </w:r>
          </w:p>
        </w:tc>
        <w:tc>
          <w:tcPr/>
          <w:p>
            <w:pPr>
              <w:pStyle w:val="Compact"/>
            </w:pPr>
            <w:r>
              <w:rPr>
                <w:lang w:val="nl-NL"/>
              </w:rPr>
              <w:t xml:space="preserve">Een belangrijke functie is slecht of niet beschikbaar, met een mogelijke oplossing</w:t>
            </w:r>
          </w:p>
        </w:tc>
        <w:tc>
          <w:tcPr/>
          <w:p>
            <w:pPr>
              <w:pStyle w:val="Compact"/>
            </w:pPr>
            <w:r>
              <w:rPr>
                <w:lang w:val="nl-NL"/>
              </w:rPr>
              <w:t xml:space="preserve">1 werkdag</w:t>
            </w:r>
          </w:p>
        </w:tc>
      </w:tr>
      <w:tr>
        <w:trPr>
          <w:cantSplit/>
        </w:trPr>
        <w:tc>
          <w:tcPr/>
          <w:p>
            <w:pPr>
              <w:pStyle w:val="Compact"/>
            </w:pPr>
            <w:r>
              <w:rPr>
                <w:lang w:val="nl-NL"/>
              </w:rPr>
              <w:t xml:space="preserve">Klein</w:t>
            </w:r>
          </w:p>
        </w:tc>
        <w:tc>
          <w:tcPr/>
          <w:p>
            <w:pPr>
              <w:pStyle w:val="Compact"/>
            </w:pPr>
            <w:r>
              <w:rPr>
                <w:lang w:val="nl-NL"/>
              </w:rPr>
              <w:t xml:space="preserve">Anomalie zonder significante impact op de bedrijfsvoering, verzoek om informatie of ontwikkeling</w:t>
            </w:r>
          </w:p>
        </w:tc>
        <w:tc>
          <w:tcPr/>
          <w:p>
            <w:pPr>
              <w:pStyle w:val="Compact"/>
            </w:pPr>
            <w:r>
              <w:rPr>
                <w:lang w:val="nl-NL"/>
              </w:rPr>
              <w:t xml:space="preserve">Behandeling met de beste inspanning</w:t>
            </w:r>
          </w:p>
        </w:tc>
      </w:tr>
    </w:tbl>
    <w:p>
      <w:pPr>
        <w:pStyle w:val="BodyText"/>
      </w:pPr>
      <w:r>
        <w:rPr>
          <w:i/>
          <w:iCs/>
          <w:lang w:val="nl-NL"/>
        </w:rPr>
        <w:t xml:space="preserve">[Standaardvoorstel – commercieel aan te passen.] </w:t>
      </w:r>
      <w:r>
        <w:rPr>
          <w:lang w:val="nl-NL"/>
        </w:rPr>
        <w:t xml:space="preserve">Bovenstaande </w:t>
      </w:r>
      <w:r>
        <w:rPr>
          <w:lang w:val="nl-NL"/>
        </w:rPr>
        <w:t xml:space="preserve">toezeggingen hebben betrekking op de tijd die </w:t>
      </w:r>
      <w:r>
        <w:rPr>
          <w:lang w:val="nl-NL"/>
        </w:rPr>
        <w:t xml:space="preserve"/>
      </w:r>
      <w:r>
        <w:rPr>
          <w:b/>
          <w:bCs/>
          <w:lang w:val="nl-NL"/>
        </w:rPr>
        <w:t xml:space="preserve">nodig is om het </w:t>
      </w:r>
      <w:r>
        <w:rPr>
          <w:lang w:val="nl-NL"/>
        </w:rPr>
        <w:t xml:space="preserve"/>
      </w:r>
      <w:r>
        <w:rPr>
          <w:lang w:val="nl-NL"/>
        </w:rPr>
        <w:t xml:space="preserve">verzoek in behandeling te nemen (gekwalificeerde ontvangstbevestiging en start van diagnose), en niet op een gegarandeerde oplossingstijd, waarbij de oplossingstijd afhankelijk is van de aard en complexiteit van het Incident. De kwalificatie van het ernstniveau wordt door OHADJA in overleg met de Klant uitgevoerd op basis van objectieve elementen.</w:t>
      </w:r>
    </w:p>
    <w:bookmarkEnd w:id="39"/>
    <w:bookmarkStart w:id="40" w:name="Xcd695a3a3eea8e699acc22ae062ec58b1732093"/>
    <w:p>
      <w:pPr>
        <w:pStyle w:val="Heading3"/>
        <w:keepNext/>
        <w:keepLines/>
      </w:pPr>
      <w:r>
        <w:rPr>
          <w:color w:val="000000"/>
          <w:lang w:val="nl-NL"/>
        </w:rPr>
        <w:t xml:space="preserve">6.5 Operationele doelstellingen en beschikbaarheid</w:t>
      </w:r>
    </w:p>
    <w:p>
      <w:pPr>
        <w:pStyle w:val="FirstParagraph"/>
      </w:pPr>
      <w:r>
        <w:rPr>
          <w:lang w:val="nl-NL"/>
        </w:rPr>
        <w:t xml:space="preserve">In de SaaS-modus implementeert OHADJA redelijke middelen om de beschikbaarheid en continuïteit van de Oplossing te garanderen: toezicht, automatische hervatting van geblokkeerde verwerking, scheiding van componenten, back-ups.</w:t>
      </w:r>
    </w:p>
    <w:p>
      <w:pPr>
        <w:pStyle w:val="BodyText"/>
      </w:pPr>
      <w:r>
        <w:rPr>
          <w:lang w:val="nl-NL"/>
        </w:rPr>
        <w:t xml:space="preserve">De operationele doelstellingen die van toepassing zijn op het </w:t>
      </w:r>
      <w:r>
        <w:rPr>
          <w:lang w:val="nl-NL"/>
        </w:rPr>
        <w:t xml:space="preserve"/>
      </w:r>
      <w:r>
        <w:rPr>
          <w:b/>
          <w:bCs/>
          <w:lang w:val="nl-NL"/>
        </w:rPr>
        <w:t xml:space="preserve">continuïteitsplan zijn: herstelpuntdoelstelling (RPO) </w:t>
      </w:r>
      <w:r>
        <w:rPr>
          <w:lang w:val="nl-NL"/>
        </w:rPr>
        <w:t xml:space="preserve"/>
      </w:r>
      <w:r>
        <w:rPr>
          <w:lang w:val="nl-NL"/>
        </w:rPr>
        <w:t xml:space="preserve">van </w:t>
      </w:r>
      <w:r>
        <w:rPr>
          <w:lang w:val="nl-NL"/>
        </w:rPr>
        <w:t xml:space="preserve"/>
      </w:r>
      <w:r>
        <w:rPr>
          <w:b/>
          <w:bCs/>
          <w:lang w:val="nl-NL"/>
        </w:rPr>
        <w:t xml:space="preserve">24 uur en hersteltijddoelstelling (RTO) van 4 uur. </w:t>
      </w:r>
      <w:r>
        <w:rPr>
          <w:lang w:val="nl-NL"/>
        </w:rPr>
        <w:t xml:space="preserve">Deze waarden vormen operationele doelstellingen die bedoeld zijn om continuïteitsplannen te kaderen, en geen contractuele resultaatsverbintenissen.</w:t>
      </w:r>
    </w:p>
    <w:p>
      <w:pPr>
        <w:pStyle w:val="BodyText"/>
      </w:pPr>
      <w:r>
        <w:rPr>
          <w:b/>
          <w:bCs/>
          <w:lang w:val="nl-NL"/>
        </w:rPr>
        <w:t xml:space="preserve">Contractuele beschikbaarheidsverplichting: [Wordt commercieel gedefiniëerd]. </w:t>
      </w:r>
      <w:r>
        <w:rPr>
          <w:lang w:val="nl-NL"/>
        </w:rPr>
        <w:t xml:space="preserve"/>
      </w:r>
      <w:r>
        <w:rPr>
          <w:lang w:val="nl-NL"/>
        </w:rPr>
        <w:t xml:space="preserve">In deze Voorwaarden is geen gegarandeerd beschikbaarheidstarief vastgelegd; een dergelijke verplichting, indien overeengekomen, is het onderwerp van een afzonderlijke serviceniveaubijlage (SLA) bij de inkooporder.</w:t>
      </w:r>
    </w:p>
    <w:p>
      <w:r>
        <w:pict>
          <v:rect style="width:0;height:1.5pt" o:hralign="center" o:hrstd="t" o:hr="t"/>
        </w:pict>
      </w:r>
    </w:p>
    <w:bookmarkEnd w:id="40"/>
    <w:bookmarkEnd w:id="41"/>
    <w:bookmarkStart w:id="42" w:name="article-7--obligations-du-client"/>
    <w:p>
      <w:pPr>
        <w:pStyle w:val="Heading2"/>
        <w:keepNext/>
        <w:keepLines/>
      </w:pPr>
      <w:r>
        <w:rPr>
          <w:color w:val="000000"/>
          <w:lang w:val="nl-NL"/>
        </w:rPr>
        <w:t xml:space="preserve">Artikel 7 — Verplichtingen van de klant</w:t>
      </w:r>
    </w:p>
    <w:p>
      <w:pPr>
        <w:pStyle w:val="FirstParagraph"/>
      </w:pPr>
      <w:r>
        <w:rPr>
          <w:lang w:val="nl-NL"/>
        </w:rPr>
        <w:t xml:space="preserve">De Klant verbindt zich ertoe:</w:t>
      </w:r>
    </w:p>
    <w:p>
      <w:pPr>
        <w:pStyle w:val="Compact"/>
        <w:numPr>
          <w:ilvl w:val="0"/>
          <w:numId w:val="1003"/>
        </w:numPr>
      </w:pPr>
      <w:r>
        <w:rPr>
          <w:lang w:val="nl-NL"/>
        </w:rPr>
        <w:t xml:space="preserve">de Oplossing gebruiken in overeenstemming met de Documentatie, deze Voorwaarden en de toepasselijke regelgeving;</w:t>
      </w:r>
    </w:p>
    <w:p>
      <w:pPr>
        <w:pStyle w:val="Compact"/>
        <w:numPr>
          <w:ilvl w:val="0"/>
          <w:numId w:val="1003"/>
        </w:numPr>
      </w:pPr>
      <w:r>
        <w:rPr>
          <w:lang w:val="nl-NL"/>
        </w:rPr>
        <w:t xml:space="preserve">een geautoriseerde contactpersoon aanwijzen voor contractuele, technische en ondersteunende relaties;</w:t>
      </w:r>
    </w:p>
    <w:p>
      <w:pPr>
        <w:pStyle w:val="Compact"/>
        <w:numPr>
          <w:ilvl w:val="0"/>
          <w:numId w:val="1003"/>
        </w:numPr>
      </w:pPr>
      <w:r>
        <w:rPr>
          <w:lang w:val="nl-NL"/>
        </w:rPr>
        <w:t xml:space="preserve">zijn eigen gebruikers beheren, roltoewijzing en bescherming van authenticatiemiddelen, en verouderde accounts verwijderen;</w:t>
      </w:r>
    </w:p>
    <w:p>
      <w:pPr>
        <w:pStyle w:val="Compact"/>
        <w:numPr>
          <w:ilvl w:val="0"/>
          <w:numId w:val="1003"/>
        </w:numPr>
      </w:pPr>
      <w:r>
        <w:rPr>
          <w:lang w:val="nl-NL"/>
        </w:rPr>
        <w:t xml:space="preserve">alleen inhoud uploaden waarvoor zij over de noodzakelijke rechten beschikt en de verwerking bepalen die met behulp van de Oplossing wordt uitgevoerd;</w:t>
      </w:r>
    </w:p>
    <w:p>
      <w:pPr>
        <w:pStyle w:val="Compact"/>
        <w:numPr>
          <w:ilvl w:val="0"/>
          <w:numId w:val="1003"/>
        </w:numPr>
      </w:pPr>
      <w:r>
        <w:rPr>
          <w:lang w:val="nl-NL"/>
        </w:rPr>
        <w:t xml:space="preserve">in zijn hoedanigheid van verwerkingsverantwoordelijke de doeleinden, rechtsgrondslagen en bewaartermijnen bepalen en de informatie van de betrokken personen waarborgen (zie artikel 11);</w:t>
      </w:r>
    </w:p>
    <w:p>
      <w:pPr>
        <w:pStyle w:val="Compact"/>
        <w:numPr>
          <w:ilvl w:val="0"/>
          <w:numId w:val="1003"/>
        </w:numPr>
      </w:pPr>
      <w:r>
        <w:rPr>
          <w:lang w:val="nl-NL"/>
        </w:rPr>
        <w:t xml:space="preserve">in de on-premise-modus zorgen voor hosting, beheer, beveiliging, back-ups en toezicht op de omgeving, evenals de implementatie van updates die eraan beschikbaar worden gesteld;</w:t>
      </w:r>
    </w:p>
    <w:p>
      <w:pPr>
        <w:pStyle w:val="Compact"/>
        <w:numPr>
          <w:ilvl w:val="0"/>
          <w:numId w:val="1003"/>
        </w:numPr>
      </w:pPr>
      <w:r>
        <w:rPr>
          <w:lang w:val="nl-NL"/>
        </w:rPr>
        <w:t xml:space="preserve">de verschuldigde bedragen op de overeengekomen vervaldata betalen.</w:t>
      </w:r>
    </w:p>
    <w:p>
      <w:r>
        <w:pict>
          <v:rect style="width:0;height:1.5pt" o:hralign="center" o:hrstd="t" o:hr="t"/>
        </w:pict>
      </w:r>
    </w:p>
    <w:bookmarkEnd w:id="42"/>
    <w:bookmarkStart w:id="46" w:name="article-8--propriété-intellectuelle"/>
    <w:p>
      <w:pPr>
        <w:pStyle w:val="Heading2"/>
        <w:keepNext/>
        <w:keepLines/>
      </w:pPr>
      <w:r>
        <w:rPr>
          <w:color w:val="000000"/>
          <w:lang w:val="nl-NL"/>
        </w:rPr>
        <w:t xml:space="preserve">Artikel 8 — Intellectuele eigendom</w:t>
      </w:r>
    </w:p>
    <w:bookmarkStart w:id="43" w:name="Xdb6c9f18f52406e0a3aeb8932bb1097c849f525"/>
    <w:p>
      <w:pPr>
        <w:pStyle w:val="Heading3"/>
        <w:keepNext/>
        <w:keepLines/>
      </w:pPr>
      <w:r>
        <w:rPr>
          <w:color w:val="000000"/>
          <w:lang w:val="nl-NL"/>
        </w:rPr>
        <w:t xml:space="preserve">8.1 Eigendom</w:t>
      </w:r>
    </w:p>
    <w:p>
      <w:pPr>
        <w:pStyle w:val="FirstParagraph"/>
      </w:pPr>
      <w:r>
        <w:rPr>
          <w:lang w:val="nl-NL"/>
        </w:rPr>
        <w:t xml:space="preserve">De Oplossing, de softwarecomponenten, de broncode, de interfaces, de documentatie en alle gerelateerde intellectuele eigendomsrechten blijven het exclusieve eigendom van OHADJA of zijn licentiegevers. Deze Voorwaarden brengen geen overdracht van </w:t>
      </w:r>
      <w:r>
        <w:rPr>
          <w:lang w:val="nl-NL"/>
        </w:rPr>
        <w:t xml:space="preserve"/>
      </w:r>
      <w:r>
        <w:rPr>
          <w:b/>
          <w:bCs/>
          <w:lang w:val="nl-NL"/>
        </w:rPr>
        <w:t xml:space="preserve">intellectuele </w:t>
      </w:r>
      <w:r>
        <w:rPr>
          <w:lang w:val="nl-NL"/>
        </w:rPr>
        <w:t xml:space="preserve"/>
      </w:r>
      <w:r>
        <w:rPr>
          <w:lang w:val="nl-NL"/>
        </w:rPr>
        <w:t xml:space="preserve">eigendomsrechten ten behoeve van de Klant met zich mee.</w:t>
      </w:r>
    </w:p>
    <w:bookmarkEnd w:id="43"/>
    <w:bookmarkStart w:id="44" w:name="X23e72cf2dfa34ed7f0b7cccaffd4dea4d0da1dc"/>
    <w:p>
      <w:pPr>
        <w:pStyle w:val="Heading3"/>
        <w:keepNext/>
        <w:keepLines/>
      </w:pPr>
      <w:r>
        <w:rPr>
          <w:color w:val="000000"/>
          <w:lang w:val="nl-NL"/>
        </w:rPr>
        <w:t xml:space="preserve">8.2 Gebruikerslicentie</w:t>
      </w:r>
    </w:p>
    <w:p>
      <w:pPr>
        <w:pStyle w:val="FirstParagraph"/>
      </w:pPr>
      <w:r>
        <w:rPr>
          <w:lang w:val="nl-NL"/>
        </w:rPr>
        <w:t xml:space="preserve">OHADJA verleent de Klant, voor de duur van het Contract, een niet-exclusief, niet-overdraagbaar en niet-overdraagbaar recht om de Oplossing te gebruiken, beperkt tot de interne behoeften van de Klant en de reikwijdte gedefinieerd in het bestelformulier. De Klant verbindt zich ertoe de Oplossing niet geheel of gedeeltelijk te kopiëren, decompileren (behalve in wettelijk toegestane gevallen van interoperabiliteit), wijzigen, aanpassen, distribueren of beschikbaar stellen aan derden, buiten de uitdrukkelijk verleende rechten.</w:t>
      </w:r>
    </w:p>
    <w:bookmarkEnd w:id="44"/>
    <w:bookmarkStart w:id="45" w:name="X7543e65181d4e5fb2ed4e9ea316659a0c55d9fe"/>
    <w:p>
      <w:pPr>
        <w:pStyle w:val="Heading3"/>
        <w:keepNext/>
        <w:keepLines/>
      </w:pPr>
      <w:r>
        <w:rPr>
          <w:color w:val="000000"/>
          <w:lang w:val="nl-NL"/>
        </w:rPr>
        <w:t xml:space="preserve">8.3 Klantgegevens en inhoud</w:t>
      </w:r>
    </w:p>
    <w:p>
      <w:pPr>
        <w:pStyle w:val="FirstParagraph"/>
      </w:pPr>
      <w:r>
        <w:rPr>
          <w:lang w:val="nl-NL"/>
        </w:rPr>
        <w:t xml:space="preserve">De gegevens, bestanden en content die Klant met behulp van de Oplossing uploadt of produceert, blijft eigendom van Klant of de betreffende rechthebbenden. OHADJA verkrijgt geen enkel recht op deze inhoud, behalve het recht om deze te verwerken uitsluitend met het oog op het verlenen van de Dienst en in opdracht van de Klant, onder de voorwaarden van de DPA.</w:t>
      </w:r>
    </w:p>
    <w:p>
      <w:r>
        <w:pict>
          <v:rect style="width:0;height:1.5pt" o:hralign="center" o:hrstd="t" o:hr="t"/>
        </w:pict>
      </w:r>
    </w:p>
    <w:bookmarkEnd w:id="45"/>
    <w:bookmarkEnd w:id="46"/>
    <w:bookmarkStart w:id="50" w:name="article-9--garanties-et-responsabilité"/>
    <w:p>
      <w:pPr>
        <w:pStyle w:val="Heading2"/>
        <w:keepNext/>
        <w:keepLines/>
      </w:pPr>
      <w:r>
        <w:rPr>
          <w:color w:val="000000"/>
          <w:lang w:val="nl-NL"/>
        </w:rPr>
        <w:t xml:space="preserve">Artikel 9 — Garanties en aansprakelijkheid</w:t>
      </w:r>
    </w:p>
    <w:bookmarkStart w:id="47" w:name="X0b8e400bf6a0a70396db777e88e8d798a868c12"/>
    <w:p>
      <w:pPr>
        <w:pStyle w:val="Heading3"/>
        <w:keepNext/>
        <w:keepLines/>
      </w:pPr>
      <w:r>
        <w:rPr>
          <w:color w:val="000000"/>
          <w:lang w:val="nl-NL"/>
        </w:rPr>
        <w:t xml:space="preserve">9.1 Garantie van conformiteit</w:t>
      </w:r>
    </w:p>
    <w:p>
      <w:pPr>
        <w:pStyle w:val="FirstParagraph"/>
      </w:pPr>
      <w:r>
        <w:rPr>
          <w:lang w:val="nl-NL"/>
        </w:rPr>
        <w:t xml:space="preserve">OHADJA garandeert dat de Oplossing substantieel in overeenstemming is met de Documentatie. Deze garantie wordt uitgeoefend door middel van correctief onderhoud (artikel 6). Het is niet van toepassing op storingen die vallen onder de uitsluitingen van artikel 6.2.</w:t>
      </w:r>
    </w:p>
    <w:p>
      <w:pPr>
        <w:pStyle w:val="BodyText"/>
      </w:pPr>
      <w:r>
        <w:rPr>
          <w:lang w:val="nl-NL"/>
        </w:rPr>
        <w:t xml:space="preserve">De Oplossing wordt geleverd volgens de stand van de techniek; OHADJA garandeert niet dat automatische transcriptie en verwerking, ondersteund door kunstmatige intelligentie, foutloos is. De door de kunstmatige intelligentie voortgebrachte resultaten vormen suggesties, die vóór elk gebruik onderworpen moeten worden aan een menselijke validatie door de Klant (zie ook artikel 11).</w:t>
      </w:r>
    </w:p>
    <w:bookmarkEnd w:id="47"/>
    <w:bookmarkStart w:id="48" w:name="X0ad58a635193231982d26b1a55fb3177fe222b4"/>
    <w:p>
      <w:pPr>
        <w:pStyle w:val="Heading3"/>
        <w:keepNext/>
        <w:keepLines/>
      </w:pPr>
      <w:r>
        <w:rPr>
          <w:color w:val="000000"/>
          <w:lang w:val="nl-NL"/>
        </w:rPr>
        <w:t xml:space="preserve">9.2 Aansprakelijkheid</w:t>
      </w:r>
    </w:p>
    <w:p>
      <w:pPr>
        <w:pStyle w:val="FirstParagraph"/>
      </w:pPr>
      <w:r>
        <w:rPr>
          <w:lang w:val="nl-NL"/>
        </w:rPr>
        <w:t xml:space="preserve">Elke Partij is verantwoordelijk voor directe schade veroorzaakt aan de andere partij als gevolg van een bewezen schending van haar contractuele verplichtingen.</w:t>
      </w:r>
    </w:p>
    <w:p>
      <w:pPr>
        <w:pStyle w:val="BodyText"/>
      </w:pPr>
      <w:r>
        <w:rPr>
          <w:lang w:val="nl-NL"/>
        </w:rPr>
        <w:t xml:space="preserve">De totale aansprakelijkheid van OHADJA, alle schade en alle oorzaken samen, onder het Contract, is beperkt tot [IN TE </w:t>
      </w:r>
      <w:r>
        <w:rPr>
          <w:lang w:val="nl-NL"/>
        </w:rPr>
        <w:t xml:space="preserve"/>
      </w:r>
      <w:r>
        <w:rPr>
          <w:b/>
          <w:bCs/>
          <w:lang w:val="nl-NL"/>
        </w:rPr>
        <w:t xml:space="preserve">VULLEN: aansprakelijkheidsplafond, b.v. bedrag van de door de Klant betaalde bedragen gedurende de twaalf (12) maanden voorafgaand aan de </w:t>
      </w:r>
      <w:r>
        <w:rPr>
          <w:lang w:val="nl-NL"/>
        </w:rPr>
        <w:t xml:space="preserve">gebeurtenis].</w:t>
      </w:r>
    </w:p>
    <w:p>
      <w:pPr>
        <w:pStyle w:val="BodyText"/>
      </w:pPr>
      <w:r>
        <w:rPr>
          <w:lang w:val="nl-NL"/>
        </w:rPr>
        <w:t xml:space="preserve">Van iedere schadevergoeding is uitgesloten de indirecte schade, in het bijzonder: bedrijfsverlies, omzetverlies, verlies van gegevens die niet te wijten zijn aan een inbreuk op OHADJA, klantenverlies, imagoschade of commerciële schade.</w:t>
      </w:r>
    </w:p>
    <w:bookmarkEnd w:id="48"/>
    <w:bookmarkStart w:id="49" w:name="X1ab4bdd050dbff59b5dd52c5ce452ee2ff9286c"/>
    <w:p>
      <w:pPr>
        <w:pStyle w:val="Heading3"/>
        <w:keepNext/>
        <w:keepLines/>
      </w:pPr>
      <w:r>
        <w:rPr>
          <w:color w:val="000000"/>
          <w:lang w:val="nl-NL"/>
        </w:rPr>
        <w:t xml:space="preserve">9.3 Plafonduitsluitingen</w:t>
      </w:r>
    </w:p>
    <w:p>
      <w:pPr>
        <w:pStyle w:val="FirstParagraph"/>
      </w:pPr>
      <w:r>
        <w:rPr>
          <w:lang w:val="nl-NL"/>
        </w:rPr>
        <w:t xml:space="preserve">De beperkingen en uitsluitingen van artikel 9.2 zijn niet van toepassing in gevallen van fraude, grove nalatigheid, schending van de geheimhoudingsplicht, schending van intellectuele eigendomsrechten, of in gevallen waarin de wet een dergelijke beperking verbiedt.</w:t>
      </w:r>
    </w:p>
    <w:p>
      <w:r>
        <w:pict>
          <v:rect style="width:0;height:1.5pt" o:hralign="center" o:hrstd="t" o:hr="t"/>
        </w:pict>
      </w:r>
    </w:p>
    <w:bookmarkEnd w:id="49"/>
    <w:bookmarkEnd w:id="50"/>
    <w:bookmarkStart w:id="51" w:name="article-10--confidentialité"/>
    <w:p>
      <w:pPr>
        <w:pStyle w:val="Heading2"/>
        <w:keepNext/>
        <w:keepLines/>
      </w:pPr>
      <w:r>
        <w:rPr>
          <w:color w:val="000000"/>
          <w:lang w:val="nl-NL"/>
        </w:rPr>
        <w:t xml:space="preserve">Artikel 10 — Vertrouwelijkheid</w:t>
      </w:r>
    </w:p>
    <w:p>
      <w:pPr>
        <w:pStyle w:val="FirstParagraph"/>
      </w:pPr>
      <w:r>
        <w:rPr>
          <w:lang w:val="nl-NL"/>
        </w:rPr>
        <w:t xml:space="preserve">Elke Partij verbindt zich ertoe de vertrouwelijkheid te bewaren van de niet-openbare informatie van de andere Partij waartoe zij toegang heeft in het kader van het Contract, deze uitsluitend te gebruiken voor de uitvoering van het Contract en deze niet zonder schriftelijke toestemming aan derden bekend te maken, behalve zoals vereist door de wet.</w:t>
      </w:r>
    </w:p>
    <w:p>
      <w:pPr>
        <w:pStyle w:val="BodyText"/>
      </w:pPr>
      <w:r>
        <w:rPr>
          <w:lang w:val="nl-NL"/>
        </w:rPr>
        <w:t xml:space="preserve">Deze verplichting geldt voor de gehele duur van het Contract en blijft van kracht gedurende [IN TE VULLEN: duur, b.v. 5 jaar] vanaf het einde. Openbare informatie, informatie die reeds bekend is bij de Ontvangende Partij zonder verplichting tot vertrouwelijkheid, of informatie die onafhankelijk is ontwikkeld, valt niet onder de dekking.</w:t>
      </w:r>
    </w:p>
    <w:p>
      <w:pPr>
        <w:pStyle w:val="BodyText"/>
      </w:pPr>
      <w:r>
        <w:rPr>
          <w:lang w:val="nl-NL"/>
        </w:rPr>
        <w:t xml:space="preserve">De verplichtingen met betrekking tot persoonsgegevens worden beheerst door artikel 11 en de Verwerkersovereenkomst, die wat hen betreft voorrang hebben op dit artikel.</w:t>
      </w:r>
    </w:p>
    <w:p>
      <w:r>
        <w:pict>
          <v:rect style="width:0;height:1.5pt" o:hralign="center" o:hrstd="t" o:hr="t"/>
        </w:pict>
      </w:r>
    </w:p>
    <w:bookmarkEnd w:id="51"/>
    <w:bookmarkStart w:id="52" w:name="X77a4dab9227de10d97e2d40aab3b65bdd005a15"/>
    <w:p>
      <w:pPr>
        <w:pStyle w:val="Heading2"/>
        <w:keepNext/>
        <w:keepLines/>
      </w:pPr>
      <w:r>
        <w:rPr>
          <w:color w:val="000000"/>
          <w:lang w:val="nl-NL"/>
        </w:rPr>
        <w:t xml:space="preserve">Artikel 11 — Persoonsgegevens</w:t>
      </w:r>
    </w:p>
    <w:p>
      <w:pPr>
        <w:pStyle w:val="FirstParagraph"/>
      </w:pPr>
      <w:r>
        <w:rPr>
          <w:lang w:val="nl-NL"/>
        </w:rPr>
        <w:t xml:space="preserve">Bij het leveren van de Oplossing handelt OHADJA als verwerker </w:t>
      </w:r>
      <w:r>
        <w:rPr>
          <w:lang w:val="nl-NL"/>
        </w:rPr>
        <w:t xml:space="preserve"/>
      </w:r>
      <w:r>
        <w:rPr>
          <w:b/>
          <w:bCs/>
          <w:lang w:val="nl-NL"/>
        </w:rPr>
        <w:t xml:space="preserve">in de zin </w:t>
      </w:r>
      <w:r>
        <w:rPr>
          <w:lang w:val="nl-NL"/>
        </w:rPr>
        <w:t xml:space="preserve">van </w:t>
      </w:r>
      <w:r>
        <w:rPr>
          <w:lang w:val="nl-NL"/>
        </w:rPr>
        <w:t xml:space="preserve">artikel 28 van Verordening (EU) 2016/679 (AVG) en handelt de Klant als </w:t>
      </w:r>
      <w:r>
        <w:rPr>
          <w:lang w:val="nl-NL"/>
        </w:rPr>
        <w:t xml:space="preserve"/>
      </w:r>
      <w:r>
        <w:rPr>
          <w:b/>
          <w:bCs/>
          <w:lang w:val="nl-NL"/>
        </w:rPr>
        <w:t xml:space="preserve"/>
      </w:r>
      <w:r>
        <w:rPr>
          <w:lang w:val="nl-NL"/>
        </w:rPr>
        <w:t xml:space="preserve">verwerkingsverantwoordelijke.</w:t>
      </w:r>
    </w:p>
    <w:p>
      <w:pPr>
        <w:pStyle w:val="BodyText"/>
      </w:pPr>
      <w:r>
        <w:rPr>
          <w:lang w:val="nl-NL"/>
        </w:rPr>
        <w:t xml:space="preserve">De voorwaarden voor de verwerking van persoonsgegevens – gedocumenteerde instructies, vertrouwelijkheid, technische en organisatorische maatregelen (artikel 32), gebruik van subverwerkers, overdrachten, kennisgeving van schendingen, hulp bij het uitoefenen van rechten, auditing, restitutie en verwijdering – worden beheerst door de </w:t>
      </w:r>
      <w:r>
        <w:rPr>
          <w:b/>
          <w:bCs/>
          <w:lang w:val="nl-NL"/>
        </w:rPr>
        <w:t xml:space="preserve">persoonsgegevens Verwerkingsovereenkomst (DPA, artikel 28 AVG) die is bijgevoegd </w:t>
      </w:r>
      <w:r>
        <w:rPr>
          <w:lang w:val="nl-NL"/>
        </w:rPr>
        <w:t xml:space="preserve"/>
      </w:r>
      <w:r>
        <w:rPr>
          <w:lang w:val="nl-NL"/>
        </w:rPr>
        <w:t xml:space="preserve">het Contract, dat er integraal deel van uitmaakt.</w:t>
      </w:r>
    </w:p>
    <w:p>
      <w:pPr>
        <w:pStyle w:val="BodyText"/>
      </w:pPr>
      <w:r>
        <w:rPr>
          <w:lang w:val="nl-NL"/>
        </w:rPr>
        <w:t xml:space="preserve">In geval van tegenstrijdigheid tussen deze Voorwaarden en de DPA met betrekking tot de bescherming van persoonsgegevens, prevaleren de bepalingen van de DPA.</w:t>
      </w:r>
    </w:p>
    <w:p>
      <w:pPr>
        <w:pStyle w:val="BodyText"/>
      </w:pPr>
      <w:r>
        <w:rPr>
          <w:lang w:val="nl-NL"/>
        </w:rPr>
        <w:t xml:space="preserve">De Klant blijft verantwoordelijk voor de rechtmatigheid van de verwerking, het bepalen van de doeleinden en rechtsgrondslagen, de informatie van de betrokken personen, het beheer van hun rechten en, indien van toepassing, het uitvoeren van een impactanalyse met betrekking tot gegevensbescherming (artikel 35 AVG).</w:t>
      </w:r>
    </w:p>
    <w:p>
      <w:r>
        <w:pict>
          <v:rect style="width:0;height:1.5pt" o:hralign="center" o:hrstd="t" o:hr="t"/>
        </w:pict>
      </w:r>
    </w:p>
    <w:bookmarkEnd w:id="52"/>
    <w:bookmarkStart w:id="53" w:name="article-12--réversibilité"/>
    <w:p>
      <w:pPr>
        <w:pStyle w:val="Heading2"/>
        <w:keepNext/>
        <w:keepLines/>
      </w:pPr>
      <w:r>
        <w:rPr>
          <w:color w:val="000000"/>
          <w:lang w:val="nl-NL"/>
        </w:rPr>
        <w:t xml:space="preserve">Artikel 12 — Omkeerbaarheid</w:t>
      </w:r>
    </w:p>
    <w:p>
      <w:pPr>
        <w:pStyle w:val="FirstParagraph"/>
      </w:pPr>
      <w:r>
        <w:rPr>
          <w:lang w:val="nl-NL"/>
        </w:rPr>
        <w:t xml:space="preserve">Aan het einde van het Contract, ongeacht de oorzaak, voert OHADJA de omkeerbaarheidsoperaties uit zoals bepaald in </w:t>
      </w:r>
      <w:r>
        <w:rPr>
          <w:lang w:val="nl-NL"/>
        </w:rPr>
        <w:t xml:space="preserve"/>
      </w:r>
      <w:r>
        <w:rPr>
          <w:b/>
          <w:bCs/>
          <w:lang w:val="nl-NL"/>
        </w:rPr>
        <w:t xml:space="preserve">paragraaf 11 van de </w:t>
      </w:r>
      <w:r>
        <w:rPr>
          <w:lang w:val="nl-NL"/>
        </w:rPr>
        <w:t xml:space="preserve"/>
      </w:r>
      <w:r>
        <w:rPr>
          <w:lang w:val="nl-NL"/>
        </w:rPr>
        <w:t xml:space="preserve">DPA:</w:t>
      </w:r>
    </w:p>
    <w:p>
      <w:pPr>
        <w:pStyle w:val="Compact"/>
        <w:numPr>
          <w:ilvl w:val="0"/>
          <w:numId w:val="1004"/>
        </w:numPr>
      </w:pPr>
      <w:r>
        <w:rPr>
          <w:b/>
          <w:bCs/>
          <w:lang w:val="nl-NL"/>
        </w:rPr>
        <w:t xml:space="preserve">Restitutie: </w:t>
      </w:r>
      <w:r>
        <w:rPr>
          <w:lang w:val="nl-NL"/>
        </w:rPr>
        <w:t xml:space="preserve"/>
      </w:r>
      <w:r>
        <w:rPr>
          <w:lang w:val="nl-NL"/>
        </w:rPr>
        <w:t xml:space="preserve">verstrekking aan Klant van exporteerbare gegevens in een standaardformaat beschikbaar in de Oplossing (volledige export per organisatie, ondertekend). De Klant kan deze selfservice-export vanuit de Oplossing ook vóór de einddatum uitvoeren.</w:t>
      </w:r>
    </w:p>
    <w:p>
      <w:pPr>
        <w:pStyle w:val="Compact"/>
        <w:numPr>
          <w:ilvl w:val="0"/>
          <w:numId w:val="1004"/>
        </w:numPr>
      </w:pPr>
      <w:r>
        <w:rPr>
          <w:b/>
          <w:bCs/>
          <w:lang w:val="nl-NL"/>
        </w:rPr>
        <w:t xml:space="preserve">Verwijdering: </w:t>
      </w:r>
      <w:r>
        <w:rPr>
          <w:lang w:val="nl-NL"/>
        </w:rPr>
        <w:t xml:space="preserve"/>
      </w:r>
      <w:r>
        <w:rPr>
          <w:lang w:val="nl-NL"/>
        </w:rPr>
        <w:t xml:space="preserve">verwijdering van de productiegegevens van de Klant binnen een periode van </w:t>
      </w:r>
      <w:r>
        <w:rPr>
          <w:lang w:val="nl-NL"/>
        </w:rPr>
        <w:t xml:space="preserve">maximaal </w:t>
      </w:r>
      <w:r>
        <w:rPr>
          <w:b/>
          <w:bCs/>
          <w:lang w:val="nl-NL"/>
        </w:rPr>
        <w:t xml:space="preserve">dertig (30) kalenderdagen </w:t>
      </w:r>
      <w:r>
        <w:rPr>
          <w:lang w:val="nl-NL"/>
        </w:rPr>
        <w:t xml:space="preserve">na </w:t>
      </w:r>
      <w:r>
        <w:rPr>
          <w:lang w:val="nl-NL"/>
        </w:rPr>
        <w:t xml:space="preserve">het effectieve einde van het Contract of de ontvangst van de schriftelijke verwijderingsinstructie, afhankelijk van welke datum later valt.</w:t>
      </w:r>
    </w:p>
    <w:p>
      <w:pPr>
        <w:pStyle w:val="Compact"/>
        <w:numPr>
          <w:ilvl w:val="0"/>
          <w:numId w:val="1004"/>
        </w:numPr>
      </w:pPr>
      <w:r>
        <w:rPr>
          <w:b/>
          <w:bCs/>
          <w:lang w:val="nl-NL"/>
        </w:rPr>
        <w:t xml:space="preserve">Opschonen van back-ups: </w:t>
      </w:r>
      <w:r>
        <w:rPr>
          <w:lang w:val="nl-NL"/>
        </w:rPr>
        <w:t xml:space="preserve"/>
      </w:r>
      <w:r>
        <w:rPr>
          <w:lang w:val="nl-NL"/>
        </w:rPr>
        <w:t xml:space="preserve">het opschonen van resterende technische back-ups volgens hun normale rotatiecyclus, binnen een maximale </w:t>
      </w:r>
      <w:r>
        <w:rPr>
          <w:lang w:val="nl-NL"/>
        </w:rPr>
        <w:t xml:space="preserve"/>
      </w:r>
      <w:r>
        <w:rPr>
          <w:b/>
          <w:bCs/>
          <w:lang w:val="nl-NL"/>
        </w:rPr>
        <w:t xml:space="preserve">periode van negentig (90) </w:t>
      </w:r>
      <w:r>
        <w:rPr>
          <w:lang w:val="nl-NL"/>
        </w:rPr>
        <w:t xml:space="preserve">kalenderdagen.</w:t>
      </w:r>
    </w:p>
    <w:p>
      <w:pPr>
        <w:pStyle w:val="Compact"/>
        <w:numPr>
          <w:ilvl w:val="0"/>
          <w:numId w:val="1004"/>
        </w:numPr>
      </w:pPr>
      <w:r>
        <w:rPr>
          <w:b/>
          <w:bCs/>
          <w:lang w:val="nl-NL"/>
        </w:rPr>
        <w:t xml:space="preserve">Certificaat: </w:t>
      </w:r>
      <w:r>
        <w:rPr>
          <w:lang w:val="nl-NL"/>
        </w:rPr>
        <w:t xml:space="preserve"/>
      </w:r>
      <w:r>
        <w:rPr>
          <w:lang w:val="nl-NL"/>
        </w:rPr>
        <w:t xml:space="preserve">op schriftelijk verzoek afgifte van een certificaat van verwijdering of restitutie binnen dertig (30) kalenderdagen na voltooiing van de betreffende handeling.</w:t>
      </w:r>
    </w:p>
    <w:p>
      <w:pPr>
        <w:pStyle w:val="FirstParagraph"/>
      </w:pPr>
      <w:r>
        <w:rPr>
          <w:lang w:val="nl-NL"/>
        </w:rPr>
        <w:t xml:space="preserve">De operationele doelstellingen gekoppeld aan het continuïteitsplan (24-uurs RPO / 4-uurs RTO) worden herhaald in artikel 6.5. Hierin wordt geen contractuele beschikbaarheidsverplichting vastgelegd; het moet indien nodig nog commercieel worden gedefinieerd.</w:t>
      </w:r>
    </w:p>
    <w:p>
      <w:r>
        <w:pict>
          <v:rect style="width:0;height:1.5pt" o:hralign="center" o:hrstd="t" o:hr="t"/>
        </w:pict>
      </w:r>
    </w:p>
    <w:bookmarkEnd w:id="53"/>
    <w:bookmarkStart w:id="54" w:name="article-13--force-majeure"/>
    <w:p>
      <w:pPr>
        <w:pStyle w:val="Heading2"/>
        <w:keepNext/>
        <w:keepLines/>
      </w:pPr>
      <w:r>
        <w:rPr>
          <w:color w:val="000000"/>
          <w:lang w:val="nl-NL"/>
        </w:rPr>
        <w:t xml:space="preserve">Artikel 13 — Overmacht</w:t>
      </w:r>
    </w:p>
    <w:p>
      <w:pPr>
        <w:pStyle w:val="FirstParagraph"/>
      </w:pPr>
      <w:r>
        <w:rPr>
          <w:lang w:val="nl-NL"/>
        </w:rPr>
        <w:t xml:space="preserve">Geen van beide partijen kan aansprakelijk worden gesteld voor het niet nakomen van haar verplichtingen als gevolg van een geval van overmacht in de zin van artikel 1218 van het Burgerlijk Wetboek en de jurisprudentie van de Franse rechtbanken.</w:t>
      </w:r>
    </w:p>
    <w:p>
      <w:pPr>
        <w:pStyle w:val="BodyText"/>
      </w:pPr>
      <w:r>
        <w:rPr>
          <w:lang w:val="nl-NL"/>
        </w:rPr>
        <w:t xml:space="preserve">De getroffen partij stelt de andere partij onverwijld op de hoogte. Getroffen verplichtingen worden voor de duur van het evenement opgeschort. Indien de overmacht langer voortduurt dan [IN TE VULLEN: duur, b.v. 60 dagen], kan elke Partij het Contract automatisch en zonder schadevergoeding opzeggen per aangetekende brief met ontvangstbevestiging.</w:t>
      </w:r>
    </w:p>
    <w:p>
      <w:r>
        <w:pict>
          <v:rect style="width:0;height:1.5pt" o:hralign="center" o:hrstd="t" o:hr="t"/>
        </w:pict>
      </w:r>
    </w:p>
    <w:bookmarkEnd w:id="54"/>
    <w:bookmarkStart w:id="55" w:name="Xc4b392dafc8714d4a4ae6a67b462422fb2e378b"/>
    <w:p>
      <w:pPr>
        <w:pStyle w:val="Heading2"/>
        <w:keepNext/>
        <w:keepLines/>
      </w:pPr>
      <w:r>
        <w:rPr>
          <w:color w:val="000000"/>
          <w:lang w:val="nl-NL"/>
        </w:rPr>
        <w:t xml:space="preserve">Artikel 14 — Toepasselijk recht en jurisdictie</w:t>
      </w:r>
    </w:p>
    <w:p>
      <w:pPr>
        <w:pStyle w:val="FirstParagraph"/>
      </w:pPr>
      <w:r>
        <w:rPr>
          <w:lang w:val="nl-NL"/>
        </w:rPr>
        <w:t xml:space="preserve">Op deze Voorwaarden is Frans recht </w:t>
      </w:r>
      <w:r>
        <w:rPr>
          <w:lang w:val="nl-NL"/>
        </w:rPr>
        <w:t xml:space="preserve"/>
      </w:r>
      <w:r>
        <w:rPr>
          <w:b/>
          <w:bCs/>
          <w:lang w:val="nl-NL"/>
        </w:rPr>
        <w:t xml:space="preserve">van </w:t>
      </w:r>
      <w:r>
        <w:rPr>
          <w:lang w:val="nl-NL"/>
        </w:rPr>
        <w:t xml:space="preserve">toepassing.</w:t>
      </w:r>
    </w:p>
    <w:p>
      <w:pPr>
        <w:pStyle w:val="BodyText"/>
      </w:pPr>
      <w:r>
        <w:rPr>
          <w:lang w:val="nl-NL"/>
        </w:rPr>
        <w:t xml:space="preserve">Elk geschil over de geldigheid, uitleg, uitvoering of beëindiging ervan valt, bij gebrek aan een minnelijke regeling, onder de exclusieve bevoegdheid van de rechtbanken van </w:t>
      </w:r>
      <w:r>
        <w:rPr>
          <w:lang w:val="nl-NL"/>
        </w:rPr>
        <w:t xml:space="preserve"/>
      </w:r>
      <w:r>
        <w:rPr>
          <w:b/>
          <w:bCs/>
          <w:lang w:val="nl-NL"/>
        </w:rPr>
        <w:t xml:space="preserve">Parijs, tenzij een </w:t>
      </w:r>
      <w:r>
        <w:rPr>
          <w:lang w:val="nl-NL"/>
        </w:rPr>
        <w:t xml:space="preserve">andersluidende dwingende bepaling op de Klant van toepassing is, met name wanneer deze een publiekrechtelijke rechtspersoon is.</w:t>
      </w:r>
    </w:p>
    <w:p>
      <w:r>
        <w:pict>
          <v:rect style="width:0;height:1.5pt" o:hralign="center" o:hrstd="t" o:hr="t"/>
        </w:pict>
      </w:r>
    </w:p>
    <w:bookmarkEnd w:id="55"/>
    <w:bookmarkStart w:id="56" w:name="article-15--stipulations-diverses"/>
    <w:p>
      <w:pPr>
        <w:pStyle w:val="Heading2"/>
        <w:keepNext/>
        <w:keepLines/>
      </w:pPr>
      <w:r>
        <w:rPr>
          <w:color w:val="000000"/>
          <w:lang w:val="nl-NL"/>
        </w:rPr>
        <w:t xml:space="preserve">Artikel 15 — Diverse bepalingen</w:t>
      </w:r>
    </w:p>
    <w:p>
      <w:pPr>
        <w:pStyle w:val="Compact"/>
        <w:numPr>
          <w:ilvl w:val="0"/>
          <w:numId w:val="1005"/>
        </w:numPr>
      </w:pPr>
      <w:r>
        <w:rPr>
          <w:b/>
          <w:bCs/>
          <w:lang w:val="nl-NL"/>
        </w:rPr>
        <w:t xml:space="preserve">Volledigheid: </w:t>
      </w:r>
      <w:r>
        <w:rPr>
          <w:lang w:val="nl-NL"/>
        </w:rPr>
        <w:t xml:space="preserve">het </w:t>
      </w:r>
      <w:r>
        <w:rPr>
          <w:lang w:val="nl-NL"/>
        </w:rPr>
        <w:t xml:space="preserve">Contract geeft uitdrukking aan de volledige overeenstemming tussen de Partijen over het onderwerp ervan en heeft voorrang op elke voorafgaande uitwisseling.</w:t>
      </w:r>
    </w:p>
    <w:p>
      <w:pPr>
        <w:pStyle w:val="Compact"/>
        <w:numPr>
          <w:ilvl w:val="0"/>
          <w:numId w:val="1005"/>
        </w:numPr>
      </w:pPr>
      <w:r>
        <w:rPr>
          <w:b/>
          <w:bCs/>
          <w:lang w:val="nl-NL"/>
        </w:rPr>
        <w:t xml:space="preserve">Gedeeltelijke </w:t>
      </w:r>
      <w:r>
        <w:rPr>
          <w:lang w:val="nl-NL"/>
        </w:rPr>
        <w:t xml:space="preserve">nietigheid: </w:t>
      </w:r>
      <w:r>
        <w:rPr>
          <w:lang w:val="nl-NL"/>
        </w:rPr>
        <w:t xml:space="preserve">indien een bepaling nietig of niet van toepassing wordt verklaard, blijven de overige bepalingen van kracht; de partijen vervangen deze door een bepaling van gelijke strekking.</w:t>
      </w:r>
    </w:p>
    <w:p>
      <w:pPr>
        <w:pStyle w:val="Compact"/>
        <w:numPr>
          <w:ilvl w:val="0"/>
          <w:numId w:val="1005"/>
        </w:numPr>
      </w:pPr>
      <w:r>
        <w:rPr>
          <w:b/>
          <w:bCs/>
          <w:lang w:val="nl-NL"/>
        </w:rPr>
        <w:t xml:space="preserve">Geen afstand van </w:t>
      </w:r>
      <w:r>
        <w:rPr>
          <w:lang w:val="nl-NL"/>
        </w:rPr>
        <w:t xml:space="preserve"/>
      </w:r>
      <w:r>
        <w:rPr>
          <w:lang w:val="nl-NL"/>
        </w:rPr>
        <w:t xml:space="preserve">recht: wanneer een Partij zich niet op een tekortkoming beroept, doet zij geen afstand van het recht zich daar later alsnog op te beroepen.</w:t>
      </w:r>
    </w:p>
    <w:p>
      <w:pPr>
        <w:pStyle w:val="Compact"/>
        <w:numPr>
          <w:ilvl w:val="0"/>
          <w:numId w:val="1005"/>
        </w:numPr>
      </w:pPr>
      <w:r>
        <w:rPr>
          <w:b/>
          <w:bCs/>
          <w:lang w:val="nl-NL"/>
        </w:rPr>
        <w:t xml:space="preserve">Overdracht: </w:t>
      </w:r>
      <w:r>
        <w:rPr>
          <w:lang w:val="nl-NL"/>
        </w:rPr>
        <w:t xml:space="preserve"/>
      </w:r>
      <w:r>
        <w:rPr>
          <w:lang w:val="nl-NL"/>
        </w:rPr>
        <w:t xml:space="preserve">de Overeenkomst mag door de Klant niet worden overgedragen zonder voorafgaande schriftelijke toestemming van OHADJA.</w:t>
      </w:r>
    </w:p>
    <w:p>
      <w:pPr>
        <w:pStyle w:val="Compact"/>
        <w:numPr>
          <w:ilvl w:val="0"/>
          <w:numId w:val="1005"/>
        </w:numPr>
      </w:pPr>
      <w:r>
        <w:rPr>
          <w:b/>
          <w:bCs/>
          <w:lang w:val="nl-NL"/>
        </w:rPr>
        <w:t xml:space="preserve">Wijziging: elke </w:t>
      </w:r>
      <w:r>
        <w:rPr>
          <w:lang w:val="nl-NL"/>
        </w:rPr>
        <w:t xml:space="preserve"/>
      </w:r>
      <w:r>
        <w:rPr>
          <w:lang w:val="nl-NL"/>
        </w:rPr>
        <w:t xml:space="preserve">wijziging is onderworpen aan een schriftelijke wijziging die door de Partijen wordt aanvaard.</w:t>
      </w:r>
    </w:p>
    <w:p>
      <w:r>
        <w:pict>
          <v:rect style="width:0;height:1.5pt" o:hralign="center" o:hrstd="t" o:hr="t"/>
        </w:pict>
      </w:r>
    </w:p>
    <w:p>
      <w:pPr>
        <w:pStyle w:val="FirstParagraph"/>
      </w:pPr>
      <w:r>
        <w:rPr>
          <w:i/>
          <w:iCs/>
          <w:lang w:val="nl-NL"/>
        </w:rPr>
        <w:t xml:space="preserve">Werkdocument opgesteld door OHADJA — moet vóór ondertekening worden gevalideerd door uw juridisch adviseur/DPO.</w:t>
      </w:r>
    </w:p>
    <w:bookmarkEnd w:id="56"/>
    <w:bookmarkEnd w:id="57"/>
    <w:p>
      <w:pPr>
        <w:pStyle w:val="Heading1"/>
        <w:pageBreakBefore/>
        <w:keepNext/>
        <w:keepLines/>
      </w:pPr>
      <w:r>
        <w:rPr>
          <w:lang w:val="nl-NL"/>
          <w:color w:val="000000"/>
        </w:rPr>
        <w:t xml:space="preserve">Bijlage over nationale implementatieregels</w:t>
      </w:r>
    </w:p>
    <w:p>
      <w:pPr>
        <w:pStyle w:val="Heading2"/>
        <w:keepNext/>
        <w:keepLines/>
      </w:pPr>
      <w:r>
        <w:rPr>
          <w:lang w:val="nl-NL"/>
          <w:color w:val="000000"/>
        </w:rPr>
        <w:t xml:space="preserve">Reikwijdte van deze bijlage</w:t>
      </w:r>
    </w:p>
    <w:p>
      <w:pPr>
        <w:pStyle w:val="BodyText"/>
      </w:pPr>
      <w:r>
        <w:rPr>
          <w:lang w:val="nl-NL"/>
        </w:rPr>
        <w:t xml:space="preserve">Deze editie behandelt het AVG-kader van de Europese Unie en de onderstaande implementatiepunten voor Frankrijk, Ierland, Nederland, Spanje en Portugal. De toelichtingen moeten worden gelezen in het licht van het feitelijke land en gebruik van de Klant, ongeacht de taal van het document. Zij vullen de projectdocumenten aan zonder automatisch de identiteit van partijen, het gekozen Franse recht of de aangewezen rechtbanken te wijzigen. Toepasselijke dwingende regels blijven voorbehouden. Franse nationale verwijzingen in de hoofdtekst blijven als zodanig herkenbaar; zij vormen geen buitenlandse equivalenten.</w:t>
      </w:r>
    </w:p>
    <w:p>
      <w:pPr>
        <w:pStyle w:val="Heading2"/>
        <w:keepNext/>
        <w:keepLines/>
      </w:pPr>
      <w:r>
        <w:rPr>
          <w:lang w:val="nl-NL"/>
          <w:color w:val="000000"/>
        </w:rPr>
        <w:t xml:space="preserve">Europees kader te documenteren vóór ingebruikname</w:t>
      </w:r>
    </w:p>
    <w:p>
      <w:pPr>
        <w:pStyle w:val="BodyText"/>
      </w:pPr>
      <w:r>
        <w:rPr>
          <w:lang w:val="nl-NL"/>
        </w:rPr>
        <w:t xml:space="preserve">De Klant moet het doel, de noodzaak, de evenredigheid en de rechtsgrond van elke opname en verwerking bepalen; personen vóór de verzameling informeren; ontvangers, bewaartermijnen en mogelijkheden voor het uitoefenen van rechten vastleggen; en voor aan een verwerker toevertrouwde handelingen een overeenkomst sluiten die aan artikel 28 voldoet. Alleen informeren, raadplegen of menselijke validatie maakt een verwerking niet rechtmatig. Toestemming van werknemers moet voorzichtig worden beoordeeld gezien de ongelijke verhouding tot de werkgever.</w:t>
      </w:r>
    </w:p>
    <w:p>
      <w:pPr>
        <w:pStyle w:val="BodyText"/>
      </w:pPr>
      <w:r>
        <w:rPr>
          <w:lang w:val="nl-NL"/>
        </w:rPr>
        <w:t xml:space="preserve">Bij verwerking van bijzondere categorieën gegevens moet naast de grondslag van artikel 6 een toepasselijke voorwaarde van artikel 9 worden vastgesteld. Stemvergelijking voor unieke identificatie moet op biometrische aspecten worden beoordeeld, ook zonder blijvend sjabloon. Vóór verwerkingen die waarschijnlijk een hoog risico opleveren, moet een effectbeoordeling worden uitgevoerd; de regels voor voorafgaande raadpleging van de autoriteit blijven gelden wanneer aan de voorwaarden van artikel 36 is voldaan. Lokale hosting of een addendum ontslaat niet van deze beoordeling.</w:t>
      </w:r>
    </w:p>
    <w:p>
      <w:pPr>
        <w:pStyle w:val="BodyText"/>
      </w:pPr>
      <w:r>
        <w:rPr>
          <w:lang w:val="nl-NL"/>
        </w:rPr>
        <w:t xml:space="preserve">De bevoegde autoriteit wordt bepaald door de AVG-regels, met name bij grensoverschrijdende verwerking; zij hangt niet af van de gekozen taal. De verwerker waarschuwt de Klant zonder onredelijke vertraging. De verwerkingsverantwoordelijke meldt de inbreuk aan de bevoegde autoriteit onder de voorwaarden van artikel 33, waar mogelijk binnen 72 uur na kennisneming, tenzij deze waarschijnlijk geen risico voor rechten en vrijheden oplevert. Voor mededeling aan personen gelden de voorwaarden van artikel 34.</w:t>
      </w:r>
    </w:p>
    <w:p>
      <w:pPr>
        <w:pStyle w:val="BodyText"/>
      </w:pPr>
      <w:r>
        <w:rPr>
          <w:lang w:val="nl-NL"/>
        </w:rPr>
        <w:t xml:space="preserve">Europese bronnen https://eur-lex.europa.eu/eli/reg/2016/679/oj en https://www.edpb.europa.eu/documents/guideline/guidelines-052020-on-consent-under-regulation-2016679_en</w:t>
      </w:r>
    </w:p>
    <w:p>
      <w:pPr>
        <w:pStyle w:val="Heading2"/>
        <w:keepNext/>
        <w:keepLines/>
      </w:pPr>
      <w:r>
        <w:rPr>
          <w:lang w:val="nl-NL"/>
          <w:color w:val="000000"/>
        </w:rPr>
        <w:t xml:space="preserve">Frankrijk</w:t>
      </w:r>
    </w:p>
    <w:p>
      <w:pPr>
        <w:pStyle w:val="BodyText"/>
      </w:pPr>
      <w:r>
        <w:rPr>
          <w:lang w:val="nl-NL"/>
        </w:rPr>
        <w:t xml:space="preserve">Bepaal voor implementatie in Frankrijk de verplichtingen voor informatie aan werknemers en voorafgaande raadpleging van de CSE op basis van het systeem, de personeelsomvang en het toepasselijke wettelijke bereik. De Franse Code du travail betreft onder meer technieken die controle van activiteiten mogelijk maken, ook als het product als schrijfondersteuning wordt gepresenteerd. Informatie en raadpleging vervangen niet de beoordeling van rechtmatigheid, noodzaak en evenredigheid, noch de regels voor privégesprekken, gevoelige gegevens en vertrouwelijkheid. De CNIL is de nationale toezichthouder, onder voorbehoud van de bevoegdheidsregels van de AVG.</w:t>
      </w:r>
    </w:p>
    <w:p>
      <w:pPr>
        <w:pStyle w:val="BodyText"/>
      </w:pPr>
      <w:r>
        <w:rPr>
          <w:lang w:val="nl-NL"/>
        </w:rPr>
        <w:t xml:space="preserve">Franse bronnen Code du travail, artikelen L1222-4 en L2312-38 https://www.legifrance.gouv.fr/codes/article_lc/LEGIARTI000006900861 en https://www.legifrance.gouv.fr/codes/section_lc/LEGITEXT000006072050/LEGISCTA000035610273/</w:t>
      </w:r>
    </w:p>
    <w:p>
      <w:pPr>
        <w:pStyle w:val="Heading2"/>
        <w:keepNext/>
        <w:keepLines/>
      </w:pPr>
      <w:r>
        <w:rPr>
          <w:lang w:val="nl-NL"/>
          <w:color w:val="000000"/>
        </w:rPr>
        <w:t xml:space="preserve">Ierland</w:t>
      </w:r>
    </w:p>
    <w:p>
      <w:pPr>
        <w:pStyle w:val="BodyText"/>
      </w:pPr>
      <w:r>
        <w:rPr>
          <w:lang w:val="nl-NL"/>
        </w:rPr>
        <w:t xml:space="preserve">Pas voor implementatie in Ierland de AVG en het nationale kader toe; documenteer de rechtsgrond en informeer deelnemers vóór de opname. Onderzoek de informatie- en raadplegingsverplichtingen jegens werknemers op basis van het toepassingsgebied, de personeelsomvang, collectieve overeenkomsten en bestaande regelingen. Het Ierse stelsel is niet hetzelfde als de Franse CSE en legt niet iedere werkgever een identieke raadpleging op. De Data Protection Commission is de nationale toezichthouder, onder voorbehoud van de grensoverschrijdende bevoegdheidsregels.</w:t>
      </w:r>
    </w:p>
    <w:p>
      <w:pPr>
        <w:pStyle w:val="BodyText"/>
      </w:pPr>
      <w:r>
        <w:rPr>
          <w:lang w:val="nl-NL"/>
        </w:rPr>
        <w:t xml:space="preserve">Ierse bronnen https://www.dataprotection.ie/en/dpc-guidance/video-recording en Employees (Provision of Information and Consultation) Act 2006 https://www.irishstatutebook.ie/eli/2006/act/9/enacted/en/print</w:t>
      </w:r>
    </w:p>
    <w:p>
      <w:pPr>
        <w:pStyle w:val="Heading2"/>
        <w:keepNext/>
        <w:keepLines/>
      </w:pPr>
      <w:r>
        <w:rPr>
          <w:lang w:val="nl-NL"/>
          <w:color w:val="000000"/>
        </w:rPr>
        <w:t xml:space="preserve">Nederland</w:t>
      </w:r>
    </w:p>
    <w:p>
      <w:pPr>
        <w:pStyle w:val="BodyText"/>
      </w:pPr>
      <w:r>
        <w:rPr>
          <w:lang w:val="nl-NL"/>
        </w:rPr>
        <w:t xml:space="preserve">Onderzoek voor implementatie in Nederland de bevoegdheden van de ondernemingsraad of OR. Een systeem waarmee aanwezigheid, gedrag of prestaties kunnen worden gevolgd, kan onder zijn voorafgaande instemmingsrecht op grond van de Wet op de ondernemingsraden vallen, ook als het nog niet voor dat doel wordt gebruikt. Instemming van de OR vervangt noch de rechtsgrond voor de verwerking, noch de voorwaarden voor biometrie en gevoelige gegevens. De Autoriteit Persoonsgegevens is de nationale toezichthouder, onder voorbehoud van de bevoegdheidsregels van de AVG.</w:t>
      </w:r>
    </w:p>
    <w:p>
      <w:pPr>
        <w:pStyle w:val="BodyText"/>
      </w:pPr>
      <w:r>
        <w:rPr>
          <w:lang w:val="nl-NL"/>
        </w:rPr>
        <w:t xml:space="preserve">Nederlandse bron Autoriteit Persoonsgegevens https://autoriteitpersoonsgegevens.nl/en/themes/employment-and-benefits/works-council/the-works-council-and-staff-tracking-systems</w:t>
      </w:r>
    </w:p>
    <w:p>
      <w:pPr>
        <w:pStyle w:val="Heading2"/>
        <w:keepNext/>
        <w:keepLines/>
      </w:pPr>
      <w:r>
        <w:rPr>
          <w:lang w:val="nl-NL"/>
          <w:color w:val="000000"/>
        </w:rPr>
        <w:t xml:space="preserve">Spanje</w:t>
      </w:r>
    </w:p>
    <w:p>
      <w:pPr>
        <w:pStyle w:val="BodyText"/>
      </w:pPr>
      <w:r>
        <w:rPr>
          <w:lang w:val="nl-NL"/>
        </w:rPr>
        <w:t xml:space="preserve">Maak voor implementatie in Spanje onderscheid tussen transcriptie van vergaderingen en het gebruik van systemen voor geluidsbewaking. Binnen de reikwijdte van artikel 89 van Ley Orgánica 3/2018 is geluidsopname op de werkplek strikt beperkt tot bepaalde veiligheidsrisico’s, met evenredigheid, minimale inbreuk en waarborgen; rustruimten zijn beschermd. Onderzoek de informatie- en raadplegingsrechten van vertegenwoordigers en toepasselijke overeenkomsten. Deze bepalingen mogen niet zonder beoordeling op elke incidentele vergadering worden toegepast; instemming van deelnemers vormt geen algemene toestemming. Bepaal afhankelijk van de verwerking of de AEPD of een regionale autoriteit bevoegd is.</w:t>
      </w:r>
    </w:p>
    <w:p>
      <w:pPr>
        <w:pStyle w:val="BodyText"/>
      </w:pPr>
      <w:r>
        <w:rPr>
          <w:lang w:val="nl-NL"/>
        </w:rPr>
        <w:t xml:space="preserve">Spaanse bronnen Ley Orgánica 3/2018, artikel 89 https://www.boe.es/buscar/act.php?id=BOE-A-2018-16673#a89 en Estatuto de los Trabajadores, artikel 64 https://www.boe.es/buscar/act.php?id=BOE-A-2015-11430#a64</w:t>
      </w:r>
    </w:p>
    <w:p>
      <w:pPr>
        <w:pStyle w:val="Heading2"/>
        <w:keepNext/>
        <w:keepLines/>
      </w:pPr>
      <w:r>
        <w:rPr>
          <w:lang w:val="nl-NL"/>
          <w:color w:val="000000"/>
        </w:rPr>
        <w:t xml:space="preserve">Portugal</w:t>
      </w:r>
    </w:p>
    <w:p>
      <w:pPr>
        <w:pStyle w:val="BodyText"/>
      </w:pPr>
      <w:r>
        <w:rPr>
          <w:lang w:val="nl-NL"/>
        </w:rPr>
        <w:t xml:space="preserve">Onderzoek voor implementatie in Portugal de Código do Trabalho, Lei 58/2019 en de regels voor het concrete systeem. Toezicht op afstand met als doel controle van de beroepsprestaties is verboden. Geluidsregistratie binnen een videobewakingssysteem is aan specifieke beperkingen onderworpen; dit betekent niet dat elke opname van een vergadering verboden is, noch dat deze altijd is toegestaan. Bepaal vóór ingebruikname de verplichtingen jegens werknemers en hun vertegenwoordigers. De Comissão Nacional de Proteção de Dados is de nationale toezichthouder, onder voorbehoud van de bevoegdheidsregels van de AVG.</w:t>
      </w:r>
    </w:p>
    <w:p>
      <w:pPr>
        <w:pStyle w:val="BodyText"/>
      </w:pPr>
      <w:r>
        <w:rPr>
          <w:lang w:val="nl-NL"/>
        </w:rPr>
        <w:t xml:space="preserve">Portugese bronnen Código do Trabalho, artikelen 20 en 21 https://diariodarepublica.pt/dr/legislacao-consolidada/lei/2009-34546475-211441911 en CNPD https://www.cnpd.pt/organizacoes/areas-tematicas/videovigilancia/</w:t>
      </w:r>
    </w:p>
    <w:p>
      <w:pPr>
        <w:pStyle w:val="Heading2"/>
        <w:keepNext/>
        <w:keepLines/>
      </w:pPr>
      <w:r>
        <w:rPr>
          <w:lang w:val="nl-NL"/>
          <w:color w:val="000000"/>
        </w:rPr>
        <w:t xml:space="preserve">Franse kaders en projecttoezeggingen</w:t>
      </w:r>
    </w:p>
    <w:p>
      <w:pPr>
        <w:pStyle w:val="BodyText"/>
      </w:pPr>
      <w:r>
        <w:rPr>
          <w:lang w:val="nl-NL"/>
        </w:rPr>
        <w:t xml:space="preserve">De termen CSE, CGCT, HDS, SecNumCloud, ANSSI en RGAA verwijzen naar Franse instanties, regels of kaders. Zij bewijzen noch certificering van TranscribIA, noch automatische naleving van een buitenlands kader. Bedragen en betalingsregelingen in de verkoopvoorwaarden, waaronder de verwijzing naar de Franse Code de commerce, moeten worden afgestemd op het gekozen recht, de hoedanigheid van de Klant en toepasselijke dwingende regels; zij mogen niet worden gepresenteerd als omzettingen van elk nationaal recht. Regelingen voor overheidsopdrachten, consumenten en gereguleerde sectoren moeten waar relevant afzonderlijk worden uitgewerkt.</w:t>
      </w:r>
    </w:p>
    <w:p>
      <w:pPr>
        <w:pStyle w:val="BodyText"/>
      </w:pPr>
      <w:r>
        <w:rPr>
          <w:lang w:val="nl-NL"/>
        </w:rPr>
        <w:t xml:space="preserve">Vul vóór ondertekening de projectbijlagen in en controleer deze wat betreft partijen, SaaS- of on-premiseconfiguratie, verwerkings- en toegangslocaties, subverwerkers, doorgiften, feitelijke beveiligingsmaatregelen, bewaring en serviceniveaus. Deze bijlage stelt niet vast dat een technische maatregel al is ingevoerd en vervangt geen overeengekomen specifieke toezeggingen. Britse en Belgische stelsels en andere landen vallen niet onder deze nationale toelichtingen; zij vereisen een afzonderlijke aanpassing.</w:t>
      </w:r>
    </w:p>
    <w:p>
      <w:pPr>
        <w:pStyle w:val="BodyText"/>
      </w:pPr>
      <w:r>
        <w:rPr>
          <w:lang w:val="nl-NL"/>
        </w:rPr>
        <w:t xml:space="preserve">Schermafbeeldingen en voorbeelden uit de applicatie kunnen in het Frans blijven. Toelichtingen en documentbijschriften worden vertaald; opdrachten, bestandsnamen, technische identificatoren en documentverwijzingen moeten exact behouden blijven.</w:t>
      </w:r>
    </w:p>
    <w:p>
      <w:pPr>
        <w:pStyle w:val="Heading1"/>
        <w:keepNext/>
        <w:keepLines/>
      </w:pPr>
      <w:r>
        <w:rPr>
          <w:lang w:val="nl-NL"/>
          <w:color w:val="000000"/>
        </w:rPr>
        <w:t>Geschiedenis van deze editie</w:t>
      </w:r>
    </w:p>
    <w:p>
      <w:pPr>
        <w:pStyle w:val="BodyText"/>
      </w:pPr>
      <w:r>
        <w:rPr>
          <w:lang w:val="nl-NL"/>
        </w:rPr>
        <w:t>1.1 — 2026-10-17</w:t>
      </w:r>
    </w:p>
    <w:p>
      <w:pPr>
        <w:pStyle w:val="BodyText"/>
      </w:pPr>
      <w:r>
        <w:rPr>
          <w:lang w:val="nl-NL"/>
        </w:rPr>
        <w:t>Meertalige editie en documentcorrecties. Eerdere versies en hun datums blijven behouden. De Franse tekst is doorslaggevend; vertalingen vergemakkelijken het lezen en wijzigen de partijen of het toepasselijke recht niet.</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nl-NL"/>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mailto:contact@transcribia.eu" TargetMode="External" /><Relationship Type="http://schemas.openxmlformats.org/officeDocument/2006/relationships/hyperlink" Id="rId12" Target="mailto:privacy@transcribia.eu" TargetMode="External" /><Relationship Type="http://schemas.openxmlformats.org/officeDocument/2006/relationships/hyperlink" Id="rId11" Target="mailto:support@transcribia.eu" TargetMode="External" /></Relationships>
</file>

<file path=word/_rels/footnotes.xml.rels><?xml version="1.0" encoding="UTF-8"?><Relationships xmlns="http://schemas.openxmlformats.org/package/2006/relationships"><Relationship Type="http://schemas.openxmlformats.org/officeDocument/2006/relationships/hyperlink" Id="rId10" Target="mailto:contact@transcribia.eu" TargetMode="External" /><Relationship Type="http://schemas.openxmlformats.org/officeDocument/2006/relationships/hyperlink" Id="rId12" Target="mailto:privacy@transcribia.eu" TargetMode="External" /><Relationship Type="http://schemas.openxmlformats.org/officeDocument/2006/relationships/hyperlink" Id="rId11" Target="mailto:support@transcribi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2026-07-25T09:45:09Z</dcterms:created>
  <dcterms:modified xsi:type="dcterms:W3CDTF">2026-07-25T09:45:09Z</dcterms:modified>
</cp:coreProperties>
</file>

<file path=docProps/custom.xml><?xml version="1.0" encoding="utf-8"?>
<Properties xmlns="http://schemas.openxmlformats.org/officeDocument/2006/custom-properties" xmlns:vt="http://schemas.openxmlformats.org/officeDocument/2006/docPropsVTypes"/>
</file>