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00aa6aba2b399654b9aa2d8ce2e008f4b303369"/>
    <w:p>
      <w:pPr>
        <w:pStyle w:val="Title"/>
        <w:keepNext/>
        <w:keepLines/>
      </w:pPr>
      <w:r>
        <w:rPr>
          <w:color w:val="000000"/>
          <w:lang w:val="nl-NL"/>
        </w:rPr>
        <w:t xml:space="preserve">Verwerkersovereenkomst AVG (artikel 28) — TranscribIA</w:t>
      </w:r>
    </w:p>
    <w:p>
      <w:pPr>
        <w:pStyle w:val="BodyText"/>
      </w:pPr>
      <w:r>
        <w:rPr>
          <w:lang w:val="nl-NL"/>
        </w:rPr>
        <w:t xml:space="preserve">Gelokaliseerde editie v1.2-draft — 2026-10-17</w:t>
      </w:r>
    </w:p>
    <w:p>
      <w:pPr>
        <w:pStyle w:val="BodyText"/>
      </w:pPr>
      <w:r>
        <w:rPr>
          <w:lang w:val="nl-NL"/>
        </w:rPr>
        <w:t xml:space="preserve">De Franse tekst is doorslaggevend. Deze editie behandelt Frankrijk, Ierland, Nederland, Spanje en Portugal. De taal bepaalt niet het land van implementatie, de partijen of het toepasselijke recht. Lees de nationale bijlage aan het einde van dit document voor het werkelijke land en gebruik.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TRB-CONF-01.02</w:t>
            </w:r>
          </w:p>
        </w:tc>
      </w:tr>
      <w:tr>
        <w:trPr>
          <w:cantSplit/>
        </w:trPr>
        <w:tc>
          <w:tcPr/>
          <w:p>
            <w:pPr>
              <w:pStyle w:val="Compact"/>
            </w:pPr>
            <w:r>
              <w:rPr>
                <w:lang w:val="nl-NL"/>
              </w:rPr>
              <w:t xml:space="preserve">Versie</w:t>
            </w:r>
          </w:p>
        </w:tc>
        <w:tc>
          <w:tcPr/>
          <w:p>
            <w:pPr>
              <w:pStyle w:val="Compact"/>
            </w:pPr>
            <w:r>
              <w:rPr>
                <w:lang w:val="nl-NL"/>
              </w:rPr>
              <w:t xml:space="preserve">1.1-concept — 24-07-2026</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Classificatie</w:t>
            </w:r>
          </w:p>
        </w:tc>
        <w:tc>
          <w:tcPr/>
          <w:p>
            <w:pPr>
              <w:pStyle w:val="Compact"/>
            </w:pPr>
            <w:r>
              <w:rPr>
                <w:lang w:val="nl-NL"/>
              </w:rPr>
              <w:t xml:space="preserve">Openbaar — contractmodel (v1.1-concept, moet worden gevalideerd door juridisch advies vóór ondertekening)</w:t>
            </w:r>
          </w:p>
        </w:tc>
      </w:tr>
    </w:tbl>
    <w:bookmarkStart w:id="9" w:name="historique-des-versions"/>
    <w:p>
      <w:pPr>
        <w:pStyle w:val="Heading2"/>
        <w:keepNext/>
        <w:keepLines/>
      </w:pPr>
      <w:r>
        <w:rPr>
          <w:color w:val="000000"/>
          <w:lang w:val="nl-NL"/>
        </w:rPr>
        <w:t xml:space="preserve">Versiegeschiedenis</w:t>
      </w:r>
    </w:p>
    <w:tbl>
      <w:tblPr>
        <w:tblStyle w:val="Table"/>
        <w:tblW w:type="dxa" w:w="9360"/>
        <w:tblLook w:firstRow="1" w:lastRow="0" w:firstColumn="0" w:lastColumn="0" w:noHBand="0" w:noVBand="0" w:val="0020"/>
        <w:tblLayout w:type="fixed"/>
      </w:tblPr>
      <w:tblGrid>
        <w:gridCol w:w="1310"/>
        <w:gridCol w:w="1778"/>
        <w:gridCol w:w="6272"/>
      </w:tblGrid>
      <w:tr>
        <w:trPr>
          <w:tblHeader w:val="on"/>
          <w:cantSplit/>
        </w:trPr>
        <w:tc>
          <w:tcPr>
            <w:tcW w:type="dxa" w:w="1310"/>
            <w:tcMar>
              <w:left w:type="dxa" w:w="80"/>
              <w:right w:type="dxa" w:w="80"/>
            </w:tcMar>
          </w:tcPr>
          <w:p>
            <w:pPr>
              <w:pStyle w:val="Compact"/>
            </w:pPr>
            <w:r>
              <w:rPr>
                <w:lang w:val="nl-NL"/>
              </w:rPr>
              <w:t xml:space="preserve">Versie</w:t>
            </w:r>
          </w:p>
        </w:tc>
        <w:tc>
          <w:tcPr>
            <w:tcW w:type="dxa" w:w="1778"/>
            <w:tcMar>
              <w:left w:type="dxa" w:w="80"/>
              <w:right w:type="dxa" w:w="80"/>
            </w:tcMar>
          </w:tcPr>
          <w:p>
            <w:pPr>
              <w:pStyle w:val="Compact"/>
            </w:pPr>
            <w:r>
              <w:rPr>
                <w:lang w:val="nl-NL"/>
              </w:rPr>
              <w:t xml:space="preserve">Datum</w:t>
            </w:r>
          </w:p>
        </w:tc>
        <w:tc>
          <w:tcPr>
            <w:tcW w:type="dxa" w:w="6272"/>
            <w:tcMar>
              <w:left w:type="dxa" w:w="80"/>
              <w:right w:type="dxa" w:w="80"/>
            </w:tcMar>
          </w:tcPr>
          <w:p>
            <w:pPr>
              <w:pStyle w:val="Compact"/>
            </w:pPr>
            <w:r>
              <w:rPr>
                <w:lang w:val="nl-NL"/>
              </w:rPr>
              <w:t xml:space="preserve">Doel</w:t>
            </w:r>
          </w:p>
        </w:tc>
      </w:tr>
      <w:tr>
        <w:trPr>
          <w:cantSplit/>
        </w:trPr>
        <w:tc>
          <w:tcPr>
            <w:tcW w:type="dxa" w:w="1310"/>
            <w:tcMar>
              <w:left w:type="dxa" w:w="80"/>
              <w:right w:type="dxa" w:w="80"/>
            </w:tcMar>
          </w:tcPr>
          <w:p>
            <w:pPr>
              <w:pStyle w:val="Compact"/>
            </w:pPr>
            <w:r>
              <w:rPr>
                <w:lang w:val="nl-NL"/>
              </w:rPr>
              <w:t xml:space="preserve">1.0</w:t>
            </w:r>
          </w:p>
        </w:tc>
        <w:tc>
          <w:tcPr>
            <w:tcW w:type="dxa" w:w="1778"/>
            <w:tcMar>
              <w:left w:type="dxa" w:w="80"/>
              <w:right w:type="dxa" w:w="80"/>
            </w:tcMar>
          </w:tcPr>
          <w:p>
            <w:pPr>
              <w:pStyle w:val="Compact"/>
            </w:pPr>
            <w:r>
              <w:rPr>
                <w:lang w:val="nl-NL"/>
              </w:rPr>
              <w:t xml:space="preserve">19 mei 2026</w:t>
            </w:r>
          </w:p>
        </w:tc>
        <w:tc>
          <w:tcPr>
            <w:tcW w:type="dxa" w:w="6272"/>
            <w:tcMar>
              <w:left w:type="dxa" w:w="80"/>
              <w:right w:type="dxa" w:w="80"/>
            </w:tcMar>
          </w:tcPr>
          <w:p>
            <w:pPr>
              <w:pStyle w:val="Compact"/>
            </w:pPr>
            <w:r>
              <w:rPr>
                <w:lang w:val="nl-NL"/>
              </w:rPr>
              <w:t xml:space="preserve">Eerste versie. Entiteit die als verwerker optreedt: AMBASSADIA SARL.</w:t>
            </w:r>
          </w:p>
        </w:tc>
      </w:tr>
      <w:tr>
        <w:trPr>
          <w:cantSplit/>
        </w:trPr>
        <w:tc>
          <w:tcPr>
            <w:tcW w:type="dxa" w:w="1310"/>
            <w:tcMar>
              <w:left w:type="dxa" w:w="80"/>
              <w:right w:type="dxa" w:w="80"/>
            </w:tcMar>
          </w:tcPr>
          <w:p>
            <w:pPr>
              <w:pStyle w:val="Compact"/>
            </w:pPr>
            <w:r>
              <w:rPr>
                <w:lang w:val="nl-NL"/>
              </w:rPr>
              <w:t xml:space="preserve">1.1-diepgang</w:t>
            </w:r>
          </w:p>
        </w:tc>
        <w:tc>
          <w:tcPr>
            <w:tcW w:type="dxa" w:w="1778"/>
            <w:tcMar>
              <w:left w:type="dxa" w:w="80"/>
              <w:right w:type="dxa" w:w="80"/>
            </w:tcMar>
          </w:tcPr>
          <w:p>
            <w:pPr>
              <w:pStyle w:val="Compact"/>
            </w:pPr>
            <w:r>
              <w:rPr>
                <w:lang w:val="nl-NL"/>
              </w:rPr>
              <w:t xml:space="preserve">2026-07-24</w:t>
            </w:r>
          </w:p>
        </w:tc>
        <w:tc>
          <w:tcPr>
            <w:tcW w:type="dxa" w:w="6272"/>
            <w:tcMar>
              <w:left w:type="dxa" w:w="80"/>
              <w:right w:type="dxa" w:w="80"/>
            </w:tcMar>
          </w:tcPr>
          <w:p>
            <w:pPr>
              <w:pStyle w:val="Compact"/>
            </w:pPr>
            <w:r>
              <w:rPr>
                <w:lang w:val="nl-NL"/>
              </w:rPr>
              <w:t xml:space="preserve">Vervanging van de verwerkende entiteit (OHADJA, uitgever gevestigd in Parijs, vervangt AMBASSADIA SARL, nu commerciële wederverkoper/distributeur); actualisering van de productie-URL (client.transcribia.eu), subverwerkers (primair AI-traject op beheerde vLLM-servers in de EU, OpenRouter als terugvaloptie, Scaleway-back-ups) en locatie (beheer en ondersteuning uitsluitend vanuit Frankrijk/de EU). Concept ter beoordeling door juridisch adviseur vóór ondertekening.</w:t>
            </w:r>
          </w:p>
        </w:tc>
      </w:tr>
    </w:tbl>
    <w:bookmarkEnd w:id="9"/>
    <w:bookmarkStart w:id="11" w:name="X8dc6cc9f59c22f3e6d209c81e77fec2d0b2e226"/>
    <w:p>
      <w:pPr>
        <w:pStyle w:val="Heading2"/>
        <w:keepNext/>
        <w:keepLines/>
      </w:pPr>
      <w:r>
        <w:rPr>
          <w:color w:val="000000"/>
          <w:lang w:val="nl-NL"/>
        </w:rPr>
        <w:t xml:space="preserve">1. PREAMBULE EN IDENTIFICATIE VAN DE PARTIJEN</w:t>
      </w:r>
    </w:p>
    <w:p>
      <w:pPr>
        <w:pStyle w:val="FirstParagraph"/>
      </w:pPr>
      <w:r>
        <w:rPr>
          <w:lang w:val="nl-NL"/>
        </w:rPr>
        <w:t xml:space="preserve">Deze Verwerkersovereenkomst op grond van de AVG, versie 1.1-draft van 2026-07-24 (zie de versiegeschiedenis hierboven), wordt gesloten tussen de Klant, handelend als verwerkingsverantwoordelijke in de zin van de AVG, en OHADJA, handelend als verwerker voor het beheer van de oplossing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Partij</w:t>
            </w:r>
          </w:p>
        </w:tc>
        <w:tc>
          <w:tcPr/>
          <w:p>
            <w:pPr>
              <w:pStyle w:val="Compact"/>
            </w:pPr>
            <w:r>
              <w:rPr>
                <w:lang w:val="nl-NL"/>
              </w:rPr>
              <w:t xml:space="preserve">Identificatie</w:t>
            </w:r>
          </w:p>
        </w:tc>
      </w:tr>
      <w:tr>
        <w:trPr>
          <w:cantSplit/>
        </w:trPr>
        <w:tc>
          <w:tcPr/>
          <w:p>
            <w:pPr>
              <w:pStyle w:val="Compact"/>
            </w:pPr>
            <w:r>
              <w:rPr>
                <w:lang w:val="nl-NL"/>
              </w:rPr>
              <w:t xml:space="preserve">Klant / Verwerkingsverantwoordelijke</w:t>
            </w:r>
          </w:p>
        </w:tc>
        <w:tc>
          <w:tcPr/>
          <w:p>
            <w:pPr>
              <w:pStyle w:val="Compact"/>
            </w:pPr>
            <w:r>
              <w:rPr>
                <w:lang w:val="nl-NL"/>
              </w:rPr>
              <w:t xml:space="preserve">[bedrijfsnaam in te vullen door de klant]</w:t>
            </w:r>
          </w:p>
        </w:tc>
      </w:tr>
      <w:tr>
        <w:trPr>
          <w:cantSplit/>
        </w:trPr>
        <w:tc>
          <w:tcPr/>
          <w:p>
            <w:pPr>
              <w:pStyle w:val="Compact"/>
            </w:pPr>
            <w:r>
              <w:rPr>
                <w:lang w:val="nl-NL"/>
              </w:rPr>
              <w:t xml:space="preserve">Juridische vorm</w:t>
            </w:r>
          </w:p>
        </w:tc>
        <w:tc>
          <w:tcPr/>
          <w:p>
            <w:pPr>
              <w:pStyle w:val="Compact"/>
            </w:pPr>
            <w:r>
              <w:rPr>
                <w:lang w:val="nl-NL"/>
              </w:rPr>
              <w:t xml:space="preserve">[in te vullen door de klant]</w:t>
            </w:r>
          </w:p>
        </w:tc>
      </w:tr>
      <w:tr>
        <w:trPr>
          <w:cantSplit/>
        </w:trPr>
        <w:tc>
          <w:tcPr/>
          <w:p>
            <w:pPr>
              <w:pStyle w:val="Compact"/>
            </w:pPr>
            <w:r>
              <w:rPr>
                <w:lang w:val="nl-NL"/>
              </w:rPr>
              <w:t xml:space="preserve">Aandelenkapitaal</w:t>
            </w:r>
          </w:p>
        </w:tc>
        <w:tc>
          <w:tcPr/>
          <w:p>
            <w:pPr>
              <w:pStyle w:val="Compact"/>
            </w:pPr>
            <w:r>
              <w:rPr>
                <w:lang w:val="nl-NL"/>
              </w:rPr>
              <w:t xml:space="preserve">[in te vullen door de klant]</w:t>
            </w:r>
          </w:p>
        </w:tc>
      </w:tr>
      <w:tr>
        <w:trPr>
          <w:cantSplit/>
        </w:trPr>
        <w:tc>
          <w:tcPr/>
          <w:p>
            <w:pPr>
              <w:pStyle w:val="Compact"/>
            </w:pPr>
            <w:r>
              <w:rPr>
                <w:lang w:val="nl-NL"/>
              </w:rPr>
              <w:t xml:space="preserve">Registratie</w:t>
            </w:r>
          </w:p>
        </w:tc>
        <w:tc>
          <w:tcPr/>
          <w:p>
            <w:pPr>
              <w:pStyle w:val="Compact"/>
            </w:pPr>
            <w:r>
              <w:rPr>
                <w:lang w:val="nl-NL"/>
              </w:rPr>
              <w:t xml:space="preserve">[in te vullen door de klant]</w:t>
            </w:r>
          </w:p>
        </w:tc>
      </w:tr>
      <w:tr>
        <w:trPr>
          <w:cantSplit/>
        </w:trPr>
        <w:tc>
          <w:tcPr/>
          <w:p>
            <w:pPr>
              <w:pStyle w:val="Compact"/>
            </w:pPr>
            <w:r>
              <w:rPr>
                <w:lang w:val="nl-NL"/>
              </w:rPr>
              <w:t xml:space="preserve">Hoofdkantoor</w:t>
            </w:r>
          </w:p>
        </w:tc>
        <w:tc>
          <w:tcPr/>
          <w:p>
            <w:pPr>
              <w:pStyle w:val="Compact"/>
            </w:pPr>
            <w:r>
              <w:rPr>
                <w:lang w:val="nl-NL"/>
              </w:rPr>
              <w:t xml:space="preserve">[in te vullen door de klant]</w:t>
            </w:r>
          </w:p>
        </w:tc>
      </w:tr>
      <w:tr>
        <w:trPr>
          <w:cantSplit/>
        </w:trPr>
        <w:tc>
          <w:tcPr/>
          <w:p>
            <w:pPr>
              <w:pStyle w:val="Compact"/>
            </w:pPr>
            <w:r>
              <w:rPr>
                <w:lang w:val="nl-NL"/>
              </w:rPr>
              <w:t xml:space="preserve">Wettelijke vertegenwoordiger</w:t>
            </w:r>
          </w:p>
        </w:tc>
        <w:tc>
          <w:tcPr/>
          <w:p>
            <w:pPr>
              <w:pStyle w:val="Compact"/>
            </w:pPr>
            <w:r>
              <w:rPr>
                <w:lang w:val="nl-NL"/>
              </w:rPr>
              <w:t xml:space="preserve">[naam, kwaliteit in te vullen door de klant]</w:t>
            </w:r>
          </w:p>
        </w:tc>
      </w:tr>
      <w:tr>
        <w:trPr>
          <w:cantSplit/>
        </w:trPr>
        <w:tc>
          <w:tcPr/>
          <w:p>
            <w:pPr>
              <w:pStyle w:val="Compact"/>
            </w:pPr>
            <w:r>
              <w:rPr>
                <w:lang w:val="nl-NL"/>
              </w:rPr>
              <w:t xml:space="preserve">Neem contact op met AVG / DPO</w:t>
            </w:r>
          </w:p>
        </w:tc>
        <w:tc>
          <w:tcPr/>
          <w:p>
            <w:pPr>
              <w:pStyle w:val="Compact"/>
            </w:pPr>
            <w:r>
              <w:rPr>
                <w:lang w:val="nl-NL"/>
              </w:rPr>
              <w:t xml:space="preserve">[e-mail in te vullen door de klant]</w:t>
            </w:r>
          </w:p>
        </w:tc>
      </w:tr>
      <w:tr>
        <w:trPr>
          <w:cantSplit/>
        </w:trPr>
        <w:tc>
          <w:tcPr/>
          <w:p>
            <w:pPr>
              <w:pStyle w:val="Compact"/>
            </w:pPr>
            <w:r>
              <w:rPr>
                <w:lang w:val="nl-NL"/>
              </w:rPr>
              <w:t xml:space="preserve">Verwerker</w:t>
            </w:r>
          </w:p>
        </w:tc>
        <w:tc>
          <w:tcPr/>
          <w:p>
            <w:pPr>
              <w:pStyle w:val="Compact"/>
            </w:pPr>
            <w:r>
              <w:rPr>
                <w:lang w:val="nl-NL"/>
              </w:rPr>
              <w:t xml:space="preserve">OHADJA</w:t>
            </w:r>
          </w:p>
        </w:tc>
      </w:tr>
      <w:tr>
        <w:trPr>
          <w:cantSplit/>
        </w:trPr>
        <w:tc>
          <w:tcPr/>
          <w:p>
            <w:pPr>
              <w:pStyle w:val="Compact"/>
            </w:pPr>
            <w:r>
              <w:rPr>
                <w:lang w:val="nl-NL"/>
              </w:rPr>
              <w:t xml:space="preserve">Juridische vorm</w:t>
            </w:r>
          </w:p>
        </w:tc>
        <w:tc>
          <w:tcPr/>
          <w:p>
            <w:pPr>
              <w:pStyle w:val="Compact"/>
            </w:pPr>
            <w:r>
              <w:rPr>
                <w:lang w:val="nl-NL"/>
              </w:rPr>
              <w:t xml:space="preserve">Franse société par actions simplifiée (SAS), een vereenvoudigde vennootschap op aandelen</w:t>
            </w:r>
          </w:p>
        </w:tc>
      </w:tr>
      <w:tr>
        <w:trPr>
          <w:cantSplit/>
        </w:trPr>
        <w:tc>
          <w:tcPr/>
          <w:p>
            <w:pPr>
              <w:pStyle w:val="Compact"/>
            </w:pPr>
            <w:r>
              <w:rPr>
                <w:lang w:val="nl-NL"/>
              </w:rPr>
              <w:t xml:space="preserve">Intracommunautair BTW-nummer</w:t>
            </w:r>
          </w:p>
        </w:tc>
        <w:tc>
          <w:tcPr/>
          <w:p>
            <w:pPr>
              <w:pStyle w:val="Compact"/>
            </w:pPr>
            <w:r>
              <w:rPr>
                <w:lang w:val="nl-NL"/>
              </w:rPr>
              <w:t xml:space="preserve">FR78992146480</w:t>
            </w:r>
          </w:p>
        </w:tc>
      </w:tr>
      <w:tr>
        <w:trPr>
          <w:cantSplit/>
        </w:trPr>
        <w:tc>
          <w:tcPr/>
          <w:p>
            <w:pPr>
              <w:pStyle w:val="Compact"/>
            </w:pPr>
            <w:r>
              <w:rPr>
                <w:lang w:val="nl-NL"/>
              </w:rPr>
              <w:t xml:space="preserve">Registratie</w:t>
            </w:r>
          </w:p>
        </w:tc>
        <w:tc>
          <w:tcPr/>
          <w:p>
            <w:pPr>
              <w:pStyle w:val="Compact"/>
            </w:pPr>
            <w:r>
              <w:rPr>
                <w:lang w:val="nl-NL"/>
              </w:rPr>
              <w:t xml:space="preserve">992 146 480 RCS Parijs — SIRET van het hoofdkantoor: 992 146 480 00015</w:t>
            </w:r>
          </w:p>
        </w:tc>
      </w:tr>
      <w:tr>
        <w:trPr>
          <w:cantSplit/>
        </w:trPr>
        <w:tc>
          <w:tcPr/>
          <w:p>
            <w:pPr>
              <w:pStyle w:val="Compact"/>
            </w:pPr>
            <w:r>
              <w:rPr>
                <w:lang w:val="nl-NL"/>
              </w:rPr>
              <w:t xml:space="preserve">Hoofdkantoor</w:t>
            </w:r>
          </w:p>
        </w:tc>
        <w:tc>
          <w:tcPr/>
          <w:p>
            <w:pPr>
              <w:pStyle w:val="Compact"/>
            </w:pPr>
            <w:r>
              <w:rPr>
                <w:lang w:val="nl-NL"/>
              </w:rPr>
              <w:t xml:space="preserve">60 rue François 1er, 75008 Parijs, Frankrijk</w:t>
            </w:r>
          </w:p>
        </w:tc>
      </w:tr>
      <w:tr>
        <w:trPr>
          <w:cantSplit/>
        </w:trPr>
        <w:tc>
          <w:tcPr/>
          <w:p>
            <w:pPr>
              <w:pStyle w:val="Compact"/>
            </w:pPr>
            <w:r>
              <w:rPr>
                <w:lang w:val="nl-NL"/>
              </w:rPr>
              <w:t xml:space="preserve">Wettelijke vertegenwoordiger</w:t>
            </w:r>
          </w:p>
        </w:tc>
        <w:tc>
          <w:tcPr/>
          <w:p>
            <w:pPr>
              <w:pStyle w:val="Compact"/>
            </w:pPr>
            <w:r>
              <w:rPr>
                <w:lang w:val="nl-NL"/>
              </w:rPr>
              <w:t xml:space="preserve">Olivier Dupont, voorzitter</w:t>
            </w:r>
          </w:p>
        </w:tc>
      </w:tr>
      <w:tr>
        <w:trPr>
          <w:cantSplit/>
        </w:trPr>
        <w:tc>
          <w:tcPr/>
          <w:p>
            <w:pPr>
              <w:pStyle w:val="Compact"/>
            </w:pPr>
            <w:r>
              <w:rPr>
                <w:lang w:val="nl-NL"/>
              </w:rPr>
              <w:t xml:space="preserve">Neem contact op met AVG / DPO</w:t>
            </w:r>
          </w:p>
        </w:tc>
        <w:tc>
          <w:tcPr/>
          <w:p>
            <w:pPr>
              <w:pStyle w:val="Compact"/>
            </w:pPr>
            <w:hyperlink r:id="rId10">
              <w:r>
                <w:rPr>
                  <w:rStyle w:val="Hyperlink"/>
                  <w:lang w:val="nl-NL"/>
                </w:rPr>
                <w:t xml:space="preserve">privacy@transcribia.eu</w:t>
              </w:r>
            </w:hyperlink>
          </w:p>
        </w:tc>
      </w:tr>
      <w:tr>
        <w:trPr>
          <w:cantSplit/>
        </w:trPr>
        <w:tc>
          <w:tcPr/>
          <w:p>
            <w:pPr>
              <w:pStyle w:val="Compact"/>
            </w:pPr>
            <w:r>
              <w:rPr>
                <w:lang w:val="nl-NL"/>
              </w:rPr>
              <w:t xml:space="preserve">Betrokken afdeling</w:t>
            </w:r>
          </w:p>
        </w:tc>
        <w:tc>
          <w:tcPr/>
          <w:p>
            <w:pPr>
              <w:pStyle w:val="Compact"/>
            </w:pPr>
            <w:r>
              <w:rPr>
                <w:lang w:val="nl-NL"/>
              </w:rPr>
              <w:t xml:space="preserve">TranscribIA, SaaS-oplossing en/of lokale Docker-implementatie voor audiotranscriptie, exploitatie van transcripties, AI-ondersteuning en suggestie voor sprekeridentificatie</w:t>
            </w:r>
          </w:p>
        </w:tc>
      </w:tr>
      <w:tr>
        <w:trPr>
          <w:cantSplit/>
        </w:trPr>
        <w:tc>
          <w:tcPr/>
          <w:p>
            <w:pPr>
              <w:pStyle w:val="Compact"/>
            </w:pPr>
            <w:r>
              <w:rPr>
                <w:lang w:val="nl-NL"/>
              </w:rPr>
              <w:t xml:space="preserve">Versie van de Overeenkomst</w:t>
            </w:r>
          </w:p>
        </w:tc>
        <w:tc>
          <w:tcPr/>
          <w:p>
            <w:pPr>
              <w:pStyle w:val="Compact"/>
            </w:pPr>
            <w:r>
              <w:rPr>
                <w:lang w:val="nl-NL"/>
              </w:rPr>
              <w:t xml:space="preserve">1.1-concept — 24-07-2026</w:t>
            </w:r>
          </w:p>
        </w:tc>
      </w:tr>
      <w:tr>
        <w:trPr>
          <w:cantSplit/>
        </w:trPr>
        <w:tc>
          <w:tcPr/>
          <w:p>
            <w:pPr>
              <w:pStyle w:val="Compact"/>
            </w:pPr>
            <w:r>
              <w:rPr>
                <w:lang w:val="nl-NL"/>
              </w:rPr>
              <w:t xml:space="preserve">Ingangsdatum</w:t>
            </w:r>
          </w:p>
        </w:tc>
        <w:tc>
          <w:tcPr/>
          <w:p>
            <w:pPr>
              <w:pStyle w:val="Compact"/>
            </w:pPr>
            <w:r>
              <w:rPr>
                <w:lang w:val="nl-NL"/>
              </w:rPr>
              <w:t xml:space="preserve">[datum in te vullen]</w:t>
            </w:r>
          </w:p>
        </w:tc>
      </w:tr>
    </w:tbl>
    <w:p>
      <w:pPr>
        <w:pStyle w:val="BodyText"/>
      </w:pPr>
      <w:r>
        <w:rPr>
          <w:lang w:val="nl-NL"/>
        </w:rPr>
        <w:t xml:space="preserve">Partijen komen overeen dat de Klant het doel en de essentiële middelen bepaalt van de verwerking die met behulp van de Dienst wordt uitgevoerd. OHADJA verwerkt Persoonsgegevens uitsluitend namens de Klant, met inachtneming van de Hoofdovereenkomst, deze Overeenkomst en de gedocumenteerde instructies van de Klant.</w:t>
      </w:r>
    </w:p>
    <w:bookmarkEnd w:id="11"/>
    <w:bookmarkStart w:id="13" w:name="X0e1a19f325594220583e00426b84baa7865d939"/>
    <w:p>
      <w:pPr>
        <w:pStyle w:val="Heading2"/>
        <w:keepNext/>
        <w:keepLines/>
      </w:pPr>
      <w:r>
        <w:rPr>
          <w:color w:val="000000"/>
          <w:lang w:val="nl-NL"/>
        </w:rPr>
        <w:t xml:space="preserve">2. DEFINITIES</w:t>
      </w:r>
    </w:p>
    <w:p>
      <w:pPr>
        <w:pStyle w:val="FirstParagraph"/>
      </w:pPr>
      <w:r>
        <w:rPr>
          <w:lang w:val="nl-NL"/>
        </w:rPr>
        <w:t xml:space="preserve">“Applicatie” of “Dienst” verwijst naar de TranscribIA-oplossing, die met name toegankelijk is op het adres </w:t>
      </w:r>
      <w:r>
        <w:rPr>
          <w:lang w:val="nl-NL"/>
        </w:rPr>
        <w:t xml:space="preserve"/>
      </w:r>
      <w:r>
        <w:rPr>
          <w:rStyle w:val="VerbatimChar"/>
          <w:lang w:val="nl-NL"/>
        </w:rPr>
        <w:t xml:space="preserve">https://client.transcribia.eu</w:t>
      </w:r>
      <w:r>
        <w:rPr>
          <w:lang w:val="nl-NL"/>
        </w:rPr>
        <w:t xml:space="preserve"> </w:t>
      </w:r>
      <w:r>
        <w:rPr>
          <w:lang w:val="nl-NL"/>
        </w:rPr>
        <w:t xml:space="preserve">in SaaS-modus, evenals de applicatiecomponenten, API, beheerinterfaces, transcriptieverwerking, AI-verwerking, spraakcorrelatiefunctionaliteiten, exports, auditlogs en, indien van toepassing, de lokale Docker-implementatie ervan.</w:t>
      </w:r>
    </w:p>
    <w:p>
      <w:pPr>
        <w:pStyle w:val="BodyText"/>
      </w:pPr>
      <w:r>
        <w:rPr>
          <w:lang w:val="nl-NL"/>
        </w:rPr>
        <w:t xml:space="preserve">“Persoonsgegevens” betekent alle informatie met betrekking tot een geïdentificeerde of identificeerbare natuurlijke persoon, in de zin van artikel 4.1 van AVG.</w:t>
      </w:r>
    </w:p>
    <w:p>
      <w:pPr>
        <w:pStyle w:val="BodyText"/>
      </w:pPr>
      <w:r>
        <w:rPr>
          <w:lang w:val="nl-NL"/>
        </w:rPr>
        <w:t xml:space="preserve">“Beveiligingsincident” betekent elke gebeurtenis die de vertrouwelijkheid, integriteit, beschikbaarheid of veerkracht van systemen of Gegevens in gevaar brengt of waarschijnlijk zal brengen, inclusief elke schending van Persoonsgegevens in de zin van artikel 4.12 van AVG.</w:t>
      </w:r>
    </w:p>
    <w:p>
      <w:pPr>
        <w:pStyle w:val="BodyText"/>
      </w:pPr>
      <w:r>
        <w:rPr>
          <w:lang w:val="nl-NL"/>
        </w:rPr>
        <w:t xml:space="preserve">“MTO’s” verwijst naar de technische en organisatorische maatregelen die zijn geïmplementeerd om een beveiligingsniveau te garanderen dat is aangepast aan het risico, met name in overeenstemming met artikel 32 van AVG.</w:t>
      </w:r>
    </w:p>
    <w:p>
      <w:pPr>
        <w:pStyle w:val="BodyText"/>
      </w:pPr>
      <w:r>
        <w:rPr>
          <w:lang w:val="nl-NL"/>
        </w:rPr>
        <w:t xml:space="preserve">“Betrokkene” betekent elke natuurlijke persoon wiens Persoonsgegevens-gegevens worden verwerkt als onderdeel van de Dienst, in het bijzonder de gebruikers van de Klant, opgenomen sprekers, deelnemers aan vergaderingen, personen genoemd in transcripties, documenten of metadata.</w:t>
      </w:r>
    </w:p>
    <w:p>
      <w:pPr>
        <w:pStyle w:val="BodyText"/>
      </w:pPr>
      <w:r>
        <w:rPr>
          <w:lang w:val="nl-NL"/>
        </w:rPr>
        <w:t xml:space="preserve">‘Verwerkingsverantwoordelijke’ is de rechtspersoon of instantie die het doel van en de middelen voor de Verwerking vaststelt in de zin van artikel 4, punt 7, AVG. In deze Overeenkomst handelt de Klant in die hoedanigheid.</w:t>
      </w:r>
    </w:p>
    <w:p>
      <w:pPr>
        <w:pStyle w:val="BodyText"/>
      </w:pPr>
      <w:r>
        <w:rPr>
          <w:lang w:val="nl-NL"/>
        </w:rPr>
        <w:t xml:space="preserve">“AVG” betekent Verordening (EU) 2016/679 van 27 april 2016, in het bijzonder de artikelen 28, 32, 33, 34, 35 en 36, waarvan de officiële tekst door de CNIL is gepubliceerd op het volgende adres: </w:t>
      </w:r>
      <w:r>
        <w:rPr>
          <w:lang w:val="nl-NL"/>
        </w:rPr>
        <w:t xml:space="preserve"/>
      </w:r>
      <w:hyperlink r:id="rId12">
        <w:r>
          <w:rPr>
            <w:rStyle w:val="Hyperlink"/>
            <w:lang w:val="nl-NL"/>
          </w:rPr>
          <w:t xml:space="preserve">https://www.cnil.fr/fr/reglement-europeen-protection-donnees/chapitre4</w:t>
        </w:r>
      </w:hyperlink>
      <w:r>
        <w:rPr>
          <w:lang w:val="nl-NL"/>
        </w:rPr>
        <w:t xml:space="preserve">.</w:t>
      </w:r>
    </w:p>
    <w:p>
      <w:pPr>
        <w:pStyle w:val="BodyText"/>
      </w:pPr>
      <w:r>
        <w:rPr>
          <w:lang w:val="nl-NL"/>
        </w:rPr>
        <w:t xml:space="preserve">‘Verwerker’ is de rechtspersoon die Persoonsgegevens verwerkt namens de Verwerkingsverantwoordelijke in de zin van artikel 4, punt 8, AVG. In deze Overeenkomst handelt OHADJA in die hoedanigheid.</w:t>
      </w:r>
    </w:p>
    <w:p>
      <w:pPr>
        <w:pStyle w:val="BodyText"/>
      </w:pPr>
      <w:r>
        <w:rPr>
          <w:lang w:val="nl-NL"/>
        </w:rPr>
        <w:t xml:space="preserve">‘Subverwerker’ is elke aanbieder die OHADJA inschakelt om specifieke verwerkingsactiviteiten namens de Klant uit te voeren onder de voorwaarden van artikel 28, leden 2 en 4, AVG.</w:t>
      </w:r>
    </w:p>
    <w:p>
      <w:pPr>
        <w:pStyle w:val="BodyText"/>
      </w:pPr>
      <w:r>
        <w:rPr>
          <w:lang w:val="nl-NL"/>
        </w:rPr>
        <w:t xml:space="preserve">“Verwerking” betekent elke handeling of reeks handelingen die al dan niet met behulp van geautomatiseerde processen wordt uitgevoerd en toegepast op Persoonsgegevens, in de zin van artikel 4.2 van AVG.</w:t>
      </w:r>
    </w:p>
    <w:bookmarkEnd w:id="13"/>
    <w:bookmarkStart w:id="14" w:name="Xc17c9d865baca38989ae11d25b8e8a34111b524"/>
    <w:p>
      <w:pPr>
        <w:pStyle w:val="Heading2"/>
        <w:keepNext/>
        <w:keepLines/>
      </w:pPr>
      <w:r>
        <w:rPr>
          <w:color w:val="000000"/>
          <w:lang w:val="nl-NL"/>
        </w:rPr>
        <w:t xml:space="preserve">3. DOEL EN CONTRACTUELE HIËRARCHIE</w:t>
      </w:r>
    </w:p>
    <w:p>
      <w:pPr>
        <w:pStyle w:val="FirstParagraph"/>
      </w:pPr>
      <w:r>
        <w:rPr>
          <w:lang w:val="nl-NL"/>
        </w:rPr>
        <w:t xml:space="preserve">Het doel van deze Overeenkomst is het definiëren van de voorwaarden waaronder OHADJA Persoonsgegevens namens de Klant verwerkt in het kader van de TranscribIA Dienst, in overeenstemming met artikel 28 van AVG.</w:t>
      </w:r>
    </w:p>
    <w:p>
      <w:pPr>
        <w:pStyle w:val="BodyText"/>
      </w:pPr>
      <w:r>
        <w:rPr>
          <w:lang w:val="nl-NL"/>
        </w:rPr>
        <w:t xml:space="preserve">Deze Overeenkomst vormt een aanvulling op het hoofdcontract, de bijzondere voorwaarden, aankooporders, aanvaarde offertes, algemene servicevoorwaarden, technische bijlagen en elk ander contractueel document dat de levering van de Dienst aan de Klant regelt.</w:t>
      </w:r>
    </w:p>
    <w:p>
      <w:pPr>
        <w:pStyle w:val="BodyText"/>
      </w:pPr>
      <w:r>
        <w:rPr>
          <w:lang w:val="nl-NL"/>
        </w:rPr>
        <w:t xml:space="preserve">In geval van tegenstrijdigheid tussen deze Overeenkomst en het Hoofdcontract met betrekking tot de bescherming van Persoonsgegevens, de veiligheid van de verwerking, de instructies van de Klant, Subverwerkers, internationale overdrachten, restitutie of verwijdering van Gegevens, prevaleren de bepalingen van deze Overeenkomst.</w:t>
      </w:r>
    </w:p>
    <w:p>
      <w:pPr>
        <w:pStyle w:val="BodyText"/>
      </w:pPr>
      <w:r>
        <w:rPr>
          <w:lang w:val="nl-NL"/>
        </w:rPr>
        <w:t xml:space="preserve">Deze Overeenkomst maakt OHADJA niet tot Verwerkingsverantwoordelijke voor verwerkingen die namens de Klant worden uitgevoerd. De Klant blijft verantwoordelijk voor de rechtmatigheid van de verwerking, het vaststellen van doelen en rechtsgrond, het informeren van Betrokkenen, het beheren van rechten en, indien van toepassing, het uitvoeren van een gegevensbeschermingseffectbeoordeling overeenkomstig artikel 35 AVG.</w:t>
      </w:r>
    </w:p>
    <w:bookmarkEnd w:id="14"/>
    <w:bookmarkStart w:id="15" w:name="X4deae1a1998fbf12bc78ab23704a7b9750f2830"/>
    <w:p>
      <w:pPr>
        <w:pStyle w:val="Heading2"/>
        <w:keepNext/>
        <w:keepLines/>
      </w:pPr>
      <w:r>
        <w:rPr>
          <w:color w:val="000000"/>
          <w:lang w:val="nl-NL"/>
        </w:rPr>
        <w:t xml:space="preserve">4. BESCHRIJVING VAN DE BEHANDELING</w:t>
      </w:r>
    </w:p>
    <w:p>
      <w:pPr>
        <w:pStyle w:val="FirstParagraph"/>
      </w:pPr>
      <w:r>
        <w:rPr>
          <w:lang w:val="nl-NL"/>
        </w:rPr>
        <w:t xml:space="preserve">De gedetailleerde kenmerken van de Verwerking, met inbegrip van het voorwerp, de duur, de aard en de doeleinden ervan, de categorieën van verwerkte Gegevens, de categorieën van betrokken Personen, de bewaartermijnen en de garanties die specifiek zijn voor de stemcorrelatiefunctionaliteit, zijn opgenomen in Bijlage 1.</w:t>
      </w:r>
    </w:p>
    <w:p>
      <w:pPr>
        <w:pStyle w:val="BodyText"/>
      </w:pPr>
      <w:r>
        <w:rPr>
          <w:lang w:val="nl-NL"/>
        </w:rPr>
        <w:t xml:space="preserve">De Dienst wordt geleverd volgens één van de volgende door Partijen te controleren mogelijkheden:</w:t>
      </w:r>
    </w:p>
    <w:tbl>
      <w:tblPr>
        <w:tblStyle w:val="Table"/>
        <w:tblW w:type="dxa" w:w="9360"/>
        <w:tblLook w:firstRow="1" w:lastRow="0" w:firstColumn="0" w:lastColumn="0" w:noHBand="0" w:noVBand="0" w:val="0020"/>
        <w:tblLayout w:type="fixed"/>
      </w:tblPr>
      <w:tblGrid>
        <w:gridCol w:w="1498"/>
        <w:gridCol w:w="6926"/>
        <w:gridCol w:w="936"/>
      </w:tblGrid>
      <w:tr>
        <w:trPr>
          <w:tblHeader w:val="on"/>
          <w:cantSplit/>
        </w:trPr>
        <w:tc>
          <w:tcPr>
            <w:tcW w:type="dxa" w:w="1498"/>
            <w:tcMar>
              <w:left w:type="dxa" w:w="80"/>
              <w:right w:type="dxa" w:w="80"/>
            </w:tcMar>
          </w:tcPr>
          <w:p>
            <w:pPr>
              <w:pStyle w:val="Compact"/>
            </w:pPr>
            <w:r>
              <w:rPr>
                <w:lang w:val="nl-NL"/>
              </w:rPr>
              <w:t xml:space="preserve">Opties</w:t>
            </w:r>
          </w:p>
        </w:tc>
        <w:tc>
          <w:tcPr>
            <w:tcW w:type="dxa" w:w="6926"/>
            <w:tcMar>
              <w:left w:type="dxa" w:w="80"/>
              <w:right w:type="dxa" w:w="80"/>
            </w:tcMar>
          </w:tcPr>
          <w:p>
            <w:pPr>
              <w:pStyle w:val="Compact"/>
            </w:pPr>
            <w:r>
              <w:rPr>
                <w:lang w:val="nl-NL"/>
              </w:rPr>
              <w:t xml:space="preserve">Wijze van levering</w:t>
            </w:r>
          </w:p>
        </w:tc>
        <w:tc>
          <w:tcPr>
            <w:tcW w:type="dxa" w:w="936"/>
            <w:tcMar>
              <w:left w:type="dxa" w:w="80"/>
              <w:right w:type="dxa" w:w="80"/>
            </w:tcMar>
          </w:tcPr>
          <w:p>
            <w:pPr>
              <w:pStyle w:val="Compact"/>
            </w:pPr>
            <w:r>
              <w:rPr>
                <w:lang w:val="nl-NL"/>
              </w:rPr>
              <w:t xml:space="preserve">Keuze</w:t>
            </w:r>
          </w:p>
        </w:tc>
      </w:tr>
      <w:tr>
        <w:trPr>
          <w:cantSplit/>
        </w:trPr>
        <w:tc>
          <w:tcPr>
            <w:tcW w:type="dxa" w:w="1498"/>
            <w:tcMar>
              <w:left w:type="dxa" w:w="80"/>
              <w:right w:type="dxa" w:w="80"/>
            </w:tcMar>
          </w:tcPr>
          <w:p>
            <w:pPr>
              <w:pStyle w:val="Compact"/>
            </w:pPr>
            <w:r>
              <w:rPr>
                <w:lang w:val="nl-NL"/>
              </w:rPr>
              <w:t xml:space="preserve">Optie A</w:t>
            </w:r>
          </w:p>
        </w:tc>
        <w:tc>
          <w:tcPr>
            <w:tcW w:type="dxa" w:w="6926"/>
            <w:tcMar>
              <w:left w:type="dxa" w:w="80"/>
              <w:right w:type="dxa" w:w="80"/>
            </w:tcMar>
          </w:tcPr>
          <w:p>
            <w:pPr>
              <w:pStyle w:val="Compact"/>
            </w:pPr>
            <w:r>
              <w:rPr>
                <w:lang w:val="nl-NL"/>
              </w:rPr>
              <w:t xml:space="preserve">SaaS TranscribIA gehost en beheerd door OHADJA, met hosting in Frankrijk of de Europese Unie</w:t>
            </w:r>
          </w:p>
        </w:tc>
        <w:tc>
          <w:tcPr>
            <w:tcW w:type="dxa" w:w="936"/>
            <w:tcMar>
              <w:left w:type="dxa" w:w="80"/>
              <w:right w:type="dxa" w:w="80"/>
            </w:tcMar>
          </w:tcPr>
          <w:p>
            <w:pPr>
              <w:pStyle w:val="Compact"/>
            </w:pPr>
            <w:r>
              <w:rPr>
                <w:lang w:val="nl-NL"/>
              </w:rPr>
              <w:t xml:space="preserve">[ ]</w:t>
            </w:r>
          </w:p>
        </w:tc>
      </w:tr>
      <w:tr>
        <w:trPr>
          <w:cantSplit/>
        </w:trPr>
        <w:tc>
          <w:tcPr>
            <w:tcW w:type="dxa" w:w="1498"/>
            <w:tcMar>
              <w:left w:type="dxa" w:w="80"/>
              <w:right w:type="dxa" w:w="80"/>
            </w:tcMar>
          </w:tcPr>
          <w:p>
            <w:pPr>
              <w:pStyle w:val="Compact"/>
            </w:pPr>
            <w:r>
              <w:rPr>
                <w:lang w:val="nl-NL"/>
              </w:rPr>
              <w:t xml:space="preserve">Optie B</w:t>
            </w:r>
          </w:p>
        </w:tc>
        <w:tc>
          <w:tcPr>
            <w:tcW w:type="dxa" w:w="6926"/>
            <w:tcMar>
              <w:left w:type="dxa" w:w="80"/>
              <w:right w:type="dxa" w:w="80"/>
            </w:tcMar>
          </w:tcPr>
          <w:p>
            <w:pPr>
              <w:pStyle w:val="Compact"/>
            </w:pPr>
            <w:r>
              <w:rPr>
                <w:lang w:val="nl-NL"/>
              </w:rPr>
              <w:t xml:space="preserve">On-premise Docker-implementatie bij de Klant of in de door de Klant aangewezen infrastructuur</w:t>
            </w:r>
          </w:p>
        </w:tc>
        <w:tc>
          <w:tcPr>
            <w:tcW w:type="dxa" w:w="936"/>
            <w:tcMar>
              <w:left w:type="dxa" w:w="80"/>
              <w:right w:type="dxa" w:w="80"/>
            </w:tcMar>
          </w:tcPr>
          <w:p>
            <w:pPr>
              <w:pStyle w:val="Compact"/>
            </w:pPr>
            <w:r>
              <w:rPr>
                <w:lang w:val="nl-NL"/>
              </w:rPr>
              <w:t xml:space="preserve">[ ]</w:t>
            </w:r>
          </w:p>
        </w:tc>
      </w:tr>
    </w:tbl>
    <w:p>
      <w:pPr>
        <w:pStyle w:val="BodyText"/>
      </w:pPr>
      <w:r>
        <w:rPr>
          <w:lang w:val="nl-NL"/>
        </w:rPr>
        <w:t xml:space="preserve">Bij Optie A zorgt OHADJA voor de werking van de applicatie, de hosting, het onderhoud, het toezicht, de technische back-ups, updates en de operationele veiligheid van de Dienst, binnen de grenzen van het Hoofdcontract en de MTO's beschreven in Bijlage 3.</w:t>
      </w:r>
    </w:p>
    <w:p>
      <w:pPr>
        <w:pStyle w:val="BodyText"/>
      </w:pPr>
      <w:r>
        <w:rPr>
          <w:lang w:val="nl-NL"/>
        </w:rPr>
        <w:t xml:space="preserve">Bij Optie B zorgt de Klant voor hosting, infrastructuurbeheer, netwerkbeveiliging, back-up, supervisie en systeemtoegang tot zijn omgeving, tenzij anders bepaald. OHADJA blijft Verwerker voor de handelingen die zij daadwerkelijk uitvoert namens de Klant, met name ondersteuning, onderhoud, geautoriseerde toegang op afstand, applicatie-updates, technische assistentie, AI-verwerking of externe transcriptie geactiveerd door de Klant.</w:t>
      </w:r>
    </w:p>
    <w:bookmarkEnd w:id="15"/>
    <w:bookmarkStart w:id="24" w:name="X6fbe77c1f2ceb9b8fe7ce4f91ca5eec1189f452"/>
    <w:p>
      <w:pPr>
        <w:pStyle w:val="Heading2"/>
        <w:keepNext/>
        <w:keepLines/>
      </w:pPr>
      <w:r>
        <w:rPr>
          <w:color w:val="000000"/>
          <w:lang w:val="nl-NL"/>
        </w:rPr>
        <w:t xml:space="preserve">5. VERPLICHTINGEN VAN Verwerker</w:t>
      </w:r>
    </w:p>
    <w:bookmarkStart w:id="16" w:name="X85011d02b5293815d8a137ad98420bb0d38d2c8"/>
    <w:p>
      <w:pPr>
        <w:pStyle w:val="Heading3"/>
        <w:keepNext/>
        <w:keepLines/>
      </w:pPr>
      <w:r>
        <w:rPr>
          <w:color w:val="000000"/>
          <w:lang w:val="nl-NL"/>
        </w:rPr>
        <w:t xml:space="preserve">5.1 GEDOCUMENTEERDE KLANTINSTRUCTIES — ARTIKEL 28.3.A AVG</w:t>
      </w:r>
    </w:p>
    <w:p>
      <w:pPr>
        <w:pStyle w:val="FirstParagraph"/>
      </w:pPr>
      <w:r>
        <w:rPr>
          <w:lang w:val="nl-NL"/>
        </w:rPr>
        <w:t xml:space="preserve">OHADJA verwerkt Persoonsgegevens alleen op gedocumenteerde instructies van de Klant, inclusief met betrekking tot de overdracht van Gegevens naar een derde land of een internationale organisatie.</w:t>
      </w:r>
    </w:p>
    <w:p>
      <w:pPr>
        <w:pStyle w:val="BodyText"/>
      </w:pPr>
      <w:r>
        <w:rPr>
          <w:lang w:val="nl-NL"/>
        </w:rPr>
        <w:t xml:space="preserve">De gedocumenteerde instructies omvatten het Hoofdcontract, deze Overeenkomst, de instellingen die de Klant in de Applicatie heeft gemaakt, de schriftelijke verzoeken gericht aan ondersteuning, de technische configuraties die door de Klant zijn gevalideerd en de aanvullende instructies die schriftelijk zijn vastgelegd.</w:t>
      </w:r>
    </w:p>
    <w:p>
      <w:pPr>
        <w:pStyle w:val="BodyText"/>
      </w:pPr>
      <w:r>
        <w:rPr>
          <w:lang w:val="nl-NL"/>
        </w:rPr>
        <w:t xml:space="preserve">OHADJA zal de Klant onverwijld informeren als zij van mening is dat een instructie een overtreding vormt van AVG of een andere toepasselijke bepaling van het Unierecht of het Franse recht met betrekking tot gegevensbescherming, in overeenstemming met artikel 28.3.h van AVG.</w:t>
      </w:r>
    </w:p>
    <w:p>
      <w:pPr>
        <w:pStyle w:val="BodyText"/>
      </w:pPr>
      <w:r>
        <w:rPr>
          <w:lang w:val="nl-NL"/>
        </w:rPr>
        <w:t xml:space="preserve">Indien OHADJA op grond van het recht van de Unie of het recht van een lidstaat verplicht is Gegevens te verwerken, zal zij de Klant hiervan voorafgaand aan de Verwerking op de hoogte stellen, tenzij dit bij wet verboden is op grond van een belangrijke reden van openbaar belang.</w:t>
      </w:r>
    </w:p>
    <w:bookmarkEnd w:id="16"/>
    <w:bookmarkStart w:id="17" w:name="X640541e1c00603a23593b291bac8ac454affb4b"/>
    <w:p>
      <w:pPr>
        <w:pStyle w:val="Heading3"/>
        <w:keepNext/>
        <w:keepLines/>
      </w:pPr>
      <w:r>
        <w:rPr>
          <w:color w:val="000000"/>
          <w:lang w:val="nl-NL"/>
        </w:rPr>
        <w:t xml:space="preserve">5.2 VERTROUWELIJKHEID — ARTIKEL 28.3.B AVG</w:t>
      </w:r>
    </w:p>
    <w:p>
      <w:pPr>
        <w:pStyle w:val="FirstParagraph"/>
      </w:pPr>
      <w:r>
        <w:rPr>
          <w:lang w:val="nl-NL"/>
        </w:rPr>
        <w:t xml:space="preserve">OHADJA zorgt ervoor dat personen die bevoegd zijn om Persoonsgegevens te verwerken, zich ertoe verbinden de vertrouwelijkheid te bewaren of onderworpen zijn aan een passende wettelijke geheimhoudingsplicht.</w:t>
      </w:r>
    </w:p>
    <w:p>
      <w:pPr>
        <w:pStyle w:val="BodyText"/>
      </w:pPr>
      <w:r>
        <w:rPr>
          <w:lang w:val="nl-NL"/>
        </w:rPr>
        <w:t xml:space="preserve">Toegang tot de Gegevens is beperkt tot personeel, agenten of dienstverleners die kennis nodig hebben voor de uitvoering van de Dienst, ondersteuning, onderhoud, beveiliging of een gedocumenteerde instructie van de Klant.</w:t>
      </w:r>
    </w:p>
    <w:p>
      <w:pPr>
        <w:pStyle w:val="BodyText"/>
      </w:pPr>
      <w:r>
        <w:rPr>
          <w:lang w:val="nl-NL"/>
        </w:rPr>
        <w:t xml:space="preserve">De geheimhoudingsverplichtingen blijven gelden nadat de betreffende personen hun contractuele relatie met OHADJA hebben beëindigd.</w:t>
      </w:r>
    </w:p>
    <w:bookmarkEnd w:id="17"/>
    <w:bookmarkStart w:id="18" w:name="X386434ff447907cb8c97496307d45663c82d3f0"/>
    <w:p>
      <w:pPr>
        <w:pStyle w:val="Heading3"/>
        <w:keepNext/>
        <w:keepLines/>
      </w:pPr>
      <w:r>
        <w:rPr>
          <w:color w:val="000000"/>
          <w:lang w:val="nl-NL"/>
        </w:rPr>
        <w:t xml:space="preserve">5.3 BEVEILIGING VAN DE VERWERKING — ARTIKELEN 28.3.C EN 32 AVG</w:t>
      </w:r>
    </w:p>
    <w:p>
      <w:pPr>
        <w:pStyle w:val="FirstParagraph"/>
      </w:pPr>
      <w:r>
        <w:rPr>
          <w:lang w:val="nl-NL"/>
        </w:rPr>
        <w:t xml:space="preserve">OHADJA implementeert de MTO's beschreven in Bijlage 3 om een veiligheidsniveau te garanderen dat is aangepast aan het risico, in overeenstemming met de artikelen 32.1.a, 32.1.b, 32.1.c en 32.1.d van AVG.</w:t>
      </w:r>
    </w:p>
    <w:p>
      <w:pPr>
        <w:pStyle w:val="BodyText"/>
      </w:pPr>
      <w:r>
        <w:rPr>
          <w:lang w:val="nl-NL"/>
        </w:rPr>
        <w:t xml:space="preserve">Deze MTO's hebben met name betrekking op encryptie tijdens de overdracht, logische isolatie van huurders, toegangsbeheer, logboekregistratie, back-ups, continuïteit van de dienstverlening, beheer van kwetsbaarheden, beveiliging van AI-verwerking en garanties die specifiek zijn voor stemcorrelatie.</w:t>
      </w:r>
    </w:p>
    <w:p>
      <w:pPr>
        <w:pStyle w:val="BodyText"/>
      </w:pPr>
      <w:r>
        <w:rPr>
          <w:lang w:val="nl-NL"/>
        </w:rPr>
        <w:t xml:space="preserve">De Klant erkent dat de veiligheid van de Verwerking ook afhangt van zijn eigen verplichtingen, in het bijzonder het beheer van zijn gebruikers, de toewijzing van rollen, de bescherming van identificatiegegevens, de keuze van de geüploade bestanden, de informatie van de betrokken Personen en, in Optie B, de veiligheid van zijn infrastructuur.</w:t>
      </w:r>
    </w:p>
    <w:bookmarkEnd w:id="18"/>
    <w:bookmarkStart w:id="19" w:name="Xb3486bc07c2cb7b33a0dadd72b9c7237bf29d3f"/>
    <w:p>
      <w:pPr>
        <w:pStyle w:val="Heading3"/>
        <w:keepNext/>
        <w:keepLines/>
      </w:pPr>
      <w:r>
        <w:rPr>
          <w:color w:val="000000"/>
          <w:lang w:val="nl-NL"/>
        </w:rPr>
        <w:t xml:space="preserve">5.4 Subverwerkers — ARTIKELEN 28.3.D, 28.2 EN 28.4 AVG</w:t>
      </w:r>
    </w:p>
    <w:p>
      <w:pPr>
        <w:pStyle w:val="FirstParagraph"/>
      </w:pPr>
      <w:r>
        <w:rPr>
          <w:lang w:val="nl-NL"/>
        </w:rPr>
        <w:t xml:space="preserve">OHADJA voldoet aan de voorwaarden zoals bepaald in de artikelen 28.2 en 28.4 van AVG om een Subverwerker te kunnen aanwerven.</w:t>
      </w:r>
    </w:p>
    <w:p>
      <w:pPr>
        <w:pStyle w:val="BodyText"/>
      </w:pPr>
      <w:r>
        <w:rPr>
          <w:lang w:val="nl-NL"/>
        </w:rPr>
        <w:t xml:space="preserve">OHADJA legt aan elke Subverwerker, bij contract of gelijkwaardige rechtshandeling, gegevensbeschermingsverplichtingen op die ten minste gelijkwaardig zijn aan die van deze Overeenkomst, in het bijzonder met betrekking tot vertrouwelijkheid, veiligheid, assistentie, melding van incidenten, restitutie, verwijdering en audit.</w:t>
      </w:r>
    </w:p>
    <w:p>
      <w:pPr>
        <w:pStyle w:val="BodyText"/>
      </w:pPr>
      <w:r>
        <w:rPr>
          <w:lang w:val="nl-NL"/>
        </w:rPr>
        <w:t xml:space="preserve">OHADJA blijft volledig verantwoordelijk jegens de Klant voor de uitvoering door Subverwerkers van hun verplichtingen met betrekking tot gegevensbescherming.</w:t>
      </w:r>
    </w:p>
    <w:bookmarkEnd w:id="19"/>
    <w:bookmarkStart w:id="20" w:name="X181e667c542a4869513196e0a56998cd3261e78"/>
    <w:p>
      <w:pPr>
        <w:pStyle w:val="Heading3"/>
        <w:keepNext/>
        <w:keepLines/>
      </w:pPr>
      <w:r>
        <w:rPr>
          <w:color w:val="000000"/>
          <w:lang w:val="nl-NL"/>
        </w:rPr>
        <w:t xml:space="preserve">5.5 BIJSTAND VOOR PERSOONLIJKE RECHTEN — ARTIKEL 28.3.E AVG</w:t>
      </w:r>
    </w:p>
    <w:p>
      <w:pPr>
        <w:pStyle w:val="FirstParagraph"/>
      </w:pPr>
      <w:r>
        <w:rPr>
          <w:lang w:val="nl-NL"/>
        </w:rPr>
        <w:t xml:space="preserve">Rekening houdend met de aard van de Verwerking helpt OHADJA de Klant, door middel van passende technische en organisatorische maatregelen en voor zover mogelijk, om te voldoen aan zijn verplichting om te reageren op verzoeken om de rechten van Betrokkenen uit te oefenen zoals bepaald in de artikelen 12 tot en met 22 van AVG.</w:t>
      </w:r>
    </w:p>
    <w:p>
      <w:pPr>
        <w:pStyle w:val="BodyText"/>
      </w:pPr>
      <w:r>
        <w:rPr>
          <w:lang w:val="nl-NL"/>
        </w:rPr>
        <w:t xml:space="preserve">Deze hulp kan bestaan uit het exporteren van Gegevens, het zoeken naar sessies, het verwijderen van gebruikersaccounts, het verwijderen van bestanden, het corrigeren van in de Applicatie ingevoerde informatie, het raadplegen van beschikbare logbestanden en technische ondersteuning die nodig is om de betreffende Gegevens te identificeren.</w:t>
      </w:r>
    </w:p>
    <w:p>
      <w:pPr>
        <w:pStyle w:val="BodyText"/>
      </w:pPr>
      <w:r>
        <w:rPr>
          <w:lang w:val="nl-NL"/>
        </w:rPr>
        <w:t xml:space="preserve">OHADJA antwoordt niet rechtstreeks aan een Betrokkene namens de Klant, tenzij zij daartoe een gedocumenteerde instructie van de Klant heeft ontvangen of wettelijk verplicht is.</w:t>
      </w:r>
    </w:p>
    <w:bookmarkEnd w:id="20"/>
    <w:bookmarkStart w:id="21" w:name="X60f5f7b3d003ca48ae8ede0476f5c4b860bfbca"/>
    <w:p>
      <w:pPr>
        <w:pStyle w:val="Heading3"/>
        <w:keepNext/>
        <w:keepLines/>
      </w:pPr>
      <w:r>
        <w:rPr>
          <w:color w:val="000000"/>
          <w:lang w:val="nl-NL"/>
        </w:rPr>
        <w:t xml:space="preserve">5.6 BIJSTAND VOOR DE VERPLICHTINGEN VAN DE ARTIKELEN 32 TOT 36 — ARTIKEL 28.3.F AVG</w:t>
      </w:r>
    </w:p>
    <w:p>
      <w:pPr>
        <w:pStyle w:val="FirstParagraph"/>
      </w:pPr>
      <w:r>
        <w:rPr>
          <w:lang w:val="nl-NL"/>
        </w:rPr>
        <w:t xml:space="preserve">OHADJA helpt de Klant om de naleving van zijn verplichtingen voorzien in de artikelen 32 tot en met 36 van AVG te garanderen, rekening houdend met de aard van de Verwerking en de informatie waarover hij beschikt.</w:t>
      </w:r>
    </w:p>
    <w:p>
      <w:pPr>
        <w:pStyle w:val="BodyText"/>
      </w:pPr>
      <w:r>
        <w:rPr>
          <w:lang w:val="nl-NL"/>
        </w:rPr>
        <w:t xml:space="preserve">Deze bijstand omvat in het bijzonder de veiligheid van de Verwerking, de melding van overtredingen van Persoonsgegevens, de eventuele communicatie naar de Betrokkenen, de impactanalyse met betrekking tot gegevensbescherming en het voorafgaand overleg met de toezichthoudende autoriteit wanneer deze verplichtingen op de Klant vallen.</w:t>
      </w:r>
    </w:p>
    <w:p>
      <w:pPr>
        <w:pStyle w:val="BodyText"/>
      </w:pPr>
      <w:r>
        <w:rPr>
          <w:lang w:val="nl-NL"/>
        </w:rPr>
        <w:t xml:space="preserve">OHADJA verstrekt de Klant, op redelijk verzoek, beschikbare technische informatie over de architectuur van de Dienst, MTO's, transcriptieverwerking, AI-verwerking, geautoriseerde Subverwerkers en garanties met betrekking tot stemcorrelatie.</w:t>
      </w:r>
    </w:p>
    <w:bookmarkEnd w:id="21"/>
    <w:bookmarkStart w:id="22" w:name="X371a2d02ebe98ae60d5f35283993a98ae6374bb"/>
    <w:p>
      <w:pPr>
        <w:pStyle w:val="Heading3"/>
        <w:keepNext/>
        <w:keepLines/>
      </w:pPr>
      <w:r>
        <w:rPr>
          <w:color w:val="000000"/>
          <w:lang w:val="nl-NL"/>
        </w:rPr>
        <w:t xml:space="preserve">5.7 RESTITUTIE OF VERWIJDERING — ARTIKEL 28.3.G AVG</w:t>
      </w:r>
    </w:p>
    <w:p>
      <w:pPr>
        <w:pStyle w:val="FirstParagraph"/>
      </w:pPr>
      <w:r>
        <w:rPr>
          <w:lang w:val="nl-NL"/>
        </w:rPr>
        <w:t xml:space="preserve">Na afloop van de dienstverlening betreffende de Verwerking verwijdert OHADJA alle namens de Klant verwerkte Persoonsgegevens of geeft deze terug volgens zijn gedocumenteerde keuze, en vernietigt zij bestaande kopieën, tenzij bewaring verplicht is op grond van Unierecht of Frans recht.</w:t>
      </w:r>
    </w:p>
    <w:p>
      <w:pPr>
        <w:pStyle w:val="BodyText"/>
      </w:pPr>
      <w:r>
        <w:rPr>
          <w:lang w:val="nl-NL"/>
        </w:rPr>
        <w:t xml:space="preserve">De operationele modaliteiten van restitutie, verwijdering, export, deadlines en certificaat worden gedefinieerd in sectie 11.</w:t>
      </w:r>
    </w:p>
    <w:bookmarkEnd w:id="22"/>
    <w:bookmarkStart w:id="23" w:name="Xbf1dd0c2929220af4686f03f916b0123ec6be16"/>
    <w:p>
      <w:pPr>
        <w:pStyle w:val="Heading3"/>
        <w:keepNext/>
        <w:keepLines/>
      </w:pPr>
      <w:r>
        <w:rPr>
          <w:color w:val="000000"/>
          <w:lang w:val="nl-NL"/>
        </w:rPr>
        <w:t xml:space="preserve">5.8 AANTONEN VAN NALEVING EN AUDIT — ARTIKEL 28.3.H AVG</w:t>
      </w:r>
    </w:p>
    <w:p>
      <w:pPr>
        <w:pStyle w:val="FirstParagraph"/>
      </w:pPr>
      <w:r>
        <w:rPr>
          <w:lang w:val="nl-NL"/>
        </w:rPr>
        <w:t xml:space="preserve">OHADJA verstrekt de Klant de gegevens die nodig zijn om aan te tonen dat hij voldoet aan de verplichtingen voorzien in artikel 28 van AVG en laat audits, inclusief inspecties, uitvoeren door de Klant of een door hem gemachtigde auditor, onder de voorwaarden voorzien in artikel 10.</w:t>
      </w:r>
    </w:p>
    <w:p>
      <w:pPr>
        <w:pStyle w:val="BodyText"/>
      </w:pPr>
      <w:r>
        <w:rPr>
          <w:lang w:val="nl-NL"/>
        </w:rPr>
        <w:t xml:space="preserve">OHADJA houdt een register bij van de categorieën van verwerkingsactiviteiten die namens de Klant worden uitgevoerd wanneer dit vereist is op grond van artikel 30.2 van AVG.</w:t>
      </w:r>
    </w:p>
    <w:bookmarkEnd w:id="23"/>
    <w:bookmarkEnd w:id="24"/>
    <w:bookmarkStart w:id="25" w:name="X6d69baf09f8184b2fba964eb0a06417a06d4abe"/>
    <w:p>
      <w:pPr>
        <w:pStyle w:val="Heading2"/>
        <w:keepNext/>
        <w:keepLines/>
      </w:pPr>
      <w:r>
        <w:rPr>
          <w:color w:val="000000"/>
          <w:lang w:val="nl-NL"/>
        </w:rPr>
        <w:t xml:space="preserve">6. Subverwerkers</w:t>
      </w:r>
    </w:p>
    <w:p>
      <w:pPr>
        <w:pStyle w:val="FirstParagraph"/>
      </w:pPr>
      <w:r>
        <w:rPr>
          <w:lang w:val="nl-NL"/>
        </w:rPr>
        <w:t xml:space="preserve">De Klant verleent OHADJA algemene schriftelijke toestemming om de in Bijlage 2 genoemde Subverwerkers te gebruiken voor de daarin beschreven doeleinden, in overeenstemming met artikel 28.2 van AVG.</w:t>
      </w:r>
    </w:p>
    <w:p>
      <w:pPr>
        <w:pStyle w:val="BodyText"/>
      </w:pPr>
      <w:r>
        <w:rPr>
          <w:lang w:val="nl-NL"/>
        </w:rPr>
        <w:t xml:space="preserve">OHADJA informeert de Klant over elke geplande toevoeging of vervanging van Subverwerker minstens dertig (30) kalenderdagen vóór de implementatie ervan, per e-mail, contractuele kennisgeving, kennisgeving in de Applicatie of elk ander schriftelijk middel waarmee het bewijs ervan kan worden bewaard.</w:t>
      </w:r>
    </w:p>
    <w:p>
      <w:pPr>
        <w:pStyle w:val="BodyText"/>
      </w:pPr>
      <w:r>
        <w:rPr>
          <w:lang w:val="nl-NL"/>
        </w:rPr>
        <w:t xml:space="preserve">De Klant kan binnen deze termijn van dertig (30) dagen schriftelijk, gemotiveerd en redelijk bezwaar maken, wanneer hij aantoont dat de beoogde Subverwerker onvoldoende garanties biedt ten aanzien van de AVG of een aanzienlijk risico creëert voor de rechten en vrijheden van de betrokken Personen.</w:t>
      </w:r>
    </w:p>
    <w:p>
      <w:pPr>
        <w:pStyle w:val="BodyText"/>
      </w:pPr>
      <w:r>
        <w:rPr>
          <w:lang w:val="nl-NL"/>
        </w:rPr>
        <w:t xml:space="preserve">In geval van bezwaar zullen de partijen te goeder trouw overleg plegen om een redelijke alternatieve oplossing te vinden. Indien geen oplossing mogelijk is zonder de levering van de Dienst in gevaar te brengen, kan de Klant het betreffende deel van de Dienst beëindigen onder de voorwaarden van het Hoofdcontract, onverminderd de bedragen verschuldigd voor de reeds uitgevoerde diensten.</w:t>
      </w:r>
    </w:p>
    <w:bookmarkEnd w:id="25"/>
    <w:bookmarkStart w:id="26" w:name="Xbaa5908aea5f579a0a9d81c1240fc2d1c4637db"/>
    <w:p>
      <w:pPr>
        <w:pStyle w:val="Heading2"/>
        <w:keepNext/>
        <w:keepLines/>
      </w:pPr>
      <w:r>
        <w:rPr>
          <w:color w:val="000000"/>
          <w:lang w:val="nl-NL"/>
        </w:rPr>
        <w:t xml:space="preserve">7. GEGEVENSLOCALISATIE EN OVERDRACHTEN BUITEN DE EU</w:t>
      </w:r>
    </w:p>
    <w:p>
      <w:pPr>
        <w:pStyle w:val="FirstParagraph"/>
      </w:pPr>
      <w:r>
        <w:rPr>
          <w:lang w:val="nl-NL"/>
        </w:rPr>
        <w:t xml:space="preserve">Bij Optie A verbindt OHADJA zich ertoe de productiegegevens van de Klant te hosten in Frankrijk of, bij ontstentenis daarvan, in de Europese Unie of de Europese Economische Ruimte, bij dienstverleners die voldoende garanties bieden met betrekking tot AVG.</w:t>
      </w:r>
    </w:p>
    <w:p>
      <w:pPr>
        <w:pStyle w:val="BodyText"/>
      </w:pPr>
      <w:r>
        <w:rPr>
          <w:lang w:val="nl-NL"/>
        </w:rPr>
        <w:t xml:space="preserve">Vanaf de datum van deze versie wordt de SaaS-service TranscribIA gehost in Frankrijk op een Hostinger-infrastructuur en toegankelijk via </w:t>
      </w:r>
      <w:r>
        <w:rPr>
          <w:lang w:val="nl-NL"/>
        </w:rPr>
        <w:t xml:space="preserve"/>
      </w:r>
      <w:r>
        <w:rPr>
          <w:rStyle w:val="VerbatimChar"/>
          <w:lang w:val="nl-NL"/>
        </w:rPr>
        <w:t xml:space="preserve">https://client.transcribia.eu</w:t>
      </w:r>
      <w:r>
        <w:rPr>
          <w:lang w:val="nl-NL"/>
        </w:rPr>
        <w:t xml:space="preserve">. Back-ups van productiegegevens worden gecodeerd voordat ze worden uitbesteed en opgeslagen bij Scaleway (Frankrijk, Europese Unie).</w:t>
      </w:r>
    </w:p>
    <w:p>
      <w:pPr>
        <w:pStyle w:val="BodyText"/>
      </w:pPr>
      <w:r>
        <w:rPr>
          <w:lang w:val="nl-NL"/>
        </w:rPr>
        <w:t xml:space="preserve">De AI-functies zijn standaard gebaseerd op vLLM-inferentieservers die worden beheerd door OHADJA, gehost in Europa (voornamelijk Straatsburg en Parijs), met open-weight-modellen; op deze primaire route worden geen gegevens verzonden naar een externe modelaanbieder of overgedragen buiten de Europese Unie. Verwerking via OpenRouter vindt uitsluitend plaats als failover, beperkt zich tot de instructies van Klant en de in de Dienst geactiveerde parameters, en kan door Klant worden gedeactiveerd. OHADJA geeft de voorkeur aan configuraties, eindpunten, regio's of contractuele verplichtingen die verwerking in de Europese Unie of de Europese Economische Ruimte mogelijk maken, indien deze beschikbaar zijn voor de toepasselijke service.</w:t>
      </w:r>
    </w:p>
    <w:p>
      <w:pPr>
        <w:pStyle w:val="BodyText"/>
      </w:pPr>
      <w:r>
        <w:rPr>
          <w:lang w:val="nl-NL"/>
        </w:rPr>
        <w:t xml:space="preserve">On-demand GPU-verwerking, inclusief transcriptie, sprekerdiarisatie of stemcorrelatie, kan Vast.ai gebruiken als deze optie is ingeschakeld. OHADJA selecteert middelen gelegen in de Europese Unie of de Europese Economische Ruimte wanneer deze locatie vereist is door de Klant of voorzien is in het Hoofdcontract.</w:t>
      </w:r>
    </w:p>
    <w:p>
      <w:pPr>
        <w:pStyle w:val="BodyText"/>
      </w:pPr>
      <w:r>
        <w:rPr>
          <w:lang w:val="nl-NL"/>
        </w:rPr>
        <w:t xml:space="preserve">Het beheer en de ondersteuning van de Dienst worden uitsluitend uitgevoerd vanuit Frankrijk of de Europese Unie; vanuit een derde land wordt er geen administratieve toegang tot productiegegevens verleend.</w:t>
      </w:r>
    </w:p>
    <w:p>
      <w:pPr>
        <w:pStyle w:val="BodyText"/>
      </w:pPr>
      <w:r>
        <w:rPr>
          <w:lang w:val="nl-NL"/>
        </w:rPr>
        <w:t xml:space="preserve">Er mag geen overdracht van Gegevens naar de Verenigde Staten of naar een derde land plaatsvinden door OHADJA namens de Klant zonder een geldig overdrachtsmechanisme in de zin van hoofdstuk V van AVG. In het bijzonder zijn overdrachten naar de Verenigde Staten uitgesloten bij gebrek aan toepasselijke standaardcontractbepalingen, aanvullende maatregelen waar nodig, of enig ander mechanisme dat door AVG als geldig wordt erkend.</w:t>
      </w:r>
    </w:p>
    <w:p>
      <w:pPr>
        <w:pStyle w:val="BodyText"/>
      </w:pPr>
      <w:r>
        <w:rPr>
          <w:lang w:val="nl-NL"/>
        </w:rPr>
        <w:t xml:space="preserve">Indien een overdracht buiten de Europese Unie of de Europese Economische Ruimte noodzakelijk wordt voor de uitvoering van de Dienst, informeert OHADJA de Klant hiervan vooraf, identificeert het betrokken land, het doel, de gegevenscategorieën, de betrokken Subverwerker en het toepasselijke overdrachtsmechanisme. De Klant behoudt het recht om bezwaar te maken onder de voorwaarden van artikel 6.</w:t>
      </w:r>
    </w:p>
    <w:bookmarkEnd w:id="26"/>
    <w:bookmarkStart w:id="27" w:name="X27fdb3a5f0ec5197869ac1ed3c6478d6fcb4a09"/>
    <w:p>
      <w:pPr>
        <w:pStyle w:val="Heading2"/>
        <w:keepNext/>
        <w:keepLines/>
      </w:pPr>
      <w:r>
        <w:rPr>
          <w:color w:val="000000"/>
          <w:lang w:val="nl-NL"/>
        </w:rPr>
        <w:t xml:space="preserve">8. VEILIGHEIDS- EN INCIDENTENMELDING</w:t>
      </w:r>
    </w:p>
    <w:p>
      <w:pPr>
        <w:pStyle w:val="FirstParagraph"/>
      </w:pPr>
      <w:r>
        <w:rPr>
          <w:lang w:val="nl-NL"/>
        </w:rPr>
        <w:t xml:space="preserve">OHADJA implementeert passende MTO's in overeenstemming met de artikelen 32.1.a tot en met 32.1.d van AVG, rekening houdend met de stand van kennis, implementatiekosten, aard, omvang, context, doeleinden van de Verwerking en de risico's voor de rechten en vrijheden van de Betrokkenen.</w:t>
      </w:r>
    </w:p>
    <w:p>
      <w:pPr>
        <w:pStyle w:val="BodyText"/>
      </w:pPr>
      <w:r>
        <w:rPr>
          <w:lang w:val="nl-NL"/>
        </w:rPr>
        <w:t xml:space="preserve">In het geval van een Beveiligingsincident dat de Gegevens van de Klant aantast of waarschijnlijk zal aantasten, neemt OHADJA onmiddellijk de nodige maatregelen om het incident te analyseren, de gevolgen ervan te beperken, de veiligheid van de Dienst te herstellen en de elementen te behouden die nuttig zijn voor het onderzoek.</w:t>
      </w:r>
    </w:p>
    <w:p>
      <w:pPr>
        <w:pStyle w:val="BodyText"/>
      </w:pPr>
      <w:r>
        <w:rPr>
          <w:lang w:val="nl-NL"/>
        </w:rPr>
        <w:t xml:space="preserve">Wanneer OHADJA kennis krijgt van een inbreuk in verband met Persoonsgegevens die de Gegevens van de Klant betreft, informeert zij de Klant zonder onredelijke vertraging overeenkomstig artikel 33, lid 2, van de AVG, ook buiten werkdagen. De eerste waarschuwing wordt niet uitgesteld in afwachting van een volledig onderzoek; beschikbare informatie wordt meegedeeld en vervolgens gefaseerd aangevuld. Geen indicatieve contractuele termijn mag onredelijke vertraging toestaan of de verplichtingen van de Klant in gevaar brengen.</w:t>
      </w:r>
    </w:p>
    <w:p>
      <w:pPr>
        <w:pStyle w:val="BodyText"/>
      </w:pPr>
      <w:r>
        <w:rPr>
          <w:lang w:val="nl-NL"/>
        </w:rPr>
        <w:t xml:space="preserve">De kennisgeving die naar de Klant wordt gestuurd, omvat, voor zover de beschikbare informatie:</w:t>
      </w:r>
    </w:p>
    <w:p>
      <w:pPr>
        <w:pStyle w:val="Compact"/>
        <w:numPr>
          <w:ilvl w:val="0"/>
          <w:numId w:val="1001"/>
        </w:numPr>
      </w:pPr>
      <w:r>
        <w:rPr>
          <w:lang w:val="nl-NL"/>
        </w:rPr>
        <w:t xml:space="preserve">de aard van de overtreding;</w:t>
      </w:r>
    </w:p>
    <w:p>
      <w:pPr>
        <w:pStyle w:val="Compact"/>
        <w:numPr>
          <w:ilvl w:val="0"/>
          <w:numId w:val="1001"/>
        </w:numPr>
      </w:pPr>
      <w:r>
        <w:rPr>
          <w:lang w:val="nl-NL"/>
        </w:rPr>
        <w:t xml:space="preserve">de betrokken categorieën Gegevens;</w:t>
      </w:r>
    </w:p>
    <w:p>
      <w:pPr>
        <w:pStyle w:val="Compact"/>
        <w:numPr>
          <w:ilvl w:val="0"/>
          <w:numId w:val="1001"/>
        </w:numPr>
      </w:pPr>
      <w:r>
        <w:rPr>
          <w:lang w:val="nl-NL"/>
        </w:rPr>
        <w:t xml:space="preserve">de categorieën en het geschatte aantal betrokken personen, indien beschikbaar;</w:t>
      </w:r>
    </w:p>
    <w:p>
      <w:pPr>
        <w:pStyle w:val="Compact"/>
        <w:numPr>
          <w:ilvl w:val="0"/>
          <w:numId w:val="1001"/>
        </w:numPr>
      </w:pPr>
      <w:r>
        <w:rPr>
          <w:lang w:val="nl-NL"/>
        </w:rPr>
        <w:t xml:space="preserve">de categorieën en het geschatte aantal betrokken records, indien beschikbaar;</w:t>
      </w:r>
    </w:p>
    <w:p>
      <w:pPr>
        <w:pStyle w:val="Compact"/>
        <w:numPr>
          <w:ilvl w:val="0"/>
          <w:numId w:val="1001"/>
        </w:numPr>
      </w:pPr>
      <w:r>
        <w:rPr>
          <w:lang w:val="nl-NL"/>
        </w:rPr>
        <w:t xml:space="preserve">de waarschijnlijke gevolgen van de overtreding;</w:t>
      </w:r>
    </w:p>
    <w:p>
      <w:pPr>
        <w:pStyle w:val="Compact"/>
        <w:numPr>
          <w:ilvl w:val="0"/>
          <w:numId w:val="1001"/>
        </w:numPr>
      </w:pPr>
      <w:r>
        <w:rPr>
          <w:lang w:val="nl-NL"/>
        </w:rPr>
        <w:t xml:space="preserve">de maatregelen die zijn genomen of voorgesteld om de overtreding te herstellen;</w:t>
      </w:r>
    </w:p>
    <w:p>
      <w:pPr>
        <w:pStyle w:val="Compact"/>
        <w:numPr>
          <w:ilvl w:val="0"/>
          <w:numId w:val="1001"/>
        </w:numPr>
      </w:pPr>
      <w:r>
        <w:rPr>
          <w:lang w:val="nl-NL"/>
        </w:rPr>
        <w:t xml:space="preserve">de voorgestelde maatregelen om de negatieve gevolgen te verzachten;</w:t>
      </w:r>
    </w:p>
    <w:p>
      <w:pPr>
        <w:pStyle w:val="Compact"/>
        <w:numPr>
          <w:ilvl w:val="0"/>
          <w:numId w:val="1001"/>
        </w:numPr>
      </w:pPr>
      <w:r>
        <w:rPr>
          <w:lang w:val="nl-NL"/>
        </w:rPr>
        <w:t xml:space="preserve">het contactpunt waar u aanvullende informatie kunt verkrijgen.</w:t>
      </w:r>
    </w:p>
    <w:p>
      <w:pPr>
        <w:pStyle w:val="FirstParagraph"/>
      </w:pPr>
      <w:r>
        <w:rPr>
          <w:lang w:val="nl-NL"/>
        </w:rPr>
        <w:t xml:space="preserve">Indien niet alle informatie tegelijkertijd kan worden verstrekt, zal OHADJA deze gespreid en zonder onnodige vertraging doorgeven, in overeenstemming met artikel 33.4 van AVG.</w:t>
      </w:r>
    </w:p>
    <w:p>
      <w:pPr>
        <w:pStyle w:val="BodyText"/>
      </w:pPr>
      <w:r>
        <w:rPr>
          <w:lang w:val="nl-NL"/>
        </w:rPr>
        <w:t xml:space="preserve">De Klant blijft verantwoordelijk voor meldingen aan de bevoegde toezichthoudende autoriteit op grond van artikel 33, lid 1, en, indien van toepassing, mededelingen aan Betrokkenen op grond van artikel 34. OHADJA kan ondersteunen of handelen op grond van een schriftelijke machtiging, zonder dat deze de wettelijke verantwoordelijkheden van de Klant overdraagt of OHADJA van haar eigen verplichtingen ontslaat.</w:t>
      </w:r>
    </w:p>
    <w:bookmarkEnd w:id="27"/>
    <w:bookmarkStart w:id="28" w:name="Xf2744e74d29e6a4838bc4c0ddd7ec9c727a38c3"/>
    <w:p>
      <w:pPr>
        <w:pStyle w:val="Heading2"/>
        <w:keepNext/>
        <w:keepLines/>
      </w:pPr>
      <w:r>
        <w:rPr>
          <w:color w:val="000000"/>
          <w:lang w:val="nl-NL"/>
        </w:rPr>
        <w:t xml:space="preserve">9. RECHTEN VAN BETROKKEN PERSONEN</w:t>
      </w:r>
    </w:p>
    <w:p>
      <w:pPr>
        <w:pStyle w:val="FirstParagraph"/>
      </w:pPr>
      <w:r>
        <w:rPr>
          <w:lang w:val="nl-NL"/>
        </w:rPr>
        <w:t xml:space="preserve">De Klant is verantwoordelijk voor de afhandeling van verzoeken tot uitoefening van de rechten van Betrokkenen op grond van de artikelen 12 tot en met 22 AVG.</w:t>
      </w:r>
    </w:p>
    <w:p>
      <w:pPr>
        <w:pStyle w:val="BodyText"/>
      </w:pPr>
      <w:r>
        <w:rPr>
          <w:lang w:val="nl-NL"/>
        </w:rPr>
        <w:t xml:space="preserve">OHADJA assisteert de Klant binnen zeven (7) werkdagen na ontvangst van een volledig schriftelijk verzoek van de Klant, tenzij er sprake is van een gerechtvaardigde noodsituatie of bijzondere complexiteit die extra redelijke tijd vereist.</w:t>
      </w:r>
    </w:p>
    <w:p>
      <w:pPr>
        <w:pStyle w:val="BodyText"/>
      </w:pPr>
      <w:r>
        <w:rPr>
          <w:lang w:val="nl-NL"/>
        </w:rPr>
        <w:t xml:space="preserve">De ondersteuning kan betrekking hebben op de rechten van inzage, rectificatie, wissing, beperking, overdraagbaarheid en bezwaar, evenals verzoeken betreffende geautomatiseerde individuele besluiten, voor zover deze rechten van toepassing zijn op de betrokken Verwerking.</w:t>
      </w:r>
    </w:p>
    <w:p>
      <w:pPr>
        <w:pStyle w:val="BodyText"/>
      </w:pPr>
      <w:r>
        <w:rPr>
          <w:lang w:val="nl-NL"/>
        </w:rPr>
        <w:t xml:space="preserve">Als OHADJA rechtstreeks een verzoek ontvangt van een Betrokkene met betrekking tot Klantgegevens, zal zij dit verzoek zo snel mogelijk naar de Klant sturen, wanneer zij de betrokken Klant kan identificeren, en zal zij er niet inhoudelijk op reageren, tenzij gedocumenteerde instructies van de Klant of wettelijke verplichting.</w:t>
      </w:r>
    </w:p>
    <w:p>
      <w:pPr>
        <w:pStyle w:val="BodyText"/>
      </w:pPr>
      <w:r>
        <w:rPr>
          <w:lang w:val="nl-NL"/>
        </w:rPr>
        <w:t xml:space="preserve">De Klant erkent dat bepaalde Gegevens kunnen zijn opgenomen in audio-opnamen, woordelijke transcripties, voorbereidende documenten of exporten geproduceerd door zijn gebruikers. Het is aan de Klant om te bepalen welk gevolg wordt gegeven aan de verzoeken van de Betrokkenen, in het bijzonder wanneer het verzoek een juridische beoordeling, een rechtenafweging of de bewaring van bewijsmateriaal betreft.</w:t>
      </w:r>
    </w:p>
    <w:bookmarkEnd w:id="28"/>
    <w:bookmarkStart w:id="29" w:name="X5b9cdfc441acad2cdb70f1acdcfd7578fe2e93a"/>
    <w:p>
      <w:pPr>
        <w:pStyle w:val="Heading2"/>
        <w:keepNext/>
        <w:keepLines/>
      </w:pPr>
      <w:r>
        <w:rPr>
          <w:color w:val="000000"/>
          <w:lang w:val="nl-NL"/>
        </w:rPr>
        <w:t xml:space="preserve">10. AUDIT EN INSPECTIE</w:t>
      </w:r>
    </w:p>
    <w:p>
      <w:pPr>
        <w:pStyle w:val="FirstParagraph"/>
      </w:pPr>
      <w:r>
        <w:rPr>
          <w:lang w:val="nl-NL"/>
        </w:rPr>
        <w:t xml:space="preserve">De Klant heeft het recht om een audit uit te voeren op de naleving door OHADJA van de verplichtingen voorzien in deze Overeenkomst en in artikel 28 van AVG.</w:t>
      </w:r>
    </w:p>
    <w:p>
      <w:pPr>
        <w:pStyle w:val="BodyText"/>
      </w:pPr>
      <w:r>
        <w:rPr>
          <w:lang w:val="nl-NL"/>
        </w:rPr>
        <w:t xml:space="preserve">Tenzij er sprake is van een ernstig veiligheidsincident of een verzoek van een toezichthoudende autoriteit, is de audit beperkt tot één (1) audit per kalenderjaar, met een schriftelijke opzegtermijn van ten minste dertig (30) kalenderdagen.</w:t>
      </w:r>
    </w:p>
    <w:p>
      <w:pPr>
        <w:pStyle w:val="BodyText"/>
      </w:pPr>
      <w:r>
        <w:rPr>
          <w:lang w:val="nl-NL"/>
        </w:rPr>
        <w:t xml:space="preserve">De audit wordt uitgevoerd tijdens OHADJA werkdagen en -uren, om de veiligheid, beschikbaarheid of continuïteit van de Dienst, noch de vertrouwelijkheid van de Gegevens van andere klanten, niet te verstoren.</w:t>
      </w:r>
    </w:p>
    <w:p>
      <w:pPr>
        <w:pStyle w:val="BodyText"/>
      </w:pPr>
      <w:r>
        <w:rPr>
          <w:lang w:val="nl-NL"/>
        </w:rPr>
        <w:t xml:space="preserve">De Klant kan een onafhankelijke derde auditor aanstellen, op voorwaarde dat deze onderworpen is aan een schriftelijke geheimhoudingsplicht, geen directe concurrent is van OHADJA en voldoet aan de toepasselijke veiligheidsregels.</w:t>
      </w:r>
    </w:p>
    <w:p>
      <w:pPr>
        <w:pStyle w:val="BodyText"/>
      </w:pPr>
      <w:r>
        <w:rPr>
          <w:lang w:val="nl-NL"/>
        </w:rPr>
        <w:t xml:space="preserve">De interne en externe kosten van de audit, inclusief het honorarium van de door de Klant aangestelde auditor, zijn voor rekening van de Klant. OHADJA mag de Klant factureren voor de redelijke tijd besteed aan het voorbereiden, ondersteunen en monitoren van de audit wanneer deze de standaard beschikbaar gestelde compliance-informatie overschrijdt.</w:t>
      </w:r>
    </w:p>
    <w:p>
      <w:pPr>
        <w:pStyle w:val="BodyText"/>
      </w:pPr>
      <w:r>
        <w:rPr>
          <w:lang w:val="nl-NL"/>
        </w:rPr>
        <w:t xml:space="preserve">De audit kan niet leiden tot toegang tot de Gegevens van andere klanten, tot de bedrijfsgeheimen van OHADJA, tot niet-gelicentieerde broncode, tot beveiligingsinformatie waarvan de openbaarmaking een onevenredig groot risico zou opleveren, noch tot informatie die valt onder een geheimhoudingsplicht jegens een derde partij.</w:t>
      </w:r>
    </w:p>
    <w:p>
      <w:pPr>
        <w:pStyle w:val="BodyText"/>
      </w:pPr>
      <w:r>
        <w:rPr>
          <w:lang w:val="nl-NL"/>
        </w:rPr>
        <w:t xml:space="preserve">Wanneer substantiële non-conformiteiten worden geconstateerd, stelt OHADJA een proportioneel herstelplan op en informeert de Klant over de voortgang ervan.</w:t>
      </w:r>
    </w:p>
    <w:bookmarkEnd w:id="29"/>
    <w:bookmarkStart w:id="30" w:name="X73e59becb4c206e5b73713aa44c597c54fda0d1"/>
    <w:p>
      <w:pPr>
        <w:pStyle w:val="Heading2"/>
        <w:keepNext/>
        <w:keepLines/>
      </w:pPr>
      <w:r>
        <w:rPr>
          <w:color w:val="000000"/>
          <w:lang w:val="nl-NL"/>
        </w:rPr>
        <w:t xml:space="preserve">11. RETOURNEREN EN VERWIJDEREN</w:t>
      </w:r>
    </w:p>
    <w:p>
      <w:pPr>
        <w:pStyle w:val="FirstParagraph"/>
      </w:pPr>
      <w:r>
        <w:rPr>
          <w:lang w:val="nl-NL"/>
        </w:rPr>
        <w:t xml:space="preserve">Aan het einde van het Hoofdcontract, ongeacht de oorzaak, kiest de Klant via schriftelijke instructie tussen de teruggave en de verwijdering van de namens hem verwerkte Persoonsgegevens.</w:t>
      </w:r>
    </w:p>
    <w:p>
      <w:pPr>
        <w:pStyle w:val="BodyText"/>
      </w:pPr>
      <w:r>
        <w:rPr>
          <w:lang w:val="nl-NL"/>
        </w:rPr>
        <w:t xml:space="preserve">In geval van restitutie stelt OHADJA de exporteerbare Gegevens, in het bijzonder gebruikersaccounts, sessie-metagegevens, transcripties, documenten, audiobestanden, beschikbare logs en gegenereerde exports, ter beschikking van de Klant, in een standaardformaat dat beschikbaar is in de Dienst, met inachtneming van de daadwerkelijk onderschreven functionaliteiten en gedocumenteerde technische beperkingen.</w:t>
      </w:r>
    </w:p>
    <w:p>
      <w:pPr>
        <w:pStyle w:val="BodyText"/>
      </w:pPr>
      <w:r>
        <w:rPr>
          <w:lang w:val="nl-NL"/>
        </w:rPr>
        <w:t xml:space="preserve">In geval van verwijdering verwijdert OHADJA de Productiegegevens van de Klant binnen een periode van maximaal dertig (30) kalenderdagen na het effectieve einde van het Hoofdcontract of de ontvangst van de schriftelijke verwijderingsinstructie, afhankelijk van welke datum later valt.</w:t>
      </w:r>
    </w:p>
    <w:p>
      <w:pPr>
        <w:pStyle w:val="BodyText"/>
      </w:pPr>
      <w:r>
        <w:rPr>
          <w:lang w:val="nl-NL"/>
        </w:rPr>
        <w:t xml:space="preserve">Resterende technische back-ups worden afgeschermd van regulier gebruik en verwijderd volgens hun normale rotatiecyclus, binnen maximaal negentig (90) kalenderdagen. Verdere bewaring is alleen mogelijk voor zover en zolang het Unierecht of het recht van de lidstaat waaraan OHADJA is onderworpen dit vereist; grondslag en reikwijdte worden gedocumenteerd. Een algemene noodzaak wegens beveiliging, geschillen of herstel ontslaat niet van de verplichting rechtmatige instructies en artikel 28, lid 3, onder g, na te leven.</w:t>
      </w:r>
    </w:p>
    <w:p>
      <w:pPr>
        <w:pStyle w:val="BodyText"/>
      </w:pPr>
      <w:r>
        <w:rPr>
          <w:lang w:val="nl-NL"/>
        </w:rPr>
        <w:t xml:space="preserve">OHADJA verstrekt de Klant, op schriftelijk verzoek, een certificaat van verwijdering of restitutie binnen dertig (30) kalenderdagen na voltooiing van de betreffende transactie.</w:t>
      </w:r>
    </w:p>
    <w:p>
      <w:pPr>
        <w:pStyle w:val="BodyText"/>
      </w:pPr>
      <w:r>
        <w:rPr>
          <w:lang w:val="nl-NL"/>
        </w:rPr>
        <w:t xml:space="preserve">Tijdelijke steminsluitingen die worden gebruikt voor stemcorrelatie zijn uitgesloten van enige restitutie, omdat ze tijdelijk in RAM worden berekend om de identificatie van de spreker te suggereren en aan het einde van het verzoek worden vernietigd, zonder dat er een blijvend biometrisch sjabloon ontstaat.</w:t>
      </w:r>
    </w:p>
    <w:bookmarkEnd w:id="30"/>
    <w:bookmarkStart w:id="31" w:name="X72b0836447daf89f47600fd048e1cdcf0812815"/>
    <w:p>
      <w:pPr>
        <w:pStyle w:val="Heading2"/>
        <w:keepNext/>
        <w:keepLines/>
      </w:pPr>
      <w:r>
        <w:rPr>
          <w:color w:val="000000"/>
          <w:lang w:val="nl-NL"/>
        </w:rPr>
        <w:t xml:space="preserve">12. AANSPRAKELIJKHEID, VRIJWARING EN BEPERKING</w:t>
      </w:r>
    </w:p>
    <w:p>
      <w:pPr>
        <w:pStyle w:val="FirstParagraph"/>
      </w:pPr>
      <w:r>
        <w:rPr>
          <w:lang w:val="nl-NL"/>
        </w:rPr>
        <w:t xml:space="preserve">Elke Partij is verantwoordelijk voor het nakomen van haar verplichtingen onder AVG, de toepasselijke Franse wetgeving, het Hoofdcontract en deze Overeenkomst.</w:t>
      </w:r>
    </w:p>
    <w:p>
      <w:pPr>
        <w:pStyle w:val="BodyText"/>
      </w:pPr>
      <w:r>
        <w:rPr>
          <w:lang w:val="nl-NL"/>
        </w:rPr>
        <w:t xml:space="preserve">OHADJA is slechts aansprakelijk voor schade veroorzaakt door de Verwerking wanneer zij niet heeft voldaan aan de verplichtingen van AVG die specifiek op verwerkers rusten of wanneer zij buiten of in strijd met de wettelijke instructies van de Klant heeft gehandeld, in overeenstemming met de beginselen van artikel 82 van AVG.</w:t>
      </w:r>
    </w:p>
    <w:p>
      <w:pPr>
        <w:pStyle w:val="BodyText"/>
      </w:pPr>
      <w:r>
        <w:rPr>
          <w:lang w:val="nl-NL"/>
        </w:rPr>
        <w:t xml:space="preserve">De Klant is verantwoordelijk voor schade die voortvloeit uit zijn doeleinden, rechtsgrondslagen, informatie aan Betrokkenen, instructies, configuraties, geüploade inhoud, vastgestelde bewaartermijnen, gebruikersautorisaties, verwerking opgelegd aan OHADJA of beveiligingsfouten die binnen de reikwijdte ervan vallen, met name in Optie B.</w:t>
      </w:r>
    </w:p>
    <w:p>
      <w:pPr>
        <w:pStyle w:val="BodyText"/>
      </w:pPr>
      <w:r>
        <w:rPr>
          <w:lang w:val="nl-NL"/>
        </w:rPr>
        <w:t xml:space="preserve">Elke Partij vrijwaart de andere Partij voor de directe gevolgen van een claim, sanctie, vonnis of transactie die voortvloeit uit een bewezen schending van haar eigen verplichtingen uit hoofde van deze Overeenkomst, op voorwaarde dat de Partij die om garantie vraagt de andere Partij hiervan zonder onnodige vertraging op de hoogte stelt, redelijk meewerkt aan de verdediging en geen enkele aansprakelijkheid erkent zonder voorafgaande schriftelijke toestemming.</w:t>
      </w:r>
    </w:p>
    <w:p>
      <w:pPr>
        <w:pStyle w:val="BodyText"/>
      </w:pPr>
      <w:r>
        <w:rPr>
          <w:lang w:val="nl-NL"/>
        </w:rPr>
        <w:t xml:space="preserve">Tenzij anders verplicht, is de algehele aansprakelijkheid van OHADJA onder deze Overeenkomst onderworpen aan de plafonds, uitsluitingen en beperkingen zoals bepaald in het Hoofdcontract.</w:t>
      </w:r>
    </w:p>
    <w:p>
      <w:pPr>
        <w:pStyle w:val="BodyText"/>
      </w:pPr>
      <w:r>
        <w:rPr>
          <w:lang w:val="nl-NL"/>
        </w:rPr>
        <w:t xml:space="preserve">Er geldt geen aansprakelijkheidsbeperking in geval van fraude, opzettelijk wangedrag, grove nalatigheid, opzettelijke schending, opzettelijke schending van de gedocumenteerde instructies van de Klant, opzettelijke schending van de vertrouwelijkheid van de Gegevens of wanneer de wet een dergelijke beperking verbiedt.</w:t>
      </w:r>
    </w:p>
    <w:bookmarkEnd w:id="31"/>
    <w:bookmarkStart w:id="32" w:name="Xdc52f2aec3a69fb47e64b781e77c3855826c6e4"/>
    <w:p>
      <w:pPr>
        <w:pStyle w:val="Heading2"/>
        <w:keepNext/>
        <w:keepLines/>
      </w:pPr>
      <w:r>
        <w:rPr>
          <w:color w:val="000000"/>
          <w:lang w:val="nl-NL"/>
        </w:rPr>
        <w:t xml:space="preserve">13. DUUR EN BEËINDIGING</w:t>
      </w:r>
    </w:p>
    <w:p>
      <w:pPr>
        <w:pStyle w:val="FirstParagraph"/>
      </w:pPr>
      <w:r>
        <w:rPr>
          <w:lang w:val="nl-NL"/>
        </w:rPr>
        <w:t xml:space="preserve">Deze Overeenkomst treedt in werking op de datum aangegeven in artikel 1 en blijft van toepassing voor de duur van de Hoofdovereenkomst, zolang OHADJA namens de Klant Persoonsgegevens verwerkt.</w:t>
      </w:r>
    </w:p>
    <w:p>
      <w:pPr>
        <w:pStyle w:val="BodyText"/>
      </w:pPr>
      <w:r>
        <w:rPr>
          <w:lang w:val="nl-NL"/>
        </w:rPr>
        <w:t xml:space="preserve">Deze Overeenkomst eindigt automatisch wanneer alle namens de Klant verwerkte Persoonsgegevens zijn geretourneerd of verwijderd in overeenstemming met artikel 11, met inachtneming van verplichtingen die ook na de beëindiging van de Hoofdovereenkomst van kracht blijven, waaronder vertrouwelijkheid, bewijsmateriaal, aansprakelijkheid, audits na incidenten en wettelijk verplichte bewaring.</w:t>
      </w:r>
    </w:p>
    <w:p>
      <w:pPr>
        <w:pStyle w:val="BodyText"/>
      </w:pPr>
      <w:r>
        <w:rPr>
          <w:lang w:val="nl-NL"/>
        </w:rPr>
        <w:t xml:space="preserve">In geval van een ernstige schending door een Partij van haar verplichtingen AVG of van deze Overeenkomst, die niet binnen dertig (30) kalenderdagen na een gemotiveerde schriftelijke kennisgeving is verholpen, kan de andere Partij het Hoofdcontract of het betrokken deel van de Dienst beëindigen, onverminderd de eventuele verschuldigde schadevergoeding.</w:t>
      </w:r>
    </w:p>
    <w:p>
      <w:pPr>
        <w:pStyle w:val="BodyText"/>
      </w:pPr>
      <w:r>
        <w:rPr>
          <w:lang w:val="nl-NL"/>
        </w:rPr>
        <w:t xml:space="preserve">In geval van een ernstige inbreuk die een dreigend of aanzienlijk risico voor de rechten en vrijheden van de Betrokkenen met zich meebrengt, kan de niet in gebreke zijnde Partij de betrokken verwerkingen opschorten of, na een met redenen omklede schriftelijke kennisgeving, het betrokken deel van de Dienst onmiddellijk beëindigen wanneer de voortzetting van de Verwerking kennelijk onverenigbaar zou zijn met AVG.</w:t>
      </w:r>
    </w:p>
    <w:bookmarkEnd w:id="32"/>
    <w:bookmarkStart w:id="33" w:name="X19a4fc33a06919e64bf99252dd3d6d033695a83"/>
    <w:p>
      <w:pPr>
        <w:pStyle w:val="Heading2"/>
        <w:keepNext/>
        <w:keepLines/>
      </w:pPr>
      <w:r>
        <w:rPr>
          <w:color w:val="000000"/>
          <w:lang w:val="nl-NL"/>
        </w:rPr>
        <w:t xml:space="preserve">14. SLOTBEPALINGEN</w:t>
      </w:r>
    </w:p>
    <w:p>
      <w:pPr>
        <w:pStyle w:val="FirstParagraph"/>
      </w:pPr>
      <w:r>
        <w:rPr>
          <w:lang w:val="nl-NL"/>
        </w:rPr>
        <w:t xml:space="preserve">Op deze Overeenkomst is Frans recht van toepassing.</w:t>
      </w:r>
    </w:p>
    <w:p>
      <w:pPr>
        <w:pStyle w:val="BodyText"/>
      </w:pPr>
      <w:r>
        <w:rPr>
          <w:lang w:val="nl-NL"/>
        </w:rPr>
        <w:t xml:space="preserve">Elk geschil over de geldigheid, uitleg, uitvoering of beëindiging van deze Overeenkomst valt onder de bevoegdheid van de bevoegde rechtbanken van Parijs, tenzij een andersluidende dwingende bepaling op de Klant van toepassing is.</w:t>
      </w:r>
    </w:p>
    <w:p>
      <w:pPr>
        <w:pStyle w:val="BodyText"/>
      </w:pPr>
      <w:r>
        <w:rPr>
          <w:lang w:val="nl-NL"/>
        </w:rPr>
        <w:t xml:space="preserve">De Franse taalversie is rechtsgeldig en doorslaggevend. Elke vertaling van deze Overeenkomst wordt uitsluitend ter ondersteuning verstrekt.</w:t>
      </w:r>
    </w:p>
    <w:p>
      <w:pPr>
        <w:pStyle w:val="BodyText"/>
      </w:pPr>
      <w:r>
        <w:rPr>
          <w:lang w:val="nl-NL"/>
        </w:rPr>
        <w:t xml:space="preserve">Indien enige bepaling van deze Overeenkomst nietig, niet van toepassing of ongeschreven wordt verklaard, blijven de overige bepalingen volledig van toepassing. De partijen vervangen de betreffende bepaling door een geldige clausule die een zo groot mogelijk economisch en juridisch effect oplevert.</w:t>
      </w:r>
    </w:p>
    <w:p>
      <w:pPr>
        <w:pStyle w:val="BodyText"/>
      </w:pPr>
      <w:r>
        <w:rPr>
          <w:lang w:val="nl-NL"/>
        </w:rPr>
        <w:t xml:space="preserve">Elke wijziging van deze Overeenkomst moet worden geformaliseerd door middel van een schriftelijke wijziging of door een contractuele update die door de Partijen wordt aanvaard. Wijzigingen die worden opgelegd door ontwikkelingen op wet- of regelgeving of door een bevoegde autoriteit kunnen met een redelijke opzegtermijn door OHADJA worden voorgesteld.</w:t>
      </w:r>
    </w:p>
    <w:p>
      <w:pPr>
        <w:pStyle w:val="BodyText"/>
      </w:pPr>
      <w:r>
        <w:rPr>
          <w:lang w:val="nl-NL"/>
        </w:rPr>
        <w:t xml:space="preserve">Deze Overeenkomst kan met de hand worden ondertekend of door middel van een eenvoudige elektronische handtekening. De eenvoudige elektronische handtekening vormt het bewijs van de overeenkomst tussen de Partijen, met inachtneming van de toepasselijke bewijsregels.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Voor de klant</w:t>
            </w:r>
          </w:p>
        </w:tc>
        <w:tc>
          <w:tcPr/>
          <w:p>
            <w:pPr>
              <w:pStyle w:val="Compact"/>
            </w:pPr>
            <w:r>
              <w:rPr>
                <w:lang w:val="nl-NL"/>
              </w:rPr>
              <w:t xml:space="preserve">Voor Verwerker</w:t>
            </w:r>
          </w:p>
        </w:tc>
      </w:tr>
      <w:tr>
        <w:trPr>
          <w:cantSplit/>
        </w:trPr>
        <w:tc>
          <w:tcPr/>
          <w:p>
            <w:pPr>
              <w:pStyle w:val="Compact"/>
            </w:pPr>
            <w:r>
              <w:rPr>
                <w:lang w:val="nl-NL"/>
              </w:rPr>
              <w:t xml:space="preserve">Naam: [in te vullen door de klant]</w:t>
            </w:r>
          </w:p>
        </w:tc>
        <w:tc>
          <w:tcPr/>
          <w:p>
            <w:pPr>
              <w:pStyle w:val="Compact"/>
            </w:pPr>
            <w:r>
              <w:rPr>
                <w:lang w:val="nl-NL"/>
              </w:rPr>
              <w:t xml:space="preserve">Naam: Olivier Dupont</w:t>
            </w:r>
          </w:p>
        </w:tc>
      </w:tr>
      <w:tr>
        <w:trPr>
          <w:cantSplit/>
        </w:trPr>
        <w:tc>
          <w:tcPr/>
          <w:p>
            <w:pPr>
              <w:pStyle w:val="Compact"/>
            </w:pPr>
            <w:r>
              <w:rPr>
                <w:lang w:val="nl-NL"/>
              </w:rPr>
              <w:t xml:space="preserve">Kwaliteit: [in te vullen door de klant]</w:t>
            </w:r>
          </w:p>
        </w:tc>
        <w:tc>
          <w:tcPr/>
          <w:p>
            <w:pPr>
              <w:pStyle w:val="Compact"/>
            </w:pPr>
            <w:r>
              <w:rPr>
                <w:lang w:val="nl-NL"/>
              </w:rPr>
              <w:t xml:space="preserve">Kwaliteit: voorzitter</w:t>
            </w:r>
          </w:p>
        </w:tc>
      </w:tr>
      <w:tr>
        <w:trPr>
          <w:cantSplit/>
        </w:trPr>
        <w:tc>
          <w:tcPr/>
          <w:p>
            <w:pPr>
              <w:pStyle w:val="Compact"/>
            </w:pPr>
            <w:r>
              <w:rPr>
                <w:lang w:val="nl-NL"/>
              </w:rPr>
              <w:t xml:space="preserve">Datum: [datum in te vullen]</w:t>
            </w:r>
          </w:p>
        </w:tc>
        <w:tc>
          <w:tcPr/>
          <w:p>
            <w:pPr>
              <w:pStyle w:val="Compact"/>
            </w:pPr>
            <w:r>
              <w:rPr>
                <w:lang w:val="nl-NL"/>
              </w:rPr>
              <w:t xml:space="preserve">Datum: [datum in te vullen]</w:t>
            </w:r>
          </w:p>
        </w:tc>
      </w:tr>
      <w:tr>
        <w:trPr>
          <w:cantSplit/>
        </w:trPr>
        <w:tc>
          <w:tcPr/>
          <w:p>
            <w:pPr>
              <w:pStyle w:val="Compact"/>
            </w:pPr>
            <w:r>
              <w:rPr>
                <w:lang w:val="nl-NL"/>
              </w:rPr>
              <w:t xml:space="preserve">Handtekening:</w:t>
            </w:r>
          </w:p>
        </w:tc>
        <w:tc>
          <w:tcPr/>
          <w:p>
            <w:pPr>
              <w:pStyle w:val="Compact"/>
            </w:pPr>
            <w:r>
              <w:rPr>
                <w:lang w:val="nl-NL"/>
              </w:rPr>
              <w:t xml:space="preserve">Handtekening:</w:t>
            </w:r>
          </w:p>
        </w:tc>
      </w:tr>
    </w:tbl>
    <w:bookmarkEnd w:id="33"/>
    <w:bookmarkStart w:id="38" w:name="X3a93e8af784e1cb01eecc7ea42e691cc888db85"/>
    <w:p>
      <w:pPr>
        <w:pStyle w:val="Heading2"/>
        <w:keepNext/>
        <w:keepLines/>
      </w:pPr>
      <w:r>
        <w:rPr>
          <w:color w:val="000000"/>
          <w:lang w:val="nl-NL"/>
        </w:rPr>
        <w:t xml:space="preserve">BIJLAGE 1 — GEDETAILLEERDE BESCHRIJVING VAN DE BEHANDELING</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Beschrijving</w:t>
            </w:r>
          </w:p>
        </w:tc>
      </w:tr>
      <w:tr>
        <w:trPr>
          <w:cantSplit/>
        </w:trPr>
        <w:tc>
          <w:tcPr/>
          <w:p>
            <w:pPr>
              <w:pStyle w:val="Compact"/>
            </w:pPr>
            <w:r>
              <w:rPr>
                <w:lang w:val="nl-NL"/>
              </w:rPr>
              <w:t xml:space="preserve">Dienst</w:t>
            </w:r>
          </w:p>
        </w:tc>
        <w:tc>
          <w:tcPr/>
          <w:p>
            <w:pPr>
              <w:pStyle w:val="Compact"/>
            </w:pPr>
            <w:r>
              <w:rPr>
                <w:lang w:val="nl-NL"/>
              </w:rPr>
              <w:t xml:space="preserve">TranscribIA</w:t>
            </w:r>
          </w:p>
        </w:tc>
      </w:tr>
      <w:tr>
        <w:trPr>
          <w:cantSplit/>
        </w:trPr>
        <w:tc>
          <w:tcPr/>
          <w:p>
            <w:pPr>
              <w:pStyle w:val="Compact"/>
            </w:pPr>
            <w:r>
              <w:rPr>
                <w:lang w:val="nl-NL"/>
              </w:rPr>
              <w:t xml:space="preserve">Verwerker</w:t>
            </w:r>
          </w:p>
        </w:tc>
        <w:tc>
          <w:tcPr/>
          <w:p>
            <w:pPr>
              <w:pStyle w:val="Compact"/>
            </w:pPr>
            <w:r>
              <w:rPr>
                <w:lang w:val="nl-NL"/>
              </w:rPr>
              <w:t xml:space="preserve">OHADJA</w:t>
            </w:r>
          </w:p>
        </w:tc>
      </w:tr>
      <w:tr>
        <w:trPr>
          <w:cantSplit/>
        </w:trPr>
        <w:tc>
          <w:tcPr/>
          <w:p>
            <w:pPr>
              <w:pStyle w:val="Compact"/>
            </w:pPr>
            <w:r>
              <w:rPr>
                <w:lang w:val="nl-NL"/>
              </w:rPr>
              <w:t xml:space="preserve">Verwerkingsverantwoordelijke</w:t>
            </w:r>
          </w:p>
        </w:tc>
        <w:tc>
          <w:tcPr/>
          <w:p>
            <w:pPr>
              <w:pStyle w:val="Compact"/>
            </w:pPr>
            <w:r>
              <w:rPr>
                <w:lang w:val="nl-NL"/>
              </w:rPr>
              <w:t xml:space="preserve">De klant</w:t>
            </w:r>
          </w:p>
        </w:tc>
      </w:tr>
      <w:tr>
        <w:trPr>
          <w:cantSplit/>
        </w:trPr>
        <w:tc>
          <w:tcPr/>
          <w:p>
            <w:pPr>
              <w:pStyle w:val="Compact"/>
            </w:pPr>
            <w:r>
              <w:rPr>
                <w:lang w:val="nl-NL"/>
              </w:rPr>
              <w:t xml:space="preserve">Doel van de verwerking</w:t>
            </w:r>
          </w:p>
        </w:tc>
        <w:tc>
          <w:tcPr/>
          <w:p>
            <w:pPr>
              <w:pStyle w:val="Compact"/>
            </w:pPr>
            <w:r>
              <w:rPr>
                <w:lang w:val="nl-NL"/>
              </w:rPr>
              <w:t xml:space="preserve">Het bieden van een oplossing voor audiotranscriptie, sprekerdiarisatie, transcriptiestructurering, AI-exploitatie, documentgeneratie, sessiebeheer, gebruikersbeheer, logboekregistratie en suggesties voor sprekeridentificatie</w:t>
            </w:r>
          </w:p>
        </w:tc>
      </w:tr>
      <w:tr>
        <w:trPr>
          <w:cantSplit/>
        </w:trPr>
        <w:tc>
          <w:tcPr/>
          <w:p>
            <w:pPr>
              <w:pStyle w:val="Compact"/>
            </w:pPr>
            <w:r>
              <w:rPr>
                <w:lang w:val="nl-NL"/>
              </w:rPr>
              <w:t xml:space="preserve">Aard van de behandeling</w:t>
            </w:r>
          </w:p>
        </w:tc>
        <w:tc>
          <w:tcPr/>
          <w:p>
            <w:pPr>
              <w:pStyle w:val="Compact"/>
            </w:pPr>
            <w:r>
              <w:rPr>
                <w:lang w:val="nl-NL"/>
              </w:rPr>
              <w:t xml:space="preserve">Verzameling door upload, hosting, opslag, organisatie, raadpleging, extractie, transcriptie, sprekerdiarisatie, correctie, AI-generatie, export, loggen, back-up, verwijdering en technische assistentie</w:t>
            </w:r>
          </w:p>
        </w:tc>
      </w:tr>
      <w:tr>
        <w:trPr>
          <w:cantSplit/>
        </w:trPr>
        <w:tc>
          <w:tcPr/>
          <w:p>
            <w:pPr>
              <w:pStyle w:val="Compact"/>
            </w:pPr>
            <w:r>
              <w:rPr>
                <w:lang w:val="nl-NL"/>
              </w:rPr>
              <w:t xml:space="preserve">Doeleinden van de verwerking</w:t>
            </w:r>
          </w:p>
        </w:tc>
        <w:tc>
          <w:tcPr/>
          <w:p>
            <w:pPr>
              <w:pStyle w:val="Compact"/>
            </w:pPr>
            <w:r>
              <w:rPr>
                <w:lang w:val="nl-NL"/>
              </w:rPr>
              <w:t xml:space="preserve">Laat de Klant sessies creëren, audiobestanden uploaden, transcripties verkrijgen, sprekers beheren, inhoud corrigeren of verrijken, samenvattingen, notulen, hoofdstukken of analyses produceren, voorbereidende documenten beheren, traceerbaarheid garanderen en toegang beheren</w:t>
            </w:r>
          </w:p>
        </w:tc>
      </w:tr>
      <w:tr>
        <w:trPr>
          <w:cantSplit/>
        </w:trPr>
        <w:tc>
          <w:tcPr/>
          <w:p>
            <w:pPr>
              <w:pStyle w:val="Compact"/>
            </w:pPr>
            <w:r>
              <w:rPr>
                <w:lang w:val="nl-NL"/>
              </w:rPr>
              <w:t xml:space="preserve">Optie A: SaaS</w:t>
            </w:r>
          </w:p>
        </w:tc>
        <w:tc>
          <w:tcPr/>
          <w:p>
            <w:pPr>
              <w:pStyle w:val="Compact"/>
            </w:pPr>
            <w:r>
              <w:rPr>
                <w:lang w:val="nl-NL"/>
              </w:rPr>
              <w:t xml:space="preserve">[ ] Ingeschakeld. OHADJA host en exploiteert de Service namens de Klant</w:t>
            </w:r>
          </w:p>
        </w:tc>
      </w:tr>
      <w:tr>
        <w:trPr>
          <w:cantSplit/>
        </w:trPr>
        <w:tc>
          <w:tcPr/>
          <w:p>
            <w:pPr>
              <w:pStyle w:val="Compact"/>
            </w:pPr>
            <w:r>
              <w:rPr>
                <w:lang w:val="nl-NL"/>
              </w:rPr>
              <w:t xml:space="preserve">Optie B — Docker op locatie</w:t>
            </w:r>
          </w:p>
        </w:tc>
        <w:tc>
          <w:tcPr/>
          <w:p>
            <w:pPr>
              <w:pStyle w:val="Compact"/>
            </w:pPr>
            <w:r>
              <w:rPr>
                <w:lang w:val="nl-NL"/>
              </w:rPr>
              <w:t xml:space="preserve">[ ] Ingeschakeld. De Klant host de omgeving; OHADJA komt alleen tussenbeide voor daadwerkelijk uitgevoerde uitbestede werkzaamheden</w:t>
            </w:r>
          </w:p>
        </w:tc>
      </w:tr>
      <w:tr>
        <w:trPr>
          <w:cantSplit/>
        </w:trPr>
        <w:tc>
          <w:tcPr/>
          <w:p>
            <w:pPr>
              <w:pStyle w:val="Compact"/>
            </w:pPr>
            <w:r>
              <w:rPr>
                <w:lang w:val="nl-NL"/>
              </w:rPr>
              <w:t xml:space="preserve">Duur van de behandeling</w:t>
            </w:r>
          </w:p>
        </w:tc>
        <w:tc>
          <w:tcPr/>
          <w:p>
            <w:pPr>
              <w:pStyle w:val="Compact"/>
            </w:pPr>
            <w:r>
              <w:rPr>
                <w:lang w:val="nl-NL"/>
              </w:rPr>
              <w:t xml:space="preserve">Duur van het Hoofdcontract, vermeerderd met toepasselijke restitutie, verwijdering, resterende back-up en wettelijke bewaartermijnen</w:t>
            </w:r>
          </w:p>
        </w:tc>
      </w:tr>
      <w:tr>
        <w:trPr>
          <w:cantSplit/>
        </w:trPr>
        <w:tc>
          <w:tcPr/>
          <w:p>
            <w:pPr>
              <w:pStyle w:val="Compact"/>
            </w:pPr>
            <w:r>
              <w:rPr>
                <w:lang w:val="nl-NL"/>
              </w:rPr>
              <w:t xml:space="preserve">Behandelingsfrequentie</w:t>
            </w:r>
          </w:p>
        </w:tc>
        <w:tc>
          <w:tcPr/>
          <w:p>
            <w:pPr>
              <w:pStyle w:val="Compact"/>
            </w:pPr>
            <w:r>
              <w:rPr>
                <w:lang w:val="nl-NL"/>
              </w:rPr>
              <w:t xml:space="preserve">Continu voor SaaS-functies; eenmalig of afhankelijk van activering door de Klant voor transcriptie, AI, ondersteuning, export, stemcorrelatie of onderhoud</w:t>
            </w:r>
          </w:p>
        </w:tc>
      </w:tr>
      <w:tr>
        <w:trPr>
          <w:cantSplit/>
        </w:trPr>
        <w:tc>
          <w:tcPr/>
          <w:p>
            <w:pPr>
              <w:pStyle w:val="Compact"/>
            </w:pPr>
            <w:r>
              <w:rPr>
                <w:lang w:val="nl-NL"/>
              </w:rPr>
              <w:t xml:space="preserve">Bevoegde personen aan de kant van de Klant</w:t>
            </w:r>
          </w:p>
        </w:tc>
        <w:tc>
          <w:tcPr/>
          <w:p>
            <w:pPr>
              <w:pStyle w:val="Compact"/>
            </w:pPr>
            <w:r>
              <w:rPr>
                <w:lang w:val="nl-NL"/>
              </w:rPr>
              <w:t xml:space="preserve">Gebruikers aangemaakt of uitgenodigd door de Klant: beheerders, managers, teamleiders, gebruikers, gemachtigde agenten, teamleden</w:t>
            </w:r>
          </w:p>
        </w:tc>
      </w:tr>
      <w:tr>
        <w:trPr>
          <w:cantSplit/>
        </w:trPr>
        <w:tc>
          <w:tcPr/>
          <w:p>
            <w:pPr>
              <w:pStyle w:val="Compact"/>
            </w:pPr>
            <w:r>
              <w:rPr>
                <w:lang w:val="nl-NL"/>
              </w:rPr>
              <w:t xml:space="preserve">Bevoegde personen aan Verwerker-zijde</w:t>
            </w:r>
          </w:p>
        </w:tc>
        <w:tc>
          <w:tcPr/>
          <w:p>
            <w:pPr>
              <w:pStyle w:val="Compact"/>
            </w:pPr>
            <w:r>
              <w:rPr>
                <w:lang w:val="nl-NL"/>
              </w:rPr>
              <w:t xml:space="preserve">OHADJA en Subverwerkers bevoegd personeel, binnen de grenzen van de noodzaak om te weten</w:t>
            </w:r>
          </w:p>
        </w:tc>
      </w:tr>
    </w:tbl>
    <w:bookmarkStart w:id="34" w:name="catégories-de-données-traitées"/>
    <w:p>
      <w:pPr>
        <w:pStyle w:val="Heading3"/>
        <w:keepNext/>
        <w:keepLines/>
      </w:pPr>
      <w:r>
        <w:rPr>
          <w:color w:val="000000"/>
          <w:lang w:val="nl-NL"/>
        </w:rPr>
        <w:t xml:space="preserve">Categorieën van verwerkte gegevens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Categorie</w:t>
            </w:r>
          </w:p>
        </w:tc>
        <w:tc>
          <w:tcPr/>
          <w:p>
            <w:pPr>
              <w:pStyle w:val="Compact"/>
            </w:pPr>
            <w:r>
              <w:rPr>
                <w:lang w:val="nl-NL"/>
              </w:rPr>
              <w:t xml:space="preserve">Voorbeelden</w:t>
            </w:r>
          </w:p>
        </w:tc>
      </w:tr>
      <w:tr>
        <w:trPr>
          <w:cantSplit/>
        </w:trPr>
        <w:tc>
          <w:tcPr/>
          <w:p>
            <w:pPr>
              <w:pStyle w:val="Compact"/>
            </w:pPr>
            <w:r>
              <w:rPr>
                <w:lang w:val="nl-NL"/>
              </w:rPr>
              <w:t xml:space="preserve">Mogelijke audio- en video-opnamen</w:t>
            </w:r>
          </w:p>
        </w:tc>
        <w:tc>
          <w:tcPr/>
          <w:p>
            <w:pPr>
              <w:pStyle w:val="Compact"/>
            </w:pPr>
            <w:r>
              <w:rPr>
                <w:lang w:val="nl-NL"/>
              </w:rPr>
              <w:t xml:space="preserve">MP3-, wav-, ogg-, m4a-, flac-, webm-, mp4-, avi-, mkv-, mov-, wmv-bestanden geüpload door de klant</w:t>
            </w:r>
          </w:p>
        </w:tc>
      </w:tr>
      <w:tr>
        <w:trPr>
          <w:cantSplit/>
        </w:trPr>
        <w:tc>
          <w:tcPr/>
          <w:p>
            <w:pPr>
              <w:pStyle w:val="Compact"/>
            </w:pPr>
            <w:r>
              <w:rPr>
                <w:lang w:val="nl-NL"/>
              </w:rPr>
              <w:t xml:space="preserve">Transcripties</w:t>
            </w:r>
          </w:p>
        </w:tc>
        <w:tc>
          <w:tcPr/>
          <w:p>
            <w:pPr>
              <w:pStyle w:val="Compact"/>
            </w:pPr>
            <w:r>
              <w:rPr>
                <w:lang w:val="nl-NL"/>
              </w:rPr>
              <w:t xml:space="preserve">Transcriptie JSON, segmenten, tijdstempels, woordelijk, versies, correcties, hoofdstukken, sprekerdiarisatie</w:t>
            </w:r>
          </w:p>
        </w:tc>
      </w:tr>
      <w:tr>
        <w:trPr>
          <w:cantSplit/>
        </w:trPr>
        <w:tc>
          <w:tcPr/>
          <w:p>
            <w:pPr>
              <w:pStyle w:val="Compact"/>
            </w:pPr>
            <w:r>
              <w:rPr>
                <w:lang w:val="nl-NL"/>
              </w:rPr>
              <w:t xml:space="preserve">Sprekergegevens</w:t>
            </w:r>
          </w:p>
        </w:tc>
        <w:tc>
          <w:tcPr/>
          <w:p>
            <w:pPr>
              <w:pStyle w:val="Compact"/>
            </w:pPr>
            <w:r>
              <w:rPr>
                <w:lang w:val="nl-NL"/>
              </w:rPr>
              <w:t xml:space="preserve">Namen van sprekers ingevoerd door gebruikers, sprekerlabels, voorgestelde overeenkomsten, menselijke correcties</w:t>
            </w:r>
          </w:p>
        </w:tc>
      </w:tr>
      <w:tr>
        <w:trPr>
          <w:cantSplit/>
        </w:trPr>
        <w:tc>
          <w:tcPr/>
          <w:p>
            <w:pPr>
              <w:pStyle w:val="Compact"/>
            </w:pPr>
            <w:r>
              <w:rPr>
                <w:lang w:val="nl-NL"/>
              </w:rPr>
              <w:t xml:space="preserve">Voorbereidende documenten</w:t>
            </w:r>
          </w:p>
        </w:tc>
        <w:tc>
          <w:tcPr/>
          <w:p>
            <w:pPr>
              <w:pStyle w:val="Compact"/>
            </w:pPr>
            <w:r>
              <w:rPr>
                <w:lang w:val="nl-NL"/>
              </w:rPr>
              <w:t xml:space="preserve">Agenda's, vorige notulen, notities, PDF/DOCX-documenten, tekst- of markdown-extract</w:t>
            </w:r>
          </w:p>
        </w:tc>
      </w:tr>
      <w:tr>
        <w:trPr>
          <w:cantSplit/>
        </w:trPr>
        <w:tc>
          <w:tcPr/>
          <w:p>
            <w:pPr>
              <w:pStyle w:val="Compact"/>
            </w:pPr>
            <w:r>
              <w:rPr>
                <w:lang w:val="nl-NL"/>
              </w:rPr>
              <w:t xml:space="preserve">Metagegevens van sessie</w:t>
            </w:r>
          </w:p>
        </w:tc>
        <w:tc>
          <w:tcPr/>
          <w:p>
            <w:pPr>
              <w:pStyle w:val="Compact"/>
            </w:pPr>
            <w:r>
              <w:rPr>
                <w:lang w:val="nl-NL"/>
              </w:rPr>
              <w:t xml:space="preserve">Titel, datum, locatie, sessietype, status, kalender, team, organisatie, gekoppelde bestanden, functionele parameters</w:t>
            </w:r>
          </w:p>
        </w:tc>
      </w:tr>
      <w:tr>
        <w:trPr>
          <w:cantSplit/>
        </w:trPr>
        <w:tc>
          <w:tcPr/>
          <w:p>
            <w:pPr>
              <w:pStyle w:val="Compact"/>
            </w:pPr>
            <w:r>
              <w:rPr>
                <w:lang w:val="nl-NL"/>
              </w:rPr>
              <w:t xml:space="preserve">Gebruikersaccounts</w:t>
            </w:r>
          </w:p>
        </w:tc>
        <w:tc>
          <w:tcPr/>
          <w:p>
            <w:pPr>
              <w:pStyle w:val="Compact"/>
            </w:pPr>
            <w:r>
              <w:rPr>
                <w:lang w:val="nl-NL"/>
              </w:rPr>
              <w:t xml:space="preserve">Achternaam, voornaam indien van toepassing, e-mailadres, rol, organisatie, team, accountstatus, toegangstokens, verbindingsdatum</w:t>
            </w:r>
          </w:p>
        </w:tc>
      </w:tr>
      <w:tr>
        <w:trPr>
          <w:cantSplit/>
        </w:trPr>
        <w:tc>
          <w:tcPr/>
          <w:p>
            <w:pPr>
              <w:pStyle w:val="Compact"/>
            </w:pPr>
            <w:r>
              <w:rPr>
                <w:lang w:val="nl-NL"/>
              </w:rPr>
              <w:t xml:space="preserve">Auditlogboeken en technische sporen</w:t>
            </w:r>
          </w:p>
        </w:tc>
        <w:tc>
          <w:tcPr/>
          <w:p>
            <w:pPr>
              <w:pStyle w:val="Compact"/>
            </w:pPr>
            <w:r>
              <w:rPr>
                <w:lang w:val="nl-NL"/>
              </w:rPr>
              <w:t xml:space="preserve">Gebruikers-ID's, acties, datums, IP-adressen wanneer verzameld, applicatiegebeurtenissen, fouten, correlatie-ID's</w:t>
            </w:r>
          </w:p>
        </w:tc>
      </w:tr>
      <w:tr>
        <w:trPr>
          <w:cantSplit/>
        </w:trPr>
        <w:tc>
          <w:tcPr/>
          <w:p>
            <w:pPr>
              <w:pStyle w:val="Compact"/>
            </w:pPr>
            <w:r>
              <w:rPr>
                <w:lang w:val="nl-NL"/>
              </w:rPr>
              <w:t xml:space="preserve">AI-generaties</w:t>
            </w:r>
          </w:p>
        </w:tc>
        <w:tc>
          <w:tcPr/>
          <w:p>
            <w:pPr>
              <w:pStyle w:val="Compact"/>
            </w:pPr>
            <w:r>
              <w:rPr>
                <w:lang w:val="nl-NL"/>
              </w:rPr>
              <w:t xml:space="preserve">Prompts, geselecteerde bronnen, gegenereerde reacties, samenvattingen, analyses, correcties, notulen, exports</w:t>
            </w:r>
          </w:p>
        </w:tc>
      </w:tr>
      <w:tr>
        <w:trPr>
          <w:cantSplit/>
        </w:trPr>
        <w:tc>
          <w:tcPr/>
          <w:p>
            <w:pPr>
              <w:pStyle w:val="Compact"/>
            </w:pPr>
            <w:r>
              <w:rPr>
                <w:lang w:val="nl-NL"/>
              </w:rPr>
              <w:t xml:space="preserve">Stem- of aanwezigheidsgegevens indien ingeschakeld</w:t>
            </w:r>
          </w:p>
        </w:tc>
        <w:tc>
          <w:tcPr/>
          <w:p>
            <w:pPr>
              <w:pStyle w:val="Compact"/>
            </w:pPr>
            <w:r>
              <w:rPr>
                <w:lang w:val="nl-NL"/>
              </w:rPr>
              <w:t xml:space="preserve">Aanwezigheid, afwezigheid, volmachten, stemresultaten, kwaliteit of functie van deelnemers</w:t>
            </w:r>
          </w:p>
        </w:tc>
      </w:tr>
      <w:tr>
        <w:trPr>
          <w:cantSplit/>
        </w:trPr>
        <w:tc>
          <w:tcPr/>
          <w:p>
            <w:pPr>
              <w:pStyle w:val="Compact"/>
            </w:pPr>
            <w:r>
              <w:rPr>
                <w:lang w:val="nl-NL"/>
              </w:rPr>
              <w:t xml:space="preserve">Tijdelijke steminsluitingen</w:t>
            </w:r>
          </w:p>
        </w:tc>
        <w:tc>
          <w:tcPr/>
          <w:p>
            <w:pPr>
              <w:pStyle w:val="Compact"/>
            </w:pPr>
            <w:r>
              <w:rPr>
                <w:lang w:val="nl-NL"/>
              </w:rPr>
              <w:t xml:space="preserve">Numerieke representaties tijdelijk berekend in RAM voor stemcorrelatie, vernietigd aan het einde van het verzoek</w:t>
            </w:r>
          </w:p>
        </w:tc>
      </w:tr>
    </w:tbl>
    <w:bookmarkEnd w:id="34"/>
    <w:bookmarkStart w:id="35" w:name="catégories-de-personnes-concernées"/>
    <w:p>
      <w:pPr>
        <w:pStyle w:val="Heading3"/>
        <w:keepNext/>
        <w:keepLines/>
      </w:pPr>
      <w:r>
        <w:rPr>
          <w:color w:val="000000"/>
          <w:lang w:val="nl-NL"/>
        </w:rPr>
        <w:t xml:space="preserve">Categorieën van betrokken mensen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Categorie</w:t>
            </w:r>
          </w:p>
        </w:tc>
        <w:tc>
          <w:tcPr/>
          <w:p>
            <w:pPr>
              <w:pStyle w:val="Compact"/>
            </w:pPr>
            <w:r>
              <w:rPr>
                <w:lang w:val="nl-NL"/>
              </w:rPr>
              <w:t xml:space="preserve">Beschrijving</w:t>
            </w:r>
          </w:p>
        </w:tc>
      </w:tr>
      <w:tr>
        <w:trPr>
          <w:cantSplit/>
        </w:trPr>
        <w:tc>
          <w:tcPr/>
          <w:p>
            <w:pPr>
              <w:pStyle w:val="Compact"/>
            </w:pPr>
            <w:r>
              <w:rPr>
                <w:lang w:val="nl-NL"/>
              </w:rPr>
              <w:t xml:space="preserve">Klantgebruikers</w:t>
            </w:r>
          </w:p>
        </w:tc>
        <w:tc>
          <w:tcPr/>
          <w:p>
            <w:pPr>
              <w:pStyle w:val="Compact"/>
            </w:pPr>
            <w:r>
              <w:rPr>
                <w:lang w:val="nl-NL"/>
              </w:rPr>
              <w:t xml:space="preserve">Agenten, werknemers, gekozen functionarissen, praktijkmensen, advocaten, notarissen, docenten, journalisten, bestuurders, teamleden</w:t>
            </w:r>
          </w:p>
        </w:tc>
      </w:tr>
      <w:tr>
        <w:trPr>
          <w:cantSplit/>
        </w:trPr>
        <w:tc>
          <w:tcPr/>
          <w:p>
            <w:pPr>
              <w:pStyle w:val="Compact"/>
            </w:pPr>
            <w:r>
              <w:rPr>
                <w:lang w:val="nl-NL"/>
              </w:rPr>
              <w:t xml:space="preserve">Geregistreerde sprekers</w:t>
            </w:r>
          </w:p>
        </w:tc>
        <w:tc>
          <w:tcPr/>
          <w:p>
            <w:pPr>
              <w:pStyle w:val="Compact"/>
            </w:pPr>
            <w:r>
              <w:rPr>
                <w:lang w:val="nl-NL"/>
              </w:rPr>
              <w:t xml:space="preserve">Deelnemers van wie de stem is vastgelegd in geüploade audio- of videobestanden</w:t>
            </w:r>
          </w:p>
        </w:tc>
      </w:tr>
      <w:tr>
        <w:trPr>
          <w:cantSplit/>
        </w:trPr>
        <w:tc>
          <w:tcPr/>
          <w:p>
            <w:pPr>
              <w:pStyle w:val="Compact"/>
            </w:pPr>
            <w:r>
              <w:rPr>
                <w:lang w:val="nl-NL"/>
              </w:rPr>
              <w:t xml:space="preserve">Mensen genoemd</w:t>
            </w:r>
          </w:p>
        </w:tc>
        <w:tc>
          <w:tcPr/>
          <w:p>
            <w:pPr>
              <w:pStyle w:val="Compact"/>
            </w:pPr>
            <w:r>
              <w:rPr>
                <w:lang w:val="nl-NL"/>
              </w:rPr>
              <w:t xml:space="preserve">Mensen die worden geciteerd in vergaderingen, transcripties, voorbereidende documenten, stemmen, notulen of AI-generaties</w:t>
            </w:r>
          </w:p>
        </w:tc>
      </w:tr>
      <w:tr>
        <w:trPr>
          <w:cantSplit/>
        </w:trPr>
        <w:tc>
          <w:tcPr/>
          <w:p>
            <w:pPr>
              <w:pStyle w:val="Compact"/>
            </w:pPr>
            <w:r>
              <w:rPr>
                <w:lang w:val="nl-NL"/>
              </w:rPr>
              <w:t xml:space="preserve">Institutionele contacten</w:t>
            </w:r>
          </w:p>
        </w:tc>
        <w:tc>
          <w:tcPr/>
          <w:p>
            <w:pPr>
              <w:pStyle w:val="Compact"/>
            </w:pPr>
            <w:r>
              <w:rPr>
                <w:lang w:val="nl-NL"/>
              </w:rPr>
              <w:t xml:space="preserve">Bestuursleden, gekozen functionarissen, medewerkers, vertegenwoordigers, uitgenodigde deelnemers</w:t>
            </w:r>
          </w:p>
        </w:tc>
      </w:tr>
      <w:tr>
        <w:trPr>
          <w:cantSplit/>
        </w:trPr>
        <w:tc>
          <w:tcPr/>
          <w:p>
            <w:pPr>
              <w:pStyle w:val="Compact"/>
            </w:pPr>
            <w:r>
              <w:rPr>
                <w:lang w:val="nl-NL"/>
              </w:rPr>
              <w:t xml:space="preserve">Personeel OHADJA</w:t>
            </w:r>
          </w:p>
        </w:tc>
        <w:tc>
          <w:tcPr/>
          <w:p>
            <w:pPr>
              <w:pStyle w:val="Compact"/>
            </w:pPr>
            <w:r>
              <w:rPr>
                <w:lang w:val="nl-NL"/>
              </w:rPr>
              <w:t xml:space="preserve">Enkel voor sporen van interventie, ondersteuning, beveiliging of interne audit gekoppeld aan de Dienst</w:t>
            </w:r>
          </w:p>
        </w:tc>
      </w:tr>
    </w:tbl>
    <w:bookmarkEnd w:id="35"/>
    <w:bookmarkStart w:id="36" w:name="durées-de-conservation-par-catégorie"/>
    <w:p>
      <w:pPr>
        <w:pStyle w:val="Heading3"/>
        <w:keepNext/>
        <w:keepLines/>
      </w:pPr>
      <w:r>
        <w:rPr>
          <w:color w:val="000000"/>
          <w:lang w:val="nl-NL"/>
        </w:rPr>
        <w:t xml:space="preserve">Houdbaarheid per categorie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Categorie</w:t>
            </w:r>
          </w:p>
        </w:tc>
        <w:tc>
          <w:tcPr/>
          <w:p>
            <w:pPr>
              <w:pStyle w:val="Compact"/>
            </w:pPr>
            <w:r>
              <w:rPr>
                <w:lang w:val="nl-NL"/>
              </w:rPr>
              <w:t xml:space="preserve">Standaard houdbaarheid</w:t>
            </w:r>
          </w:p>
        </w:tc>
      </w:tr>
      <w:tr>
        <w:trPr>
          <w:cantSplit/>
        </w:trPr>
        <w:tc>
          <w:tcPr/>
          <w:p>
            <w:pPr>
              <w:pStyle w:val="Compact"/>
            </w:pPr>
            <w:r>
              <w:rPr>
                <w:lang w:val="nl-NL"/>
              </w:rPr>
              <w:t xml:space="preserve">Actieve gebruikersaccounts</w:t>
            </w:r>
          </w:p>
        </w:tc>
        <w:tc>
          <w:tcPr/>
          <w:p>
            <w:pPr>
              <w:pStyle w:val="Compact"/>
            </w:pPr>
            <w:r>
              <w:rPr>
                <w:lang w:val="nl-NL"/>
              </w:rPr>
              <w:t xml:space="preserve">Gedurende de looptijd van het account en het Hoofdcontract</w:t>
            </w:r>
          </w:p>
        </w:tc>
      </w:tr>
      <w:tr>
        <w:trPr>
          <w:cantSplit/>
        </w:trPr>
        <w:tc>
          <w:tcPr/>
          <w:p>
            <w:pPr>
              <w:pStyle w:val="Compact"/>
            </w:pPr>
            <w:r>
              <w:rPr>
                <w:lang w:val="nl-NL"/>
              </w:rPr>
              <w:t xml:space="preserve">Uitgeschakelde gebruikersaccounts</w:t>
            </w:r>
          </w:p>
        </w:tc>
        <w:tc>
          <w:tcPr/>
          <w:p>
            <w:pPr>
              <w:pStyle w:val="Compact"/>
            </w:pPr>
            <w:r>
              <w:rPr>
                <w:lang w:val="nl-NL"/>
              </w:rPr>
              <w:t xml:space="preserve">Verwijdering of anonimisering volgens instructies van de Klant; bij gebreke daarvan, aan het einde van het Hoofdcontract</w:t>
            </w:r>
          </w:p>
        </w:tc>
      </w:tr>
      <w:tr>
        <w:trPr>
          <w:cantSplit/>
        </w:trPr>
        <w:tc>
          <w:tcPr/>
          <w:p>
            <w:pPr>
              <w:pStyle w:val="Compact"/>
            </w:pPr>
            <w:r>
              <w:rPr>
                <w:lang w:val="nl-NL"/>
              </w:rPr>
              <w:t xml:space="preserve">Audiobestanden</w:t>
            </w:r>
          </w:p>
        </w:tc>
        <w:tc>
          <w:tcPr/>
          <w:p>
            <w:pPr>
              <w:pStyle w:val="Compact"/>
            </w:pPr>
            <w:r>
              <w:rPr>
                <w:lang w:val="nl-NL"/>
              </w:rPr>
              <w:t xml:space="preserve">Tijdens de door de Klant geconfigureerde duur of, bij gebreke daarvan, tijdens de duur van het Hoofdcontract</w:t>
            </w:r>
          </w:p>
        </w:tc>
      </w:tr>
      <w:tr>
        <w:trPr>
          <w:cantSplit/>
        </w:trPr>
        <w:tc>
          <w:tcPr/>
          <w:p>
            <w:pPr>
              <w:pStyle w:val="Compact"/>
            </w:pPr>
            <w:r>
              <w:rPr>
                <w:lang w:val="nl-NL"/>
              </w:rPr>
              <w:t xml:space="preserve">Transcripties en versies</w:t>
            </w:r>
          </w:p>
        </w:tc>
        <w:tc>
          <w:tcPr/>
          <w:p>
            <w:pPr>
              <w:pStyle w:val="Compact"/>
            </w:pPr>
            <w:r>
              <w:rPr>
                <w:lang w:val="nl-NL"/>
              </w:rPr>
              <w:t xml:space="preserve">Tijdens de door de Klant geconfigureerde duur of, bij gebreke daarvan, tijdens de duur van het Hoofdcontract</w:t>
            </w:r>
          </w:p>
        </w:tc>
      </w:tr>
      <w:tr>
        <w:trPr>
          <w:cantSplit/>
        </w:trPr>
        <w:tc>
          <w:tcPr/>
          <w:p>
            <w:pPr>
              <w:pStyle w:val="Compact"/>
            </w:pPr>
            <w:r>
              <w:rPr>
                <w:lang w:val="nl-NL"/>
              </w:rPr>
              <w:t xml:space="preserve">Voorbereidende documenten</w:t>
            </w:r>
          </w:p>
        </w:tc>
        <w:tc>
          <w:tcPr/>
          <w:p>
            <w:pPr>
              <w:pStyle w:val="Compact"/>
            </w:pPr>
            <w:r>
              <w:rPr>
                <w:lang w:val="nl-NL"/>
              </w:rPr>
              <w:t xml:space="preserve">Tijdens de door de Klant geconfigureerde duur of, bij gebreke daarvan, tijdens de duur van het Hoofdcontract</w:t>
            </w:r>
          </w:p>
        </w:tc>
      </w:tr>
      <w:tr>
        <w:trPr>
          <w:cantSplit/>
        </w:trPr>
        <w:tc>
          <w:tcPr/>
          <w:p>
            <w:pPr>
              <w:pStyle w:val="Compact"/>
            </w:pPr>
            <w:r>
              <w:rPr>
                <w:lang w:val="nl-NL"/>
              </w:rPr>
              <w:t xml:space="preserve">AI-generaties en export</w:t>
            </w:r>
          </w:p>
        </w:tc>
        <w:tc>
          <w:tcPr/>
          <w:p>
            <w:pPr>
              <w:pStyle w:val="Compact"/>
            </w:pPr>
            <w:r>
              <w:rPr>
                <w:lang w:val="nl-NL"/>
              </w:rPr>
              <w:t xml:space="preserve">Tijdens de door de Klant geconfigureerde duur of, bij gebreke daarvan, tijdens de duur van het Hoofdcontract</w:t>
            </w:r>
          </w:p>
        </w:tc>
      </w:tr>
      <w:tr>
        <w:trPr>
          <w:cantSplit/>
        </w:trPr>
        <w:tc>
          <w:tcPr/>
          <w:p>
            <w:pPr>
              <w:pStyle w:val="Compact"/>
            </w:pPr>
            <w:r>
              <w:rPr>
                <w:lang w:val="nl-NL"/>
              </w:rPr>
              <w:t xml:space="preserve">Auditlogboeken van applicaties</w:t>
            </w:r>
          </w:p>
        </w:tc>
        <w:tc>
          <w:tcPr/>
          <w:p>
            <w:pPr>
              <w:pStyle w:val="Compact"/>
            </w:pPr>
            <w:r>
              <w:rPr>
                <w:lang w:val="nl-NL"/>
              </w:rPr>
              <w:t xml:space="preserve">Duur noodzakelijk voor beveiliging, traceerbaarheid en bewijs, binnen de limiet van twaalf (12) maanden, tenzij anders vereist of geïnstrueerd</w:t>
            </w:r>
          </w:p>
        </w:tc>
      </w:tr>
      <w:tr>
        <w:trPr>
          <w:cantSplit/>
        </w:trPr>
        <w:tc>
          <w:tcPr/>
          <w:p>
            <w:pPr>
              <w:pStyle w:val="Compact"/>
            </w:pPr>
            <w:r>
              <w:rPr>
                <w:lang w:val="nl-NL"/>
              </w:rPr>
              <w:t xml:space="preserve">Technische logboeken</w:t>
            </w:r>
          </w:p>
        </w:tc>
        <w:tc>
          <w:tcPr/>
          <w:p>
            <w:pPr>
              <w:pStyle w:val="Compact"/>
            </w:pPr>
            <w:r>
              <w:rPr>
                <w:lang w:val="nl-NL"/>
              </w:rPr>
              <w:t xml:space="preserve">Duur noodzakelijk voor bediening, beveiliging en diagnose, doorgaans beperkt tot negentig (90) dagen, tenzij incidenteel of anderszins vereist</w:t>
            </w:r>
          </w:p>
        </w:tc>
      </w:tr>
      <w:tr>
        <w:trPr>
          <w:cantSplit/>
        </w:trPr>
        <w:tc>
          <w:tcPr/>
          <w:p>
            <w:pPr>
              <w:pStyle w:val="Compact"/>
            </w:pPr>
            <w:r>
              <w:rPr>
                <w:lang w:val="nl-NL"/>
              </w:rPr>
              <w:t xml:space="preserve">Back-ups</w:t>
            </w:r>
          </w:p>
        </w:tc>
        <w:tc>
          <w:tcPr/>
          <w:p>
            <w:pPr>
              <w:pStyle w:val="Compact"/>
            </w:pPr>
            <w:r>
              <w:rPr>
                <w:lang w:val="nl-NL"/>
              </w:rPr>
              <w:t xml:space="preserve">Conservering volgens back-upcyclus, maximaal negentig (90) dagen tenzij herstel, incident of wettelijke verplichting</w:t>
            </w:r>
          </w:p>
        </w:tc>
      </w:tr>
      <w:tr>
        <w:trPr>
          <w:cantSplit/>
        </w:trPr>
        <w:tc>
          <w:tcPr/>
          <w:p>
            <w:pPr>
              <w:pStyle w:val="Compact"/>
            </w:pPr>
            <w:r>
              <w:rPr>
                <w:lang w:val="nl-NL"/>
              </w:rPr>
              <w:t xml:space="preserve">Tijdelijke steminsluitingen</w:t>
            </w:r>
          </w:p>
        </w:tc>
        <w:tc>
          <w:tcPr/>
          <w:p>
            <w:pPr>
              <w:pStyle w:val="Compact"/>
            </w:pPr>
            <w:r>
              <w:rPr>
                <w:lang w:val="nl-NL"/>
              </w:rPr>
              <w:t xml:space="preserve">Duur strikt beperkt tot de uitvoering van het stemcorrelatieverzoek; vernietiging aan het einde van de behandeling</w:t>
            </w:r>
          </w:p>
        </w:tc>
      </w:tr>
    </w:tbl>
    <w:bookmarkEnd w:id="36"/>
    <w:bookmarkStart w:id="37" w:name="voice-correlation"/>
    <w:p>
      <w:pPr>
        <w:pStyle w:val="Heading3"/>
        <w:keepNext/>
        <w:keepLines/>
      </w:pPr>
      <w:r>
        <w:rPr>
          <w:color w:val="000000"/>
          <w:lang w:val="nl-NL"/>
        </w:rPr>
        <w:t xml:space="preserve">Stemcorrelatie</w:t>
      </w:r>
    </w:p>
    <w:p>
      <w:pPr>
        <w:pStyle w:val="FirstParagraph"/>
      </w:pPr>
      <w:r>
        <w:rPr>
          <w:lang w:val="nl-NL"/>
        </w:rPr>
        <w:t xml:space="preserve">De stemcorrelatiefunctionaliteit, geleverd op 18 mei 2026, bestaat uit het tijdelijk verwerken van stemgegevens met als doel sprekeridentificatie te suggereren, zonder een persistent biometrisch sjabloon te creëren.</w:t>
      </w:r>
    </w:p>
    <w:p>
      <w:pPr>
        <w:pStyle w:val="BodyText"/>
      </w:pPr>
      <w:r>
        <w:rPr>
          <w:lang w:val="nl-NL"/>
        </w:rPr>
        <w:t xml:space="preserve">Deze functionaliteit kan de stemkarakteristieken die tijdelijk uit een of meer audiosegmenten zijn gehaald, vergelijken met elementen die beschikbaar zijn in de sessie of ruimte van de Klant, om een voorgestelde associatie aan te bieden tussen een gedetecteerde spreker en een sprekernaam die door gebruikers is ingevoerd of gevalideerd.</w:t>
      </w:r>
    </w:p>
    <w:p>
      <w:pPr>
        <w:pStyle w:val="BodyText"/>
      </w:pPr>
      <w:r>
        <w:rPr>
          <w:lang w:val="nl-NL"/>
        </w:rPr>
        <w:t xml:space="preserve">De suggesties die voortkomen uit stemcorrelatie vormen geen definitieve automatische beslissing. Ze moeten worden onderworpen aan menselijke validatie door een geautoriseerde gebruiker van de Klant voordat ze in de transcriptie of interface worden bewaard.</w:t>
      </w:r>
    </w:p>
    <w:p>
      <w:pPr>
        <w:pStyle w:val="BodyText"/>
      </w:pPr>
      <w:r>
        <w:rPr>
          <w:lang w:val="nl-NL"/>
        </w:rPr>
        <w:t xml:space="preserve">Tijdelijke steminsluitingen worden berekend in RAM of in gecontroleerde tijdelijke ruimtes, worden niet bewaard als permanente profielen, worden niet gebruikt voor modeltraining door OHADJA en worden vernietigd aan het einde van het verzoek, inclusief in applicatie-opschoningsblokken van het type </w:t>
      </w:r>
      <w:r>
        <w:rPr>
          <w:lang w:val="nl-NL"/>
        </w:rPr>
        <w:t xml:space="preserve"/>
      </w:r>
      <w:r>
        <w:rPr>
          <w:rStyle w:val="VerbatimChar"/>
          <w:lang w:val="nl-NL"/>
        </w:rPr>
        <w:t xml:space="preserve">finally</w:t>
      </w:r>
      <w:r>
        <w:rPr>
          <w:lang w:val="nl-NL"/>
        </w:rPr>
        <w:t xml:space="preserve"> </w:t>
      </w:r>
      <w:r>
        <w:rPr>
          <w:lang w:val="nl-NL"/>
        </w:rPr>
        <w:t xml:space="preserve">wanneer ze worden gebruikt.</w:t>
      </w:r>
    </w:p>
    <w:p>
      <w:pPr>
        <w:pStyle w:val="BodyText"/>
      </w:pPr>
      <w:r>
        <w:rPr>
          <w:lang w:val="nl-NL"/>
        </w:rPr>
        <w:t xml:space="preserve">De Klant blijft verantwoordelijk voor het informeren van de Betrokkenen, het kiezen van de rechtsgrondslag, het bepalen van de noodzaak en evenredigheid, evenals voor eventuele interne analyses die nodig zijn met betrekking tot het gebruik ervan.</w:t>
      </w:r>
    </w:p>
    <w:bookmarkEnd w:id="37"/>
    <w:bookmarkEnd w:id="38"/>
    <w:bookmarkStart w:id="39" w:name="Xd31bed0aa0778d1f455c6a7f93a5eaae9719c2f"/>
    <w:p>
      <w:pPr>
        <w:pStyle w:val="Heading2"/>
        <w:keepNext/>
        <w:keepLines/>
      </w:pPr>
      <w:r>
        <w:rPr>
          <w:color w:val="000000"/>
          <w:lang w:val="nl-NL"/>
        </w:rPr>
        <w:t xml:space="preserve">BIJLAGE 2 — LIJST VAN GEAUTORISEERDE Subverwerkers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nl-NL"/>
              </w:rPr>
              <w:t xml:space="preserve">Naam</w:t>
            </w:r>
          </w:p>
        </w:tc>
        <w:tc>
          <w:tcPr>
            <w:tcW w:type="dxa" w:w="2340"/>
            <w:tcMar>
              <w:left w:type="dxa" w:w="80"/>
              <w:right w:type="dxa" w:w="80"/>
            </w:tcMar>
          </w:tcPr>
          <w:p>
            <w:pPr>
              <w:pStyle w:val="Compact"/>
            </w:pPr>
            <w:r>
              <w:rPr>
                <w:sz w:val="19"/>
                <w:szCs w:val="19"/>
                <w:lang w:val="nl-NL"/>
              </w:rPr>
              <w:t xml:space="preserve">Doel</w:t>
            </w:r>
          </w:p>
        </w:tc>
        <w:tc>
          <w:tcPr>
            <w:tcW w:type="dxa" w:w="2340"/>
            <w:tcMar>
              <w:left w:type="dxa" w:w="80"/>
              <w:right w:type="dxa" w:w="80"/>
            </w:tcMar>
          </w:tcPr>
          <w:p>
            <w:pPr>
              <w:pStyle w:val="Compact"/>
            </w:pPr>
            <w:r>
              <w:rPr>
                <w:sz w:val="19"/>
                <w:szCs w:val="19"/>
                <w:lang w:val="nl-NL"/>
              </w:rPr>
              <w:t xml:space="preserve">Locatie</w:t>
            </w:r>
          </w:p>
        </w:tc>
        <w:tc>
          <w:tcPr>
            <w:tcW w:type="dxa" w:w="2340"/>
            <w:tcMar>
              <w:left w:type="dxa" w:w="80"/>
              <w:right w:type="dxa" w:w="80"/>
            </w:tcMar>
          </w:tcPr>
          <w:p>
            <w:pPr>
              <w:pStyle w:val="Compact"/>
            </w:pPr>
            <w:r>
              <w:rPr>
                <w:sz w:val="19"/>
                <w:szCs w:val="19"/>
                <w:lang w:val="nl-NL"/>
              </w:rPr>
              <w:t xml:space="preserve">Contractuele basis</w:t>
            </w:r>
          </w:p>
        </w:tc>
      </w:tr>
      <w:tr>
        <w:trPr>
          <w:cantSplit/>
        </w:trPr>
        <w:tc>
          <w:tcPr>
            <w:tcW w:type="dxa" w:w="2340"/>
            <w:tcMar>
              <w:left w:type="dxa" w:w="80"/>
              <w:right w:type="dxa" w:w="80"/>
            </w:tcMar>
          </w:tcPr>
          <w:p>
            <w:pPr>
              <w:pStyle w:val="Compact"/>
            </w:pPr>
            <w:r>
              <w:rPr>
                <w:sz w:val="19"/>
                <w:szCs w:val="19"/>
                <w:lang w:val="nl-NL"/>
              </w:rPr>
              <w:t xml:space="preserve">Beheerde LLM-inferentieservers (vLLM, Qwen 3.6/Mistral open-weight-modellen)</w:t>
            </w:r>
          </w:p>
        </w:tc>
        <w:tc>
          <w:tcPr>
            <w:tcW w:type="dxa" w:w="2340"/>
            <w:tcMar>
              <w:left w:type="dxa" w:w="80"/>
              <w:right w:type="dxa" w:w="80"/>
            </w:tcMar>
          </w:tcPr>
          <w:p>
            <w:pPr>
              <w:pStyle w:val="Compact"/>
            </w:pPr>
            <w:r>
              <w:rPr>
                <w:sz w:val="19"/>
                <w:szCs w:val="19"/>
                <w:lang w:val="nl-NL"/>
              </w:rPr>
              <w:t xml:space="preserve">Primaire route van AI-functies: correctie, samenvatting, tekstgeneratie, analyse, structurering en AI-ondersteuning</w:t>
            </w:r>
          </w:p>
        </w:tc>
        <w:tc>
          <w:tcPr>
            <w:tcW w:type="dxa" w:w="2340"/>
            <w:tcMar>
              <w:left w:type="dxa" w:w="80"/>
              <w:right w:type="dxa" w:w="80"/>
            </w:tcMar>
          </w:tcPr>
          <w:p>
            <w:pPr>
              <w:pStyle w:val="Compact"/>
            </w:pPr>
            <w:r>
              <w:rPr>
                <w:sz w:val="19"/>
                <w:szCs w:val="19"/>
                <w:lang w:val="nl-NL"/>
              </w:rPr>
              <w:t xml:space="preserve">Europese Unie – gehost in Straatsburg en Parijs</w:t>
            </w:r>
          </w:p>
        </w:tc>
        <w:tc>
          <w:tcPr>
            <w:tcW w:type="dxa" w:w="2340"/>
            <w:tcMar>
              <w:left w:type="dxa" w:w="80"/>
              <w:right w:type="dxa" w:w="80"/>
            </w:tcMar>
          </w:tcPr>
          <w:p>
            <w:pPr>
              <w:pStyle w:val="Compact"/>
            </w:pPr>
            <w:r>
              <w:rPr>
                <w:sz w:val="19"/>
                <w:szCs w:val="19"/>
                <w:lang w:val="nl-NL"/>
              </w:rPr>
              <w:t xml:space="preserve">Infrastructuur beheerd door OHADJA; er worden geen gegevens verzonden naar een externe modelaanbieder</w:t>
            </w:r>
          </w:p>
        </w:tc>
      </w:tr>
      <w:tr>
        <w:trPr>
          <w:cantSplit/>
        </w:trPr>
        <w:tc>
          <w:tcPr>
            <w:tcW w:type="dxa" w:w="2340"/>
            <w:tcMar>
              <w:left w:type="dxa" w:w="80"/>
              <w:right w:type="dxa" w:w="80"/>
            </w:tcMar>
          </w:tcPr>
          <w:p>
            <w:pPr>
              <w:pStyle w:val="Compact"/>
            </w:pPr>
            <w:r>
              <w:rPr>
                <w:sz w:val="19"/>
                <w:szCs w:val="19"/>
                <w:lang w:val="nl-NL"/>
              </w:rPr>
              <w:t xml:space="preserve">Hostinger</w:t>
            </w:r>
          </w:p>
        </w:tc>
        <w:tc>
          <w:tcPr>
            <w:tcW w:type="dxa" w:w="2340"/>
            <w:tcMar>
              <w:left w:type="dxa" w:w="80"/>
              <w:right w:type="dxa" w:w="80"/>
            </w:tcMar>
          </w:tcPr>
          <w:p>
            <w:pPr>
              <w:pStyle w:val="Compact"/>
            </w:pPr>
            <w:r>
              <w:rPr>
                <w:sz w:val="19"/>
                <w:szCs w:val="19"/>
                <w:lang w:val="nl-NL"/>
              </w:rPr>
              <w:t xml:space="preserve">Fysieke of cloudhosting van de SaaS-service TranscribIA, opslag, netwerk, beschikbaarheid van infrastructuur</w:t>
            </w:r>
          </w:p>
        </w:tc>
        <w:tc>
          <w:tcPr>
            <w:tcW w:type="dxa" w:w="2340"/>
            <w:tcMar>
              <w:left w:type="dxa" w:w="80"/>
              <w:right w:type="dxa" w:w="80"/>
            </w:tcMar>
          </w:tcPr>
          <w:p>
            <w:pPr>
              <w:pStyle w:val="Compact"/>
            </w:pPr>
            <w:r>
              <w:rPr>
                <w:sz w:val="19"/>
                <w:szCs w:val="19"/>
                <w:lang w:val="nl-NL"/>
              </w:rPr>
              <w:t xml:space="preserve">Frankrijk, Europese Unie of Europese Economische Ruimte, afhankelijk van de gekozen configuratie</w:t>
            </w:r>
          </w:p>
        </w:tc>
        <w:tc>
          <w:tcPr>
            <w:tcW w:type="dxa" w:w="2340"/>
            <w:tcMar>
              <w:left w:type="dxa" w:w="80"/>
              <w:right w:type="dxa" w:w="80"/>
            </w:tcMar>
          </w:tcPr>
          <w:p>
            <w:pPr>
              <w:pStyle w:val="Compact"/>
            </w:pPr>
            <w:r>
              <w:rPr>
                <w:sz w:val="19"/>
                <w:szCs w:val="19"/>
                <w:lang w:val="nl-NL"/>
              </w:rPr>
              <w:t xml:space="preserve">Dienstencontract, onderaannemingsclausules, verbintenissen AVG</w:t>
            </w:r>
          </w:p>
        </w:tc>
      </w:tr>
      <w:tr>
        <w:trPr>
          <w:cantSplit/>
        </w:trPr>
        <w:tc>
          <w:tcPr>
            <w:tcW w:type="dxa" w:w="2340"/>
            <w:tcMar>
              <w:left w:type="dxa" w:w="80"/>
              <w:right w:type="dxa" w:w="80"/>
            </w:tcMar>
          </w:tcPr>
          <w:p>
            <w:pPr>
              <w:pStyle w:val="Compact"/>
            </w:pPr>
            <w:r>
              <w:rPr>
                <w:sz w:val="19"/>
                <w:szCs w:val="19"/>
                <w:lang w:val="nl-NL"/>
              </w:rPr>
              <w:t xml:space="preserve">Scaleway</w:t>
            </w:r>
          </w:p>
        </w:tc>
        <w:tc>
          <w:tcPr>
            <w:tcW w:type="dxa" w:w="2340"/>
            <w:tcMar>
              <w:left w:type="dxa" w:w="80"/>
              <w:right w:type="dxa" w:w="80"/>
            </w:tcMar>
          </w:tcPr>
          <w:p>
            <w:pPr>
              <w:pStyle w:val="Compact"/>
            </w:pPr>
            <w:r>
              <w:rPr>
                <w:sz w:val="19"/>
                <w:szCs w:val="19"/>
                <w:lang w:val="nl-NL"/>
              </w:rPr>
              <w:t xml:space="preserve">Versleutelde externe back-ups opslaan</w:t>
            </w:r>
          </w:p>
        </w:tc>
        <w:tc>
          <w:tcPr>
            <w:tcW w:type="dxa" w:w="2340"/>
            <w:tcMar>
              <w:left w:type="dxa" w:w="80"/>
              <w:right w:type="dxa" w:w="80"/>
            </w:tcMar>
          </w:tcPr>
          <w:p>
            <w:pPr>
              <w:pStyle w:val="Compact"/>
            </w:pPr>
            <w:r>
              <w:rPr>
                <w:sz w:val="19"/>
                <w:szCs w:val="19"/>
                <w:lang w:val="nl-NL"/>
              </w:rPr>
              <w:t xml:space="preserve">Frankrijk (Europese Unie)</w:t>
            </w:r>
          </w:p>
        </w:tc>
        <w:tc>
          <w:tcPr>
            <w:tcW w:type="dxa" w:w="2340"/>
            <w:tcMar>
              <w:left w:type="dxa" w:w="80"/>
              <w:right w:type="dxa" w:w="80"/>
            </w:tcMar>
          </w:tcPr>
          <w:p>
            <w:pPr>
              <w:pStyle w:val="Compact"/>
            </w:pPr>
            <w:r>
              <w:rPr>
                <w:sz w:val="19"/>
                <w:szCs w:val="19"/>
                <w:lang w:val="nl-NL"/>
              </w:rPr>
              <w:t xml:space="preserve">Dienstencontract, onderaannemingsclausules, verbintenissen AVG</w:t>
            </w:r>
          </w:p>
        </w:tc>
      </w:tr>
      <w:tr>
        <w:trPr>
          <w:cantSplit/>
        </w:trPr>
        <w:tc>
          <w:tcPr>
            <w:tcW w:type="dxa" w:w="2340"/>
            <w:tcMar>
              <w:left w:type="dxa" w:w="80"/>
              <w:right w:type="dxa" w:w="80"/>
            </w:tcMar>
          </w:tcPr>
          <w:p>
            <w:pPr>
              <w:pStyle w:val="Compact"/>
            </w:pPr>
            <w:r>
              <w:rPr>
                <w:sz w:val="19"/>
                <w:szCs w:val="19"/>
                <w:lang w:val="nl-NL"/>
              </w:rPr>
              <w:t xml:space="preserve">OpenRouter</w:t>
            </w:r>
          </w:p>
        </w:tc>
        <w:tc>
          <w:tcPr>
            <w:tcW w:type="dxa" w:w="2340"/>
            <w:tcMar>
              <w:left w:type="dxa" w:w="80"/>
              <w:right w:type="dxa" w:w="80"/>
            </w:tcMar>
          </w:tcPr>
          <w:p>
            <w:pPr>
              <w:pStyle w:val="Compact"/>
            </w:pPr>
            <w:r>
              <w:rPr>
                <w:sz w:val="19"/>
                <w:szCs w:val="19"/>
                <w:lang w:val="nl-NL"/>
              </w:rPr>
              <w:t xml:space="preserve">Failoverroute, deactiveerbaar per organisatie: bemiddeling in toegang tot LLM-modellen wanneer de primaire route niet beschikbaar is en de fallback niet door de Klant is gedeactiveerd</w:t>
            </w:r>
          </w:p>
        </w:tc>
        <w:tc>
          <w:tcPr>
            <w:tcW w:type="dxa" w:w="2340"/>
            <w:tcMar>
              <w:left w:type="dxa" w:w="80"/>
              <w:right w:type="dxa" w:w="80"/>
            </w:tcMar>
          </w:tcPr>
          <w:p>
            <w:pPr>
              <w:pStyle w:val="Compact"/>
            </w:pPr>
            <w:r>
              <w:rPr>
                <w:sz w:val="19"/>
                <w:szCs w:val="19"/>
                <w:lang w:val="nl-NL"/>
              </w:rPr>
              <w:t xml:space="preserve">Europese Unie of Europese Economische Ruimte, indien beschikbaar en geactiveerd; geen overdracht buiten de EU zonder hoofdstuk V-mechanisme AVG</w:t>
            </w:r>
          </w:p>
        </w:tc>
        <w:tc>
          <w:tcPr>
            <w:tcW w:type="dxa" w:w="2340"/>
            <w:tcMar>
              <w:left w:type="dxa" w:w="80"/>
              <w:right w:type="dxa" w:w="80"/>
            </w:tcMar>
          </w:tcPr>
          <w:p>
            <w:pPr>
              <w:pStyle w:val="Compact"/>
            </w:pPr>
            <w:r>
              <w:rPr>
                <w:sz w:val="19"/>
                <w:szCs w:val="19"/>
                <w:lang w:val="nl-NL"/>
              </w:rPr>
              <w:t xml:space="preserve">Dienstencontract, onderaannemingsclausules, verbintenissen AVG, indien nodig modelcontractclausules</w:t>
            </w:r>
          </w:p>
        </w:tc>
      </w:tr>
      <w:tr>
        <w:trPr>
          <w:cantSplit/>
        </w:trPr>
        <w:tc>
          <w:tcPr>
            <w:tcW w:type="dxa" w:w="2340"/>
            <w:tcMar>
              <w:left w:type="dxa" w:w="80"/>
              <w:right w:type="dxa" w:w="80"/>
            </w:tcMar>
          </w:tcPr>
          <w:p>
            <w:pPr>
              <w:pStyle w:val="Compact"/>
            </w:pPr>
            <w:r>
              <w:rPr>
                <w:sz w:val="19"/>
                <w:szCs w:val="19"/>
                <w:lang w:val="nl-NL"/>
              </w:rPr>
              <w:t xml:space="preserve">Modelaanbieders via OpenRouter, inclusief Anthropic of OpenAI indien geconfigureerd</w:t>
            </w:r>
          </w:p>
        </w:tc>
        <w:tc>
          <w:tcPr>
            <w:tcW w:type="dxa" w:w="2340"/>
            <w:tcMar>
              <w:left w:type="dxa" w:w="80"/>
              <w:right w:type="dxa" w:w="80"/>
            </w:tcMar>
          </w:tcPr>
          <w:p>
            <w:pPr>
              <w:pStyle w:val="Compact"/>
            </w:pPr>
            <w:r>
              <w:rPr>
                <w:sz w:val="19"/>
                <w:szCs w:val="19"/>
                <w:lang w:val="nl-NL"/>
              </w:rPr>
              <w:t xml:space="preserve">Back-up van LLM-gevolgtrekking voor alleen AI-query's die door de klant zijn geïnitieerd of geconfigureerd</w:t>
            </w:r>
          </w:p>
        </w:tc>
        <w:tc>
          <w:tcPr>
            <w:tcW w:type="dxa" w:w="2340"/>
            <w:tcMar>
              <w:left w:type="dxa" w:w="80"/>
              <w:right w:type="dxa" w:w="80"/>
            </w:tcMar>
          </w:tcPr>
          <w:p>
            <w:pPr>
              <w:pStyle w:val="Compact"/>
            </w:pPr>
            <w:r>
              <w:rPr>
                <w:sz w:val="19"/>
                <w:szCs w:val="19"/>
                <w:lang w:val="nl-NL"/>
              </w:rPr>
              <w:t xml:space="preserve">Afhankelijk van beschikbare configuratie, met EU/EER-prioriteit; buiten de EU alleen met geldige garanties hoofdstuk V AVG</w:t>
            </w:r>
          </w:p>
        </w:tc>
        <w:tc>
          <w:tcPr>
            <w:tcW w:type="dxa" w:w="2340"/>
            <w:tcMar>
              <w:left w:type="dxa" w:w="80"/>
              <w:right w:type="dxa" w:w="80"/>
            </w:tcMar>
          </w:tcPr>
          <w:p>
            <w:pPr>
              <w:pStyle w:val="Compact"/>
            </w:pPr>
            <w:r>
              <w:rPr>
                <w:sz w:val="19"/>
                <w:szCs w:val="19"/>
                <w:lang w:val="nl-NL"/>
              </w:rPr>
              <w:t xml:space="preserve">Leveranciersvoorwaarden, leverancier DPA, standaard contractbepalingen indien nodig</w:t>
            </w:r>
          </w:p>
        </w:tc>
      </w:tr>
      <w:tr>
        <w:trPr>
          <w:cantSplit/>
        </w:trPr>
        <w:tc>
          <w:tcPr>
            <w:tcW w:type="dxa" w:w="2340"/>
            <w:tcMar>
              <w:left w:type="dxa" w:w="80"/>
              <w:right w:type="dxa" w:w="80"/>
            </w:tcMar>
          </w:tcPr>
          <w:p>
            <w:pPr>
              <w:pStyle w:val="Compact"/>
            </w:pPr>
            <w:r>
              <w:rPr>
                <w:sz w:val="19"/>
                <w:szCs w:val="19"/>
                <w:lang w:val="nl-NL"/>
              </w:rPr>
              <w:t xml:space="preserve">Vast.ai</w:t>
            </w:r>
          </w:p>
        </w:tc>
        <w:tc>
          <w:tcPr>
            <w:tcW w:type="dxa" w:w="2340"/>
            <w:tcMar>
              <w:left w:type="dxa" w:w="80"/>
              <w:right w:type="dxa" w:w="80"/>
            </w:tcMar>
          </w:tcPr>
          <w:p>
            <w:pPr>
              <w:pStyle w:val="Compact"/>
            </w:pPr>
            <w:r>
              <w:rPr>
                <w:sz w:val="19"/>
                <w:szCs w:val="19"/>
                <w:lang w:val="nl-NL"/>
              </w:rPr>
              <w:t xml:space="preserve">On-demand verhuur van GPU-bronnen voor transcriptie, sprekerdiarisatie, audioverwerking of stemcorrelatie wanneer deze optie wordt gebruikt</w:t>
            </w:r>
          </w:p>
        </w:tc>
        <w:tc>
          <w:tcPr>
            <w:tcW w:type="dxa" w:w="2340"/>
            <w:tcMar>
              <w:left w:type="dxa" w:w="80"/>
              <w:right w:type="dxa" w:w="80"/>
            </w:tcMar>
          </w:tcPr>
          <w:p>
            <w:pPr>
              <w:pStyle w:val="Compact"/>
            </w:pPr>
            <w:r>
              <w:rPr>
                <w:sz w:val="19"/>
                <w:szCs w:val="19"/>
                <w:lang w:val="nl-NL"/>
              </w:rPr>
              <w:t xml:space="preserve">Hulpbronnen geselecteerd uit de Europese Unie of de Europese Economische Ruimte, indien nodig; buiten de EU alleen met overeenkomst en garanties hoofdstuk V AVG</w:t>
            </w:r>
          </w:p>
        </w:tc>
        <w:tc>
          <w:tcPr>
            <w:tcW w:type="dxa" w:w="2340"/>
            <w:tcMar>
              <w:left w:type="dxa" w:w="80"/>
              <w:right w:type="dxa" w:w="80"/>
            </w:tcMar>
          </w:tcPr>
          <w:p>
            <w:pPr>
              <w:pStyle w:val="Compact"/>
            </w:pPr>
            <w:r>
              <w:rPr>
                <w:sz w:val="19"/>
                <w:szCs w:val="19"/>
                <w:lang w:val="nl-NL"/>
              </w:rPr>
              <w:t xml:space="preserve">Servicecontract, leveranciersvoorwaarden, contractuele clausules of gelijkwaardige garanties, indien van toepassing</w:t>
            </w:r>
          </w:p>
        </w:tc>
      </w:tr>
      <w:tr>
        <w:trPr>
          <w:cantSplit/>
        </w:trPr>
        <w:tc>
          <w:tcPr>
            <w:tcW w:type="dxa" w:w="2340"/>
            <w:tcMar>
              <w:left w:type="dxa" w:w="80"/>
              <w:right w:type="dxa" w:w="80"/>
            </w:tcMar>
          </w:tcPr>
          <w:p>
            <w:pPr>
              <w:pStyle w:val="Compact"/>
            </w:pPr>
            <w:r>
              <w:rPr>
                <w:sz w:val="19"/>
                <w:szCs w:val="19"/>
                <w:lang w:val="nl-NL"/>
              </w:rPr>
              <w:t xml:space="preserve">Transactionele e-mailproviders, indien geactiveerd</w:t>
            </w:r>
          </w:p>
        </w:tc>
        <w:tc>
          <w:tcPr>
            <w:tcW w:type="dxa" w:w="2340"/>
            <w:tcMar>
              <w:left w:type="dxa" w:w="80"/>
              <w:right w:type="dxa" w:w="80"/>
            </w:tcMar>
          </w:tcPr>
          <w:p>
            <w:pPr>
              <w:pStyle w:val="Compact"/>
            </w:pPr>
            <w:r>
              <w:rPr>
                <w:sz w:val="19"/>
                <w:szCs w:val="19"/>
                <w:lang w:val="nl-NL"/>
              </w:rPr>
              <w:t xml:space="preserve">Service-e-mails verzenden: uitnodiging, reset, technische meldingen</w:t>
            </w:r>
          </w:p>
        </w:tc>
        <w:tc>
          <w:tcPr>
            <w:tcW w:type="dxa" w:w="2340"/>
            <w:tcMar>
              <w:left w:type="dxa" w:w="80"/>
              <w:right w:type="dxa" w:w="80"/>
            </w:tcMar>
          </w:tcPr>
          <w:p>
            <w:pPr>
              <w:pStyle w:val="Compact"/>
            </w:pPr>
            <w:r>
              <w:rPr>
                <w:sz w:val="19"/>
                <w:szCs w:val="19"/>
                <w:lang w:val="nl-NL"/>
              </w:rPr>
              <w:t xml:space="preserve">Europese Unie of Europese Economische Ruimte indien geconfigureerd; buiten de EU alleen met hoofdstuk V-garanties AVG</w:t>
            </w:r>
          </w:p>
        </w:tc>
        <w:tc>
          <w:tcPr>
            <w:tcW w:type="dxa" w:w="2340"/>
            <w:tcMar>
              <w:left w:type="dxa" w:w="80"/>
              <w:right w:type="dxa" w:w="80"/>
            </w:tcMar>
          </w:tcPr>
          <w:p>
            <w:pPr>
              <w:pStyle w:val="Compact"/>
            </w:pPr>
            <w:r>
              <w:rPr>
                <w:sz w:val="19"/>
                <w:szCs w:val="19"/>
                <w:lang w:val="nl-NL"/>
              </w:rPr>
              <w:t xml:space="preserve">Servicecontract, leverancier DPA, modelcontractbepalingen indien nodig</w:t>
            </w:r>
          </w:p>
        </w:tc>
      </w:tr>
      <w:tr>
        <w:trPr>
          <w:cantSplit/>
        </w:trPr>
        <w:tc>
          <w:tcPr>
            <w:tcW w:type="dxa" w:w="2340"/>
            <w:tcMar>
              <w:left w:type="dxa" w:w="80"/>
              <w:right w:type="dxa" w:w="80"/>
            </w:tcMar>
          </w:tcPr>
          <w:p>
            <w:pPr>
              <w:pStyle w:val="Compact"/>
            </w:pPr>
            <w:r>
              <w:rPr>
                <w:sz w:val="19"/>
                <w:szCs w:val="19"/>
                <w:lang w:val="nl-NL"/>
              </w:rPr>
              <w:t xml:space="preserve">Toezicht- of beveiligingsaanbieders, indien geactiveerd</w:t>
            </w:r>
          </w:p>
        </w:tc>
        <w:tc>
          <w:tcPr>
            <w:tcW w:type="dxa" w:w="2340"/>
            <w:tcMar>
              <w:left w:type="dxa" w:w="80"/>
              <w:right w:type="dxa" w:w="80"/>
            </w:tcMar>
          </w:tcPr>
          <w:p>
            <w:pPr>
              <w:pStyle w:val="Compact"/>
            </w:pPr>
            <w:r>
              <w:rPr>
                <w:sz w:val="19"/>
                <w:szCs w:val="19"/>
                <w:lang w:val="nl-NL"/>
              </w:rPr>
              <w:t xml:space="preserve">Technisch toezicht, alarmering, foutdiagnose, operationele veiligheid</w:t>
            </w:r>
          </w:p>
        </w:tc>
        <w:tc>
          <w:tcPr>
            <w:tcW w:type="dxa" w:w="2340"/>
            <w:tcMar>
              <w:left w:type="dxa" w:w="80"/>
              <w:right w:type="dxa" w:w="80"/>
            </w:tcMar>
          </w:tcPr>
          <w:p>
            <w:pPr>
              <w:pStyle w:val="Compact"/>
            </w:pPr>
            <w:r>
              <w:rPr>
                <w:sz w:val="19"/>
                <w:szCs w:val="19"/>
                <w:lang w:val="nl-NL"/>
              </w:rPr>
              <w:t xml:space="preserve">Europese Unie of Europese Economische Ruimte indien geconfigureerd; buiten de EU alleen met hoofdstuk V-garanties AVG</w:t>
            </w:r>
          </w:p>
        </w:tc>
        <w:tc>
          <w:tcPr>
            <w:tcW w:type="dxa" w:w="2340"/>
            <w:tcMar>
              <w:left w:type="dxa" w:w="80"/>
              <w:right w:type="dxa" w:w="80"/>
            </w:tcMar>
          </w:tcPr>
          <w:p>
            <w:pPr>
              <w:pStyle w:val="Compact"/>
            </w:pPr>
            <w:r>
              <w:rPr>
                <w:sz w:val="19"/>
                <w:szCs w:val="19"/>
                <w:lang w:val="nl-NL"/>
              </w:rPr>
              <w:t xml:space="preserve">Servicecontract, leverancier DPA, modelcontractbepalingen indien nodig</w:t>
            </w:r>
          </w:p>
        </w:tc>
      </w:tr>
    </w:tbl>
    <w:bookmarkEnd w:id="39"/>
    <w:bookmarkStart w:id="51" w:name="X7523f8d50ce773b6c8cc26d7ed71f7717c2def3"/>
    <w:p>
      <w:pPr>
        <w:pStyle w:val="Heading2"/>
        <w:keepNext/>
        <w:keepLines/>
      </w:pPr>
      <w:r>
        <w:rPr>
          <w:color w:val="000000"/>
          <w:lang w:val="nl-NL"/>
        </w:rPr>
        <w:t xml:space="preserve">BIJLAGE 3 — TECHNISCHE EN ORGANISATORISCHE MAATREGELEN</w:t>
      </w:r>
    </w:p>
    <w:bookmarkStart w:id="40" w:name="X8f3e232de8def0f8007972b4bf4a3c55c088848"/>
    <w:p>
      <w:pPr>
        <w:pStyle w:val="Heading3"/>
        <w:keepNext/>
        <w:keepLines/>
      </w:pPr>
      <w:r>
        <w:rPr>
          <w:color w:val="000000"/>
          <w:lang w:val="nl-NL"/>
        </w:rPr>
        <w:t xml:space="preserve">1. Versleuteling en bescherming van stromen</w:t>
      </w:r>
    </w:p>
    <w:p>
      <w:pPr>
        <w:pStyle w:val="FirstParagraph"/>
      </w:pPr>
      <w:r>
        <w:rPr>
          <w:lang w:val="nl-NL"/>
        </w:rPr>
        <w:t xml:space="preserve">OHADJA implementeert encryptie van netwerkcommunicatie door TLS/HTTPS voor applicatietoegang, API's en beheerinterfaces, in overeenstemming met artikel 32.1.a van AVG.</w:t>
      </w:r>
    </w:p>
    <w:p>
      <w:pPr>
        <w:pStyle w:val="BodyText"/>
      </w:pPr>
      <w:r>
        <w:rPr>
          <w:lang w:val="nl-NL"/>
        </w:rPr>
        <w:t xml:space="preserve">Back-ups worden vóór externe opslag versleuteld met age (X25519 + ChaCha20-Poly1305). De versleuteling van de systeemschijf hangt af van het datacenteraanbod; een upgrade (LUKS/gocryptfs) is gepland.</w:t>
      </w:r>
    </w:p>
    <w:p>
      <w:pPr>
        <w:pStyle w:val="BodyText"/>
      </w:pPr>
      <w:r>
        <w:rPr>
          <w:lang w:val="nl-NL"/>
        </w:rPr>
        <w:t xml:space="preserve">Streaming-URL's voor audiobestanden worden beschermd door ondertekende en tijdelijke links. Ongeautoriseerde directe toegang tot bestanden is niet openbaar.</w:t>
      </w:r>
    </w:p>
    <w:p>
      <w:pPr>
        <w:pStyle w:val="BodyText"/>
      </w:pPr>
      <w:r>
        <w:rPr>
          <w:lang w:val="nl-NL"/>
        </w:rPr>
        <w:t xml:space="preserve">Applicatiegeheimen, API-sleutels, tokens en wachtwoorden worden opgeslagen in omgevingsbestanden, kluizen, beveiligde variabelen of gelijkwaardige mechanismen, waarbij de toegang beperkt is tot geautoriseerde personen.</w:t>
      </w:r>
    </w:p>
    <w:bookmarkEnd w:id="40"/>
    <w:bookmarkStart w:id="41" w:name="Xaddc48e34396aae88c17fa247fc517b48e3185f"/>
    <w:p>
      <w:pPr>
        <w:pStyle w:val="Heading3"/>
        <w:keepNext/>
        <w:keepLines/>
      </w:pPr>
      <w:r>
        <w:rPr>
          <w:color w:val="000000"/>
          <w:lang w:val="nl-NL"/>
        </w:rPr>
        <w:t xml:space="preserve">2. Isolatie en logische scheidingswanden</w:t>
      </w:r>
    </w:p>
    <w:p>
      <w:pPr>
        <w:pStyle w:val="FirstParagraph"/>
      </w:pPr>
      <w:r>
        <w:rPr>
          <w:lang w:val="nl-NL"/>
        </w:rPr>
        <w:t xml:space="preserve">De SaaS-dienst is gebaseerd op een multi-tenant architectuur met logische isolatie per organisatie. Tenantgegevens worden gescheiden door een organisatiespecifiek PostgreSQL-schema wanneer deze architectuur is ingeschakeld.</w:t>
      </w:r>
    </w:p>
    <w:p>
      <w:pPr>
        <w:pStyle w:val="BodyText"/>
      </w:pPr>
      <w:r>
        <w:rPr>
          <w:lang w:val="nl-NL"/>
        </w:rPr>
        <w:t xml:space="preserve">De applicatiemiddleware positioneert de context voordat er queries worden uitgevoerd, om de toegang tot de Gegevens van de betreffende organisatie te beperken.</w:t>
      </w:r>
    </w:p>
    <w:p>
      <w:pPr>
        <w:pStyle w:val="BodyText"/>
      </w:pPr>
      <w:r>
        <w:rPr>
          <w:lang w:val="nl-NL"/>
        </w:rPr>
        <w:t xml:space="preserve">Applicatierollen beperken de toegang op basis van geautoriseerde profielen: superbeheerder, geautoriseerde agent, manager, teamleider en gebruiker.</w:t>
      </w:r>
    </w:p>
    <w:bookmarkEnd w:id="41"/>
    <w:bookmarkStart w:id="42" w:name="X60bf91a330e564937e33a5f7bf787f06d41ab37"/>
    <w:p>
      <w:pPr>
        <w:pStyle w:val="Heading3"/>
        <w:keepNext/>
        <w:keepLines/>
      </w:pPr>
      <w:r>
        <w:rPr>
          <w:color w:val="000000"/>
          <w:lang w:val="nl-NL"/>
        </w:rPr>
        <w:t xml:space="preserve">3. Toegangsbeheer en authenticatie</w:t>
      </w:r>
    </w:p>
    <w:p>
      <w:pPr>
        <w:pStyle w:val="FirstParagraph"/>
      </w:pPr>
      <w:r>
        <w:rPr>
          <w:lang w:val="nl-NL"/>
        </w:rPr>
        <w:t xml:space="preserve">Gebruikersaccounts zijn gekoppeld aan rollen en machtigingen. Toegang wordt verleend volgens het principe van least privilege.</w:t>
      </w:r>
    </w:p>
    <w:p>
      <w:pPr>
        <w:pStyle w:val="BodyText"/>
      </w:pPr>
      <w:r>
        <w:rPr>
          <w:lang w:val="nl-NL"/>
        </w:rPr>
        <w:t xml:space="preserve">API-tokens en applicatiesessies zijn beperkt tot noodzakelijk gebruik. Beheertoegang is gereserveerd voor geautoriseerde personen.</w:t>
      </w:r>
    </w:p>
    <w:p>
      <w:pPr>
        <w:pStyle w:val="BodyText"/>
      </w:pPr>
      <w:r>
        <w:rPr>
          <w:lang w:val="nl-NL"/>
        </w:rPr>
        <w:t xml:space="preserve">De Klant is verantwoordelijk voor het beheer van zijn eigen gebruikers, het verwijderen van verouderde accounts, het toewijzen van rollen en het beschermen van de authenticatiemiddelen van zijn gebruikers.</w:t>
      </w:r>
    </w:p>
    <w:bookmarkEnd w:id="42"/>
    <w:bookmarkStart w:id="43" w:name="Xa0655d09ab4e198a6dd70d8bc7c2e120ae9fee7"/>
    <w:p>
      <w:pPr>
        <w:pStyle w:val="Heading3"/>
        <w:keepNext/>
        <w:keepLines/>
      </w:pPr>
      <w:r>
        <w:rPr>
          <w:color w:val="000000"/>
          <w:lang w:val="nl-NL"/>
        </w:rPr>
        <w:t xml:space="preserve">4. Logging en traceerbaarheid</w:t>
      </w:r>
    </w:p>
    <w:p>
      <w:pPr>
        <w:pStyle w:val="FirstParagraph"/>
      </w:pPr>
      <w:r>
        <w:rPr>
          <w:lang w:val="nl-NL"/>
        </w:rPr>
        <w:t xml:space="preserve">De Dienst houdt auditlogboeken en technische sporen bij waardoor bepaalde belangrijke acties kunnen worden gevolgd: verbindingen, creaties, wijzigingen, verwijderingen, uploads, verwerking, fouten, exports en beschikbare beheerbewerkingen.</w:t>
      </w:r>
    </w:p>
    <w:p>
      <w:pPr>
        <w:pStyle w:val="BodyText"/>
      </w:pPr>
      <w:r>
        <w:rPr>
          <w:lang w:val="nl-NL"/>
        </w:rPr>
        <w:t xml:space="preserve">Logboeken worden gebruikt voor beveiliging, diagnostiek, bewijsmateriaal, incidentdetectie en klantondersteuning.</w:t>
      </w:r>
    </w:p>
    <w:p>
      <w:pPr>
        <w:pStyle w:val="BodyText"/>
      </w:pPr>
      <w:r>
        <w:rPr>
          <w:lang w:val="nl-NL"/>
        </w:rPr>
        <w:t xml:space="preserve">Logboeken mogen geen blijvende steminsluitingen bevatten. Logboeken met betrekking tot stemcorrelatie zijn beperkt tot de noodzakelijke technische informatie en zijn onderworpen aan maatregelen om gevoelige gegevens waar mogelijk te verminderen of op te schonen.</w:t>
      </w:r>
    </w:p>
    <w:bookmarkEnd w:id="43"/>
    <w:bookmarkStart w:id="44" w:name="Xb72ff9c2aed82570f5270b78e31fe53d9046315"/>
    <w:p>
      <w:pPr>
        <w:pStyle w:val="Heading3"/>
        <w:keepNext/>
        <w:keepLines/>
      </w:pPr>
      <w:r>
        <w:rPr>
          <w:color w:val="000000"/>
          <w:lang w:val="nl-NL"/>
        </w:rPr>
        <w:t xml:space="preserve">5. Back-ups en herstel</w:t>
      </w:r>
    </w:p>
    <w:p>
      <w:pPr>
        <w:pStyle w:val="FirstParagraph"/>
      </w:pPr>
      <w:r>
        <w:rPr>
          <w:lang w:val="nl-NL"/>
        </w:rPr>
        <w:t xml:space="preserve">Bij Optie A implementeert OHADJA technische back-ups die bedoeld zijn om de beschikbaarheid van de Gegevens en de toegang daartoe binnen passende termijnen te herstellen in het geval van een fysiek of technisch incident, in overeenstemming met artikel 32.1.c van AVG.</w:t>
      </w:r>
    </w:p>
    <w:p>
      <w:pPr>
        <w:pStyle w:val="BodyText"/>
      </w:pPr>
      <w:r>
        <w:rPr>
          <w:lang w:val="nl-NL"/>
        </w:rPr>
        <w:t xml:space="preserve">Back-ups worden gecodeerd voordat ze worden uitbesteed met de age (X25519 + ChaCha20-Poly1305) en gesynchroniseerd met Scaleway (Frankrijk); ze zijn beschermd tegen ongeautoriseerde toegang en worden bewaard volgens een gedefinieerde rotatiecyclus.</w:t>
      </w:r>
    </w:p>
    <w:p>
      <w:pPr>
        <w:pStyle w:val="BodyText"/>
      </w:pPr>
      <w:r>
        <w:rPr>
          <w:lang w:val="nl-NL"/>
        </w:rPr>
        <w:t xml:space="preserve">Bij Optie B is de Klant verantwoordelijk voor de back-ups van zijn omgeving, tenzij uitdrukkelijk anders bepaald.</w:t>
      </w:r>
    </w:p>
    <w:bookmarkEnd w:id="44"/>
    <w:bookmarkStart w:id="45" w:name="X542d0b57a4f8fe88138a3fd867d48dcc2dbd28d"/>
    <w:p>
      <w:pPr>
        <w:pStyle w:val="Heading3"/>
        <w:keepNext/>
        <w:keepLines/>
      </w:pPr>
      <w:r>
        <w:rPr>
          <w:color w:val="000000"/>
          <w:lang w:val="nl-NL"/>
        </w:rPr>
        <w:t xml:space="preserve">6. Beschikbaarheid, veerkracht en continuïteit</w:t>
      </w:r>
    </w:p>
    <w:p>
      <w:pPr>
        <w:pStyle w:val="FirstParagraph"/>
      </w:pPr>
      <w:r>
        <w:rPr>
          <w:lang w:val="nl-NL"/>
        </w:rPr>
        <w:t xml:space="preserve">OHADJA implementeert redelijke middelen om de beschikbaarheid, integriteit en veerkracht van de Dienst te garanderen, in overeenstemming met artikel 32.1.b van AVG.</w:t>
      </w:r>
    </w:p>
    <w:p>
      <w:pPr>
        <w:pStyle w:val="BodyText"/>
      </w:pPr>
      <w:r>
        <w:rPr>
          <w:lang w:val="nl-NL"/>
        </w:rPr>
        <w:t xml:space="preserve">Deze middelen kunnen bestaan uit supervisie, het opnieuw opstarten van services, wachtrijen, afzonderlijke workers, applicatiemonitoring, scheiding van applicatiecomponenten, database, cache, WebSocket en asynchrone verwerking.</w:t>
      </w:r>
    </w:p>
    <w:p>
      <w:pPr>
        <w:pStyle w:val="BodyText"/>
      </w:pPr>
      <w:r>
        <w:rPr>
          <w:lang w:val="nl-NL"/>
        </w:rPr>
        <w:t xml:space="preserve">Beschikbaarheidsverplichtingen, hersteltijden of serviceniveaus zijn die welke zijn voorzien in het Hoofdcontract, voor zover deze bestaan.</w:t>
      </w:r>
    </w:p>
    <w:bookmarkEnd w:id="45"/>
    <w:bookmarkStart w:id="46" w:name="Xae371bc0d32494cdb994a420ff70400aa998f71"/>
    <w:p>
      <w:pPr>
        <w:pStyle w:val="Heading3"/>
        <w:keepNext/>
        <w:keepLines/>
      </w:pPr>
      <w:r>
        <w:rPr>
          <w:color w:val="000000"/>
          <w:lang w:val="nl-NL"/>
        </w:rPr>
        <w:t xml:space="preserve">7. Kwetsbaarheidsbeheer en updates</w:t>
      </w:r>
    </w:p>
    <w:p>
      <w:pPr>
        <w:pStyle w:val="FirstParagraph"/>
      </w:pPr>
      <w:r>
        <w:rPr>
          <w:lang w:val="nl-NL"/>
        </w:rPr>
        <w:t xml:space="preserve">OHADJA past redelijk kwetsbaarheidsbeheer toe op de componenten die het beheert: applicatieframework, afhankelijkheden, containers, Docker-images, applicatieserver, beveiligingsconfiguratie en kritieke bibliotheken.</w:t>
      </w:r>
    </w:p>
    <w:p>
      <w:pPr>
        <w:pStyle w:val="BodyText"/>
      </w:pPr>
      <w:r>
        <w:rPr>
          <w:lang w:val="nl-NL"/>
        </w:rPr>
        <w:t xml:space="preserve">Beveiligingspatches krijgen prioriteit op basis van hun kriticiteit, exploiteerbaarheid en blootstelling.</w:t>
      </w:r>
    </w:p>
    <w:p>
      <w:pPr>
        <w:pStyle w:val="BodyText"/>
      </w:pPr>
      <w:r>
        <w:rPr>
          <w:lang w:val="nl-NL"/>
        </w:rPr>
        <w:t xml:space="preserve">Bij Optie B is de Klant verantwoordelijk voor de effectieve implementatie van updates, patches en beveiligingsconfiguraties in zijn omgeving, met uitzondering van de onderhoudsmissie die is toevertrouwd aan OHADJA.</w:t>
      </w:r>
    </w:p>
    <w:bookmarkEnd w:id="46"/>
    <w:bookmarkStart w:id="47" w:name="X46530f253ecc359acdf164d54e2920564e3c8c5"/>
    <w:p>
      <w:pPr>
        <w:pStyle w:val="Heading3"/>
        <w:keepNext/>
        <w:keepLines/>
      </w:pPr>
      <w:r>
        <w:rPr>
          <w:color w:val="000000"/>
          <w:lang w:val="nl-NL"/>
        </w:rPr>
        <w:t xml:space="preserve">8. Beveiliging van AI-verwerking en transcriptie</w:t>
      </w:r>
    </w:p>
    <w:p>
      <w:pPr>
        <w:pStyle w:val="FirstParagraph"/>
      </w:pPr>
      <w:r>
        <w:rPr>
          <w:lang w:val="nl-NL"/>
        </w:rPr>
        <w:t xml:space="preserve">De verwerking van transcriptie, sprekerdiarisatie, AI-generatie, correctie, samenvatting, hoofdstukindeling en sprekeridentificatie wordt alleen uitgevoerd voor de door de Klant geactiveerde doeleinden.</w:t>
      </w:r>
    </w:p>
    <w:p>
      <w:pPr>
        <w:pStyle w:val="BodyText"/>
      </w:pPr>
      <w:r>
        <w:rPr>
          <w:lang w:val="nl-NL"/>
        </w:rPr>
        <w:t xml:space="preserve">AI-verwerking is standaard gebaseerd op vLLM-inferentieservers die worden beheerd door OHADJA in Europa, met open-weight-modellen; Op dit primaire pad worden geen gegevens verzonden naar een externe modelaanbieder. De OpenRouter-gateway wordt alleen gebruikt als back-up, waarbij de vlag 'no-train' is geactiveerd, en kan door de organisatie worden gedeactiveerd.</w:t>
      </w:r>
    </w:p>
    <w:p>
      <w:pPr>
        <w:pStyle w:val="BodyText"/>
      </w:pPr>
      <w:r>
        <w:rPr>
          <w:lang w:val="nl-NL"/>
        </w:rPr>
        <w:t xml:space="preserve">De aanwijzingen en bronnen die naar de AI-modellen worden verzonden, zijn samengesteld op basis van de selecties of parameters van de Klant. OHADJA past, waar mogelijk, minimalisering toe van gegevens die worden verzonden naar noodzakelijke diensten van derden.</w:t>
      </w:r>
    </w:p>
    <w:p>
      <w:pPr>
        <w:pStyle w:val="BodyText"/>
      </w:pPr>
      <w:r>
        <w:rPr>
          <w:lang w:val="nl-NL"/>
        </w:rPr>
        <w:t xml:space="preserve">Gegevens die naar Subverwerkers IA's worden verzonden, mogen door OHADJA niet worden gebruikt om zijn eigen modellen te trainen, tenzij uitdrukkelijk en afzonderlijk geïnstrueerd door de Klant.</w:t>
      </w:r>
    </w:p>
    <w:bookmarkEnd w:id="47"/>
    <w:bookmarkStart w:id="48" w:name="X020e1c7cc680ecf4f46e5914db79ab5de3bd540"/>
    <w:p>
      <w:pPr>
        <w:pStyle w:val="Heading3"/>
        <w:keepNext/>
        <w:keepLines/>
      </w:pPr>
      <w:r>
        <w:rPr>
          <w:color w:val="000000"/>
          <w:lang w:val="nl-NL"/>
        </w:rPr>
        <w:t xml:space="preserve">9. technische en organisatorische maatregelen gericht op stemcorrelatie</w:t>
      </w:r>
    </w:p>
    <w:p>
      <w:pPr>
        <w:pStyle w:val="FirstParagraph"/>
      </w:pPr>
      <w:r>
        <w:rPr>
          <w:lang w:val="nl-NL"/>
        </w:rPr>
        <w:t xml:space="preserve">Stemcorrelatie is gebaseerd op de tijdelijke verwerking van stemgegevens met als doel sprekeridentificatie te suggereren, zonder dat er een persistent biometrisch sjabloon ontstaat.</w:t>
      </w:r>
    </w:p>
    <w:p>
      <w:pPr>
        <w:pStyle w:val="BodyText"/>
      </w:pPr>
      <w:r>
        <w:rPr>
          <w:lang w:val="nl-NL"/>
        </w:rPr>
        <w:t xml:space="preserve">De volgende specifieke veiligheidsmaatregelen worden toegepast wanneer de functie is ingeschakeld:</w:t>
      </w:r>
    </w:p>
    <w:p>
      <w:pPr>
        <w:pStyle w:val="Compact"/>
        <w:numPr>
          <w:ilvl w:val="0"/>
          <w:numId w:val="1002"/>
        </w:numPr>
      </w:pPr>
      <w:r>
        <w:rPr>
          <w:lang w:val="nl-NL"/>
        </w:rPr>
        <w:t xml:space="preserve">activering op tenantniveau of via clientconfiguratie, indien beschikbaar;</w:t>
      </w:r>
    </w:p>
    <w:p>
      <w:pPr>
        <w:pStyle w:val="Compact"/>
        <w:numPr>
          <w:ilvl w:val="0"/>
          <w:numId w:val="1002"/>
        </w:numPr>
      </w:pPr>
      <w:r>
        <w:rPr>
          <w:lang w:val="nl-NL"/>
        </w:rPr>
        <w:t xml:space="preserve">standaard geen aanmaak van een permanent stemprofiel;</w:t>
      </w:r>
    </w:p>
    <w:p>
      <w:pPr>
        <w:pStyle w:val="Compact"/>
        <w:numPr>
          <w:ilvl w:val="0"/>
          <w:numId w:val="1002"/>
        </w:numPr>
      </w:pPr>
      <w:r>
        <w:rPr>
          <w:lang w:val="nl-NL"/>
        </w:rPr>
        <w:t xml:space="preserve">berekening van steminbedding tijdelijk in RAM wanneer technisch mogelijk;</w:t>
      </w:r>
    </w:p>
    <w:p>
      <w:pPr>
        <w:pStyle w:val="Compact"/>
        <w:numPr>
          <w:ilvl w:val="0"/>
          <w:numId w:val="1002"/>
        </w:numPr>
      </w:pPr>
      <w:r>
        <w:rPr>
          <w:lang w:val="nl-NL"/>
        </w:rPr>
        <w:t xml:space="preserve">gebruik van tijdelijke ruimtes van het type </w:t>
      </w:r>
      <w:r>
        <w:rPr>
          <w:lang w:val="nl-NL"/>
        </w:rPr>
        <w:t xml:space="preserve"/>
      </w:r>
      <w:r>
        <w:rPr>
          <w:rStyle w:val="VerbatimChar"/>
          <w:lang w:val="nl-NL"/>
        </w:rPr>
        <w:t xml:space="preserve">tmpfs</w:t>
      </w:r>
      <w:r>
        <w:rPr>
          <w:lang w:val="nl-NL"/>
        </w:rPr>
        <w:t xml:space="preserve"> </w:t>
      </w:r>
      <w:r>
        <w:rPr>
          <w:lang w:val="nl-NL"/>
        </w:rPr>
        <w:t xml:space="preserve">wanneer de omgeving dit toelaat;</w:t>
      </w:r>
    </w:p>
    <w:p>
      <w:pPr>
        <w:pStyle w:val="Compact"/>
        <w:numPr>
          <w:ilvl w:val="0"/>
          <w:numId w:val="1002"/>
        </w:numPr>
      </w:pPr>
      <w:r>
        <w:rPr>
          <w:lang w:val="nl-NL"/>
        </w:rPr>
        <w:t xml:space="preserve">deactivering van de swap voor de betrokken workers wanneer de omgeving dit toelaat en wanneer deze maatregel verenigbaar is met de stabiliteit van de infrastructuur;</w:t>
      </w:r>
    </w:p>
    <w:p>
      <w:pPr>
        <w:pStyle w:val="Compact"/>
        <w:numPr>
          <w:ilvl w:val="0"/>
          <w:numId w:val="1002"/>
        </w:numPr>
      </w:pPr>
      <w:r>
        <w:rPr>
          <w:lang w:val="nl-NL"/>
        </w:rPr>
        <w:t xml:space="preserve">verwijdering van tijdelijke bestanden en insluitingen aan het einde van het verzoek;</w:t>
      </w:r>
    </w:p>
    <w:p>
      <w:pPr>
        <w:pStyle w:val="Compact"/>
        <w:numPr>
          <w:ilvl w:val="0"/>
          <w:numId w:val="1002"/>
        </w:numPr>
      </w:pPr>
      <w:r>
        <w:rPr>
          <w:lang w:val="nl-NL"/>
        </w:rPr>
        <w:t xml:space="preserve">opschonen in einde-verwerkingsblokken, inclusief toepassingsmechanismen van het type </w:t>
      </w:r>
      <w:r>
        <w:rPr>
          <w:lang w:val="nl-NL"/>
        </w:rPr>
        <w:t xml:space="preserve"/>
      </w:r>
      <w:r>
        <w:rPr>
          <w:rStyle w:val="VerbatimChar"/>
          <w:lang w:val="nl-NL"/>
        </w:rPr>
        <w:t xml:space="preserve">finally</w:t>
      </w:r>
      <w:r>
        <w:rPr>
          <w:lang w:val="nl-NL"/>
        </w:rPr>
        <w:t xml:space="preserve">;</w:t>
      </w:r>
      <w:r>
        <w:rPr>
          <w:lang w:val="nl-NL"/>
        </w:rPr>
        <w:t xml:space="preserve"/>
      </w:r>
    </w:p>
    <w:p>
      <w:pPr>
        <w:pStyle w:val="Compact"/>
        <w:numPr>
          <w:ilvl w:val="0"/>
          <w:numId w:val="1002"/>
        </w:numPr>
      </w:pPr>
      <w:r>
        <w:rPr>
          <w:lang w:val="nl-NL"/>
        </w:rPr>
        <w:t xml:space="preserve">geen gebruik van stemembeddings om eigen modellen van OHADJA te trainen;</w:t>
      </w:r>
    </w:p>
    <w:p>
      <w:pPr>
        <w:pStyle w:val="Compact"/>
        <w:numPr>
          <w:ilvl w:val="0"/>
          <w:numId w:val="1002"/>
        </w:numPr>
      </w:pPr>
      <w:r>
        <w:rPr>
          <w:lang w:val="nl-NL"/>
        </w:rPr>
        <w:t xml:space="preserve">verplichte menselijke validatie van suggesties vóór definitieve toekenning van de naam van een spreker;</w:t>
      </w:r>
    </w:p>
    <w:p>
      <w:pPr>
        <w:pStyle w:val="Compact"/>
        <w:numPr>
          <w:ilvl w:val="0"/>
          <w:numId w:val="1002"/>
        </w:numPr>
      </w:pPr>
      <w:r>
        <w:rPr>
          <w:lang w:val="nl-NL"/>
        </w:rPr>
        <w:t xml:space="preserve">loggen beperkt tot noodzakelijke technische gebeurtenissen;</w:t>
      </w:r>
    </w:p>
    <w:p>
      <w:pPr>
        <w:pStyle w:val="Compact"/>
        <w:numPr>
          <w:ilvl w:val="0"/>
          <w:numId w:val="1002"/>
        </w:numPr>
      </w:pPr>
      <w:r>
        <w:rPr>
          <w:lang w:val="nl-NL"/>
        </w:rPr>
        <w:t xml:space="preserve">het opschonen of verkleinen van logbestanden om het vastleggen van onnodige vingerafdrukken, vectoren of stemfragmenten te voorkomen;</w:t>
      </w:r>
    </w:p>
    <w:p>
      <w:pPr>
        <w:pStyle w:val="Compact"/>
        <w:numPr>
          <w:ilvl w:val="0"/>
          <w:numId w:val="1002"/>
        </w:numPr>
      </w:pPr>
      <w:r>
        <w:rPr>
          <w:lang w:val="nl-NL"/>
        </w:rPr>
        <w:t xml:space="preserve">scheiding van verwerking door huurder;</w:t>
      </w:r>
    </w:p>
    <w:p>
      <w:pPr>
        <w:pStyle w:val="Compact"/>
        <w:numPr>
          <w:ilvl w:val="0"/>
          <w:numId w:val="1002"/>
        </w:numPr>
      </w:pPr>
      <w:r>
        <w:rPr>
          <w:lang w:val="nl-NL"/>
        </w:rPr>
        <w:t xml:space="preserve">beperking van de toegang tot workers en technische uitgangen;</w:t>
      </w:r>
    </w:p>
    <w:p>
      <w:pPr>
        <w:pStyle w:val="Compact"/>
        <w:numPr>
          <w:ilvl w:val="0"/>
          <w:numId w:val="1002"/>
        </w:numPr>
      </w:pPr>
      <w:r>
        <w:rPr>
          <w:lang w:val="nl-NL"/>
        </w:rPr>
        <w:t xml:space="preserve">mogelijkheid om de functionaliteit te deactiveren op verzoek van de Klant of door contractuele configuratie;</w:t>
      </w:r>
    </w:p>
    <w:p>
      <w:pPr>
        <w:pStyle w:val="Compact"/>
        <w:numPr>
          <w:ilvl w:val="0"/>
          <w:numId w:val="1002"/>
        </w:numPr>
      </w:pPr>
      <w:r>
        <w:rPr>
          <w:lang w:val="nl-NL"/>
        </w:rPr>
        <w:t xml:space="preserve">selectie van GPU-bronnen die zich in de Europese Unie of de Europese Economische Ruimte bevinden, indien nodig.</w:t>
      </w:r>
    </w:p>
    <w:bookmarkEnd w:id="48"/>
    <w:bookmarkStart w:id="49" w:name="X8d3f7f3be17794b9be1f1d0b8843374971aee37"/>
    <w:p>
      <w:pPr>
        <w:pStyle w:val="Heading3"/>
        <w:keepNext/>
        <w:keepLines/>
      </w:pPr>
      <w:r>
        <w:rPr>
          <w:color w:val="000000"/>
          <w:lang w:val="nl-NL"/>
        </w:rPr>
        <w:t xml:space="preserve">10. Opleiding en interne vertrouwelijkheid</w:t>
      </w:r>
    </w:p>
    <w:p>
      <w:pPr>
        <w:pStyle w:val="FirstParagraph"/>
      </w:pPr>
      <w:r>
        <w:rPr>
          <w:lang w:val="nl-NL"/>
        </w:rPr>
        <w:t xml:space="preserve">OHADJA maakt mensen die bevoegd zijn om in te grijpen op de Dienst bewust van de verplichtingen op het gebied van vertrouwelijkheid, veiligheid, gegevensbescherming en naleving van de instructies van de Klant.</w:t>
      </w:r>
    </w:p>
    <w:p>
      <w:pPr>
        <w:pStyle w:val="BodyText"/>
      </w:pPr>
      <w:r>
        <w:rPr>
          <w:lang w:val="nl-NL"/>
        </w:rPr>
        <w:t xml:space="preserve">Personen die toegang hebben tot de Gegevens zijn onderworpen aan een contractuele of wettelijke geheimhoudingsplicht.</w:t>
      </w:r>
    </w:p>
    <w:bookmarkEnd w:id="49"/>
    <w:bookmarkStart w:id="50" w:name="X408cde0b55e26358c4723208033e77fa9ba1b3e"/>
    <w:p>
      <w:pPr>
        <w:pStyle w:val="Heading3"/>
        <w:keepNext/>
        <w:keepLines/>
      </w:pPr>
      <w:r>
        <w:rPr>
          <w:color w:val="000000"/>
          <w:lang w:val="nl-NL"/>
        </w:rPr>
        <w:t xml:space="preserve">11. Testen, monitoren en verbeteren van technische en organisatorische maatregelen</w:t>
      </w:r>
    </w:p>
    <w:p>
      <w:pPr>
        <w:pStyle w:val="FirstParagraph"/>
      </w:pPr>
      <w:r>
        <w:rPr>
          <w:lang w:val="nl-NL"/>
        </w:rPr>
        <w:t xml:space="preserve">OHADJA implementeert een redelijke procedure om regelmatig de effectiviteit van technische en organisatorische maatregelen te testen, analyseren en evalueren, in overeenstemming met artikel 32.1.d van AVG.</w:t>
      </w:r>
    </w:p>
    <w:p>
      <w:pPr>
        <w:pStyle w:val="BodyText"/>
      </w:pPr>
      <w:r>
        <w:rPr>
          <w:lang w:val="nl-NL"/>
        </w:rPr>
        <w:t xml:space="preserve">Deze procedure kan configuratiebeoordelingen, toegangscontroles, foutopsporing, incidentanalyse, hersteltests, afhankelijkheidsbeoordelingen, oplossingen voor kwetsbaarheden en voortdurende verbetering van beveiligingsmaatregelen omvatten.</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bookmarkEnd w:id="50"/>
    <w:bookmarkEnd w:id="51"/>
    <w:bookmarkEnd w:id="52"/>
    <w:p>
      <w:pPr>
        <w:pStyle w:val="Heading1"/>
        <w:pageBreakBefore/>
        <w:keepNext/>
        <w:keepLines/>
      </w:pPr>
      <w:r>
        <w:rPr>
          <w:lang w:val="nl-NL"/>
          <w:color w:val="000000"/>
        </w:rPr>
        <w:t xml:space="preserve">Bijlage over nationale implementatieregels</w:t>
      </w:r>
    </w:p>
    <w:p>
      <w:pPr>
        <w:pStyle w:val="Heading2"/>
        <w:keepNext/>
        <w:keepLines/>
      </w:pPr>
      <w:r>
        <w:rPr>
          <w:lang w:val="nl-NL"/>
          <w:color w:val="000000"/>
        </w:rPr>
        <w:t xml:space="preserve">Reikwijdte van deze bijlage</w:t>
      </w:r>
    </w:p>
    <w:p>
      <w:pPr>
        <w:pStyle w:val="BodyText"/>
      </w:pPr>
      <w:r>
        <w:rPr>
          <w:lang w:val="nl-NL"/>
        </w:rPr>
        <w:t xml:space="preserve">Deze editie behandelt het AVG-kader van de Europese Unie en de onderstaande implementatiepunten voor Frankrijk, Ierland, Nederland, Spanje en Portugal. De toelichtingen moeten worden gelezen in het licht van het feitelijke land en gebruik van de Klant, ongeacht de taal van het document. Zij vullen de projectdocumenten aan zonder automatisch de identiteit van partijen, het gekozen Franse recht of de aangewezen rechtbanken te wijzigen. Toepasselijke dwingende regels blijven voorbehouden. Franse nationale verwijzingen in de hoofdtekst blijven als zodanig herkenbaar; zij vormen geen buitenlandse equivalenten.</w:t>
      </w:r>
    </w:p>
    <w:p>
      <w:pPr>
        <w:pStyle w:val="Heading2"/>
        <w:keepNext/>
        <w:keepLines/>
      </w:pPr>
      <w:r>
        <w:rPr>
          <w:lang w:val="nl-NL"/>
          <w:color w:val="000000"/>
        </w:rPr>
        <w:t xml:space="preserve">Europees kader te documenteren vóór ingebruikname</w:t>
      </w:r>
    </w:p>
    <w:p>
      <w:pPr>
        <w:pStyle w:val="BodyText"/>
      </w:pPr>
      <w:r>
        <w:rPr>
          <w:lang w:val="nl-NL"/>
        </w:rPr>
        <w:t xml:space="preserve">De Klant moet het doel, de noodzaak, de evenredigheid en de rechtsgrond van elke opname en verwerking bepalen; personen vóór de verzameling informeren; ontvangers, bewaartermijnen en mogelijkheden voor het uitoefenen van rechten vastleggen; en voor aan een verwerker toevertrouwde handelingen een overeenkomst sluiten die aan artikel 28 voldoet. Alleen informeren, raadplegen of menselijke validatie maakt een verwerking niet rechtmatig. Toestemming van werknemers moet voorzichtig worden beoordeeld gezien de ongelijke verhouding tot de werkgever.</w:t>
      </w:r>
    </w:p>
    <w:p>
      <w:pPr>
        <w:pStyle w:val="BodyText"/>
      </w:pPr>
      <w:r>
        <w:rPr>
          <w:lang w:val="nl-NL"/>
        </w:rPr>
        <w:t xml:space="preserve">Bij verwerking van bijzondere categorieën gegevens moet naast de grondslag van artikel 6 een toepasselijke voorwaarde van artikel 9 worden vastgesteld. Stemvergelijking voor unieke identificatie moet op biometrische aspecten worden beoordeeld, ook zonder blijvend sjabloon. Vóór verwerkingen die waarschijnlijk een hoog risico opleveren, moet een effectbeoordeling worden uitgevoerd; de regels voor voorafgaande raadpleging van de autoriteit blijven gelden wanneer aan de voorwaarden van artikel 36 is voldaan. Lokale hosting of een addendum ontslaat niet van deze beoordeling.</w:t>
      </w:r>
    </w:p>
    <w:p>
      <w:pPr>
        <w:pStyle w:val="BodyText"/>
      </w:pPr>
      <w:r>
        <w:rPr>
          <w:lang w:val="nl-NL"/>
        </w:rPr>
        <w:t xml:space="preserve">De bevoegde autoriteit wordt bepaald door de AVG-regels, met name bij grensoverschrijdende verwerking; zij hangt niet af van de gekozen taal. De verwerker waarschuwt de Klant zonder onredelijke vertraging. De verwerkingsverantwoordelijke meldt de inbreuk aan de bevoegde autoriteit onder de voorwaarden van artikel 33, waar mogelijk binnen 72 uur na kennisneming, tenzij deze waarschijnlijk geen risico voor rechten en vrijheden oplevert. Voor mededeling aan personen gelden de voorwaarden van artikel 34.</w:t>
      </w:r>
    </w:p>
    <w:p>
      <w:pPr>
        <w:pStyle w:val="BodyText"/>
      </w:pPr>
      <w:r>
        <w:rPr>
          <w:lang w:val="nl-NL"/>
        </w:rPr>
        <w:t xml:space="preserve">Europese bronnen https://eur-lex.europa.eu/eli/reg/2016/679/oj en https://www.edpb.europa.eu/documents/guideline/guidelines-052020-on-consent-under-regulation-2016679_en</w:t>
      </w:r>
    </w:p>
    <w:p>
      <w:pPr>
        <w:pStyle w:val="Heading2"/>
        <w:keepNext/>
        <w:keepLines/>
      </w:pPr>
      <w:r>
        <w:rPr>
          <w:lang w:val="nl-NL"/>
          <w:color w:val="000000"/>
        </w:rPr>
        <w:t xml:space="preserve">Frankrijk</w:t>
      </w:r>
    </w:p>
    <w:p>
      <w:pPr>
        <w:pStyle w:val="BodyText"/>
      </w:pPr>
      <w:r>
        <w:rPr>
          <w:lang w:val="nl-NL"/>
        </w:rPr>
        <w:t xml:space="preserve">Bepaal voor implementatie in Frankrijk de verplichtingen voor informatie aan werknemers en voorafgaande raadpleging van de CSE op basis van het systeem, de personeelsomvang en het toepasselijke wettelijke bereik. De Franse Code du travail betreft onder meer technieken die controle van activiteiten mogelijk maken, ook als het product als schrijfondersteuning wordt gepresenteerd. Informatie en raadpleging vervangen niet de beoordeling van rechtmatigheid, noodzaak en evenredigheid, noch de regels voor privégesprekken, gevoelige gegevens en vertrouwelijkheid. De CNIL is de nationale toezichthouder, onder voorbehoud van de bevoegdheidsregels van de AVG.</w:t>
      </w:r>
    </w:p>
    <w:p>
      <w:pPr>
        <w:pStyle w:val="BodyText"/>
      </w:pPr>
      <w:r>
        <w:rPr>
          <w:lang w:val="nl-NL"/>
        </w:rPr>
        <w:t xml:space="preserve">Franse bronnen Code du travail, artikelen L1222-4 en L2312-38 https://www.legifrance.gouv.fr/codes/article_lc/LEGIARTI000006900861 en https://www.legifrance.gouv.fr/codes/section_lc/LEGITEXT000006072050/LEGISCTA000035610273/</w:t>
      </w:r>
    </w:p>
    <w:p>
      <w:pPr>
        <w:pStyle w:val="Heading2"/>
        <w:keepNext/>
        <w:keepLines/>
      </w:pPr>
      <w:r>
        <w:rPr>
          <w:lang w:val="nl-NL"/>
          <w:color w:val="000000"/>
        </w:rPr>
        <w:t xml:space="preserve">Ierland</w:t>
      </w:r>
    </w:p>
    <w:p>
      <w:pPr>
        <w:pStyle w:val="BodyText"/>
      </w:pPr>
      <w:r>
        <w:rPr>
          <w:lang w:val="nl-NL"/>
        </w:rPr>
        <w:t xml:space="preserve">Pas voor implementatie in Ierland de AVG en het nationale kader toe; documenteer de rechtsgrond en informeer deelnemers vóór de opname. Onderzoek de informatie- en raadplegingsverplichtingen jegens werknemers op basis van het toepassingsgebied, de personeelsomvang, collectieve overeenkomsten en bestaande regelingen. Het Ierse stelsel is niet hetzelfde als de Franse CSE en legt niet iedere werkgever een identieke raadpleging op. De Data Protection Commission is de nationale toezichthouder, onder voorbehoud van de grensoverschrijdende bevoegdheidsregels.</w:t>
      </w:r>
    </w:p>
    <w:p>
      <w:pPr>
        <w:pStyle w:val="BodyText"/>
      </w:pPr>
      <w:r>
        <w:rPr>
          <w:lang w:val="nl-NL"/>
        </w:rPr>
        <w:t xml:space="preserve">Ierse bronnen https://www.dataprotection.ie/en/dpc-guidance/video-recording en Employees (Provision of Information and Consultation) Act 2006 https://www.irishstatutebook.ie/eli/2006/act/9/enacted/en/print</w:t>
      </w:r>
    </w:p>
    <w:p>
      <w:pPr>
        <w:pStyle w:val="Heading2"/>
        <w:keepNext/>
        <w:keepLines/>
      </w:pPr>
      <w:r>
        <w:rPr>
          <w:lang w:val="nl-NL"/>
          <w:color w:val="000000"/>
        </w:rPr>
        <w:t xml:space="preserve">Nederland</w:t>
      </w:r>
    </w:p>
    <w:p>
      <w:pPr>
        <w:pStyle w:val="BodyText"/>
      </w:pPr>
      <w:r>
        <w:rPr>
          <w:lang w:val="nl-NL"/>
        </w:rPr>
        <w:t xml:space="preserve">Onderzoek voor implementatie in Nederland de bevoegdheden van de ondernemingsraad of OR. Een systeem waarmee aanwezigheid, gedrag of prestaties kunnen worden gevolgd, kan onder zijn voorafgaande instemmingsrecht op grond van de Wet op de ondernemingsraden vallen, ook als het nog niet voor dat doel wordt gebruikt. Instemming van de OR vervangt noch de rechtsgrond voor de verwerking, noch de voorwaarden voor biometrie en gevoelige gegevens. De Autoriteit Persoonsgegevens is de nationale toezichthouder, onder voorbehoud van de bevoegdheidsregels van de AVG.</w:t>
      </w:r>
    </w:p>
    <w:p>
      <w:pPr>
        <w:pStyle w:val="BodyText"/>
      </w:pPr>
      <w:r>
        <w:rPr>
          <w:lang w:val="nl-NL"/>
        </w:rPr>
        <w:t xml:space="preserve">Nederlandse bron Autoriteit Persoonsgegevens https://autoriteitpersoonsgegevens.nl/en/themes/employment-and-benefits/works-council/the-works-council-and-staff-tracking-systems</w:t>
      </w:r>
    </w:p>
    <w:p>
      <w:pPr>
        <w:pStyle w:val="Heading2"/>
        <w:keepNext/>
        <w:keepLines/>
      </w:pPr>
      <w:r>
        <w:rPr>
          <w:lang w:val="nl-NL"/>
          <w:color w:val="000000"/>
        </w:rPr>
        <w:t xml:space="preserve">Spanje</w:t>
      </w:r>
    </w:p>
    <w:p>
      <w:pPr>
        <w:pStyle w:val="BodyText"/>
      </w:pPr>
      <w:r>
        <w:rPr>
          <w:lang w:val="nl-NL"/>
        </w:rPr>
        <w:t xml:space="preserve">Maak voor implementatie in Spanje onderscheid tussen transcriptie van vergaderingen en het gebruik van systemen voor geluidsbewaking. Binnen de reikwijdte van artikel 89 van Ley Orgánica 3/2018 is geluidsopname op de werkplek strikt beperkt tot bepaalde veiligheidsrisico’s, met evenredigheid, minimale inbreuk en waarborgen; rustruimten zijn beschermd. Onderzoek de informatie- en raadplegingsrechten van vertegenwoordigers en toepasselijke overeenkomsten. Deze bepalingen mogen niet zonder beoordeling op elke incidentele vergadering worden toegepast; instemming van deelnemers vormt geen algemene toestemming. Bepaal afhankelijk van de verwerking of de AEPD of een regionale autoriteit bevoegd is.</w:t>
      </w:r>
    </w:p>
    <w:p>
      <w:pPr>
        <w:pStyle w:val="BodyText"/>
      </w:pPr>
      <w:r>
        <w:rPr>
          <w:lang w:val="nl-NL"/>
        </w:rPr>
        <w:t xml:space="preserve">Spaanse bronnen Ley Orgánica 3/2018, artikel 89 https://www.boe.es/buscar/act.php?id=BOE-A-2018-16673#a89 en Estatuto de los Trabajadores, artikel 64 https://www.boe.es/buscar/act.php?id=BOE-A-2015-11430#a64</w:t>
      </w:r>
    </w:p>
    <w:p>
      <w:pPr>
        <w:pStyle w:val="Heading2"/>
        <w:keepNext/>
        <w:keepLines/>
      </w:pPr>
      <w:r>
        <w:rPr>
          <w:lang w:val="nl-NL"/>
          <w:color w:val="000000"/>
        </w:rPr>
        <w:t xml:space="preserve">Portugal</w:t>
      </w:r>
    </w:p>
    <w:p>
      <w:pPr>
        <w:pStyle w:val="BodyText"/>
      </w:pPr>
      <w:r>
        <w:rPr>
          <w:lang w:val="nl-NL"/>
        </w:rPr>
        <w:t xml:space="preserve">Onderzoek voor implementatie in Portugal de Código do Trabalho, Lei 58/2019 en de regels voor het concrete systeem. Toezicht op afstand met als doel controle van de beroepsprestaties is verboden. Geluidsregistratie binnen een videobewakingssysteem is aan specifieke beperkingen onderworpen; dit betekent niet dat elke opname van een vergadering verboden is, noch dat deze altijd is toegestaan. Bepaal vóór ingebruikname de verplichtingen jegens werknemers en hun vertegenwoordigers. De Comissão Nacional de Proteção de Dados is de nationale toezichthouder, onder voorbehoud van de bevoegdheidsregels van de AVG.</w:t>
      </w:r>
    </w:p>
    <w:p>
      <w:pPr>
        <w:pStyle w:val="BodyText"/>
      </w:pPr>
      <w:r>
        <w:rPr>
          <w:lang w:val="nl-NL"/>
        </w:rPr>
        <w:t xml:space="preserve">Portugese bronnen Código do Trabalho, artikelen 20 en 21 https://diariodarepublica.pt/dr/legislacao-consolidada/lei/2009-34546475-211441911 en CNPD https://www.cnpd.pt/organizacoes/areas-tematicas/videovigilancia/</w:t>
      </w:r>
    </w:p>
    <w:p>
      <w:pPr>
        <w:pStyle w:val="Heading2"/>
        <w:keepNext/>
        <w:keepLines/>
      </w:pPr>
      <w:r>
        <w:rPr>
          <w:lang w:val="nl-NL"/>
          <w:color w:val="000000"/>
        </w:rPr>
        <w:t xml:space="preserve">Franse kaders en projecttoezeggingen</w:t>
      </w:r>
    </w:p>
    <w:p>
      <w:pPr>
        <w:pStyle w:val="BodyText"/>
      </w:pPr>
      <w:r>
        <w:rPr>
          <w:lang w:val="nl-NL"/>
        </w:rPr>
        <w:t xml:space="preserve">De termen CSE, CGCT, HDS, SecNumCloud, ANSSI en RGAA verwijzen naar Franse instanties, regels of kaders. Zij bewijzen noch certificering van TranscribIA, noch automatische naleving van een buitenlands kader. Bedragen en betalingsregelingen in de verkoopvoorwaarden, waaronder de verwijzing naar de Franse Code de commerce, moeten worden afgestemd op het gekozen recht, de hoedanigheid van de Klant en toepasselijke dwingende regels; zij mogen niet worden gepresenteerd als omzettingen van elk nationaal recht. Regelingen voor overheidsopdrachten, consumenten en gereguleerde sectoren moeten waar relevant afzonderlijk worden uitgewerkt.</w:t>
      </w:r>
    </w:p>
    <w:p>
      <w:pPr>
        <w:pStyle w:val="BodyText"/>
      </w:pPr>
      <w:r>
        <w:rPr>
          <w:lang w:val="nl-NL"/>
        </w:rPr>
        <w:t xml:space="preserve">Vul vóór ondertekening de projectbijlagen in en controleer deze wat betreft partijen, SaaS- of on-premiseconfiguratie, verwerkings- en toegangslocaties, subverwerkers, doorgiften, feitelijke beveiligingsmaatregelen, bewaring en serviceniveaus. Deze bijlage stelt niet vast dat een technische maatregel al is ingevoerd en vervangt geen overeengekomen specifieke toezeggingen. Britse en Belgische stelsels en andere landen vallen niet onder deze nationale toelichtingen; zij vereisen een afzonderlijke aanpassing.</w:t>
      </w:r>
    </w:p>
    <w:p>
      <w:pPr>
        <w:pStyle w:val="BodyText"/>
      </w:pPr>
      <w:r>
        <w:rPr>
          <w:lang w:val="nl-NL"/>
        </w:rPr>
        <w:t xml:space="preserve">Schermafbeeldingen en voorbeelden uit de applicatie kunnen in het Frans blijven. Toelichtingen en documentbijschriften worden vertaald; opdrachten, bestandsnamen, technische identificatoren en documentverwijzingen moeten exact behouden blijven.</w:t>
      </w:r>
    </w:p>
    <w:p>
      <w:pPr>
        <w:pStyle w:val="Heading1"/>
        <w:keepNext/>
        <w:keepLines/>
      </w:pPr>
      <w:r>
        <w:rPr>
          <w:lang w:val="nl-NL"/>
          <w:color w:val="000000"/>
        </w:rPr>
        <w:t>Geschiedenis van deze editie</w:t>
      </w:r>
    </w:p>
    <w:p>
      <w:pPr>
        <w:pStyle w:val="BodyText"/>
      </w:pPr>
      <w:r>
        <w:rPr>
          <w:lang w:val="nl-NL"/>
        </w:rPr>
        <w:t>1.2-draft — 2026-10-17</w:t>
      </w:r>
    </w:p>
    <w:p>
      <w:pPr>
        <w:pStyle w:val="BodyText"/>
      </w:pPr>
      <w:r>
        <w:rPr>
          <w:lang w:val="nl-NL"/>
        </w:rPr>
        <w:t>Meertalige editie en documentcorrecties. Eerdere versies en hun datums blijven behouden. De Franse tekst is doorslaggevend; vertalingen vergemakkelijken het lezen en wijzigen de partijen of het toepasselijke recht niet.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nl-NL"/>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