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png" ContentType="image/png"/>
  <Override PartName="/word/media/rId7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d016d8dcf8a6157758ba28e359e61c058e847f"/>
    <w:p>
      <w:pPr>
        <w:pStyle w:val="Title"/>
        <w:keepNext/>
        <w:keepLines/>
      </w:pPr>
      <w:r>
        <w:rPr>
          <w:color w:val="000000"/>
          <w:lang w:val="nl-NL"/>
        </w:rPr>
        <w:t xml:space="preserve">TranscribIA — AVG verzameling en gegevensbescherming</w:t>
      </w:r>
    </w:p>
    <w:p>
      <w:pPr>
        <w:pStyle w:val="BodyText"/>
      </w:pPr>
      <w:r>
        <w:rPr>
          <w:lang w:val="nl-NL"/>
        </w:rPr>
        <w:t xml:space="preserve">Gelokaliseerde editie v1.1 — 2026-10-17</w:t>
      </w:r>
    </w:p>
    <w:p>
      <w:pPr>
        <w:pStyle w:val="BodyText"/>
      </w:pPr>
      <w:r>
        <w:rPr>
          <w:lang w:val="nl-NL"/>
        </w:rPr>
        <w:t xml:space="preserve">De Franse tekst is doorslaggevend. Deze editie behandelt Frankrijk, Ierland, Nederland, Spanje en Portugal. De taal bepaalt niet het land van implementatie, de partijen of het toepasselijke recht. Lees de nationale bijlage aan het einde van dit document voor het werkelijke land en gebruik.</w:t>
      </w:r>
    </w:p>
    <w:p>
      <w:pPr>
        <w:pStyle w:val="FirstParagraph"/>
      </w:pPr>
      <w:r>
        <w:rPr>
          <w:b/>
          <w:bCs/>
          <w:lang w:val="nl-NL"/>
        </w:rPr>
        <w:t xml:space="preserve">Uitgever: OHADJA </w:t>
      </w:r>
      <w:r>
        <w:rPr>
          <w:lang w:val="nl-NL"/>
        </w:rPr>
        <w:t xml:space="preserve"/>
      </w:r>
      <w:r>
        <w:rPr>
          <w:lang w:val="nl-NL"/>
        </w:rPr>
        <w:t xml:space="preserve">— SAS, 992 146 480 R.C.S. Parijs, 60 rue François Ier, 75008 Parijs · Contactpersoon voor gegevensbescherming: </w:t>
      </w:r>
      <w:r>
        <w:rPr>
          <w:lang w:val="nl-NL"/>
        </w:rPr>
        <w:t xml:space="preserve"/>
      </w:r>
      <w:hyperlink r:id="rId9">
        <w:r>
          <w:rPr>
            <w:rStyle w:val="Hyperlink"/>
            <w:lang w:val="nl-NL"/>
          </w:rPr>
          <w:t xml:space="preserve">privacy@transcribia.eu</w:t>
        </w:r>
      </w:hyperlink>
    </w:p>
    <w:p>
      <w:pPr>
        <w:pStyle w:val="BodyText"/>
      </w:pPr>
      <w:r>
        <w:rPr>
          <w:i/>
          <w:iCs/>
          <w:lang w:val="nl-NL"/>
        </w:rPr>
        <w:t xml:space="preserve">Collectie versie 1.0 van 25-07-2026 — Openbaar. Op verzoek is elk hoofdstuk ook als afzonderlijk document verkrijgbaar.</w:t>
      </w:r>
    </w:p>
    <w:p>
      <w:r>
        <w:br w:type="page"/>
      </w:r>
    </w:p>
    <w:bookmarkEnd w:id="10"/>
    <w:bookmarkStart w:id="26" w:name="fiche-de-conformité-rgpd--transcribia"/>
    <w:p>
      <w:pPr>
        <w:pStyle w:val="Heading1"/>
        <w:keepNext/>
        <w:keepLines/>
      </w:pPr>
      <w:r>
        <w:rPr>
          <w:color w:val="000000"/>
          <w:lang w:val="nl-NL"/>
        </w:rPr>
        <w:t xml:space="preserve">Conformiteitsblad AVG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TRB-CONF-01.01</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11" w:name="Xc917c513d777cae8fbc2f368313a6eca76788e1"/>
    <w:p>
      <w:pPr>
        <w:pStyle w:val="Heading2"/>
        <w:keepNext/>
        <w:keepLines/>
      </w:pPr>
      <w:r>
        <w:rPr>
          <w:color w:val="000000"/>
          <w:lang w:val="nl-NL"/>
        </w:rPr>
        <w:t xml:space="preserve">1. Doel en reikwijdte van het document</w:t>
      </w:r>
    </w:p>
    <w:p>
      <w:pPr>
        <w:pStyle w:val="FirstParagraph"/>
      </w:pPr>
      <w:r>
        <w:rPr>
          <w:lang w:val="nl-NL"/>
        </w:rPr>
        <w:t xml:space="preserve">Dit blad beschrijft hoe de TranscribIA-oplossing, uitgegeven en beheerd door OHADJA, is ontworpen om uw organisatie in staat te stellen een intelligente audiotranscriptieservice te gebruiken in overeenstemming met Verordening (EU) 2016/679 (hierna “AVG”) en Wet nr. 78-17 van 6 januari 1978 gewijzigd.</w:t>
      </w:r>
    </w:p>
    <w:p>
      <w:pPr>
        <w:pStyle w:val="BodyText"/>
      </w:pPr>
      <w:r>
        <w:rPr>
          <w:lang w:val="nl-NL"/>
        </w:rPr>
        <w:t xml:space="preserve">Voor uw bedrijfsleiding, IT-afdeling, beveiligingsverantwoordelijke en contactpersoon gegevensbescherming vat het de nalevingsinformatie voor de beoordeling vóór contractsluiting samen: rollen van partijen, verwerkte gegevens, rechtsgronden, uitoefening van rechten, beveiligingsmaatregelen, subverwerkers, gegevenslocaties en beheer van inbreuken.</w:t>
      </w:r>
    </w:p>
    <w:p>
      <w:pPr>
        <w:pStyle w:val="BodyText"/>
      </w:pPr>
      <w:r>
        <w:rPr>
          <w:lang w:val="nl-NL"/>
        </w:rPr>
        <w:t xml:space="preserve">Het vervangt geen contractdocumenten. Juridisch afdwingbare toezeggingen staan in de Verwerkersovereenkomst op grond van artikel 28 AVG (de “DPA”), opgenomen in document TRB-CONF-01.02. De bijlagen daarvan zijn leidend voor de gedetailleerde verwerkingsbeschrijving, lijst van subverwerkers en technische en organisatorische maatregelen.</w:t>
      </w:r>
    </w:p>
    <w:bookmarkEnd w:id="11"/>
    <w:bookmarkStart w:id="12" w:name="X7385a4187a8980a6e5daf7ab4330baa13b2ad55"/>
    <w:p>
      <w:pPr>
        <w:pStyle w:val="Heading2"/>
        <w:keepNext/>
        <w:keepLines/>
      </w:pPr>
      <w:r>
        <w:rPr>
          <w:color w:val="000000"/>
          <w:lang w:val="nl-NL"/>
        </w:rPr>
        <w:t xml:space="preserve">2. Identiteit van verwerker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Naamgeving</w:t>
            </w:r>
          </w:p>
        </w:tc>
        <w:tc>
          <w:tcPr/>
          <w:p>
            <w:pPr>
              <w:pStyle w:val="Compact"/>
            </w:pPr>
            <w:r>
              <w:rPr>
                <w:lang w:val="nl-NL"/>
              </w:rPr>
              <w:t xml:space="preserve">OHADJA</w:t>
            </w:r>
          </w:p>
        </w:tc>
      </w:tr>
      <w:tr>
        <w:trPr>
          <w:cantSplit/>
        </w:trPr>
        <w:tc>
          <w:tcPr/>
          <w:p>
            <w:pPr>
              <w:pStyle w:val="Compact"/>
            </w:pPr>
            <w:r>
              <w:rPr>
                <w:lang w:val="nl-NL"/>
              </w:rPr>
              <w:t xml:space="preserve">Juridische vorm</w:t>
            </w:r>
          </w:p>
        </w:tc>
        <w:tc>
          <w:tcPr/>
          <w:p>
            <w:pPr>
              <w:pStyle w:val="Compact"/>
            </w:pPr>
            <w:r>
              <w:rPr>
                <w:lang w:val="nl-NL"/>
              </w:rPr>
              <w:t xml:space="preserve">Franse société par actions simplifiée (SAS), een vereenvoudigde vennootschap op aandelen</w:t>
            </w:r>
          </w:p>
        </w:tc>
      </w:tr>
      <w:tr>
        <w:trPr>
          <w:cantSplit/>
        </w:trPr>
        <w:tc>
          <w:tcPr/>
          <w:p>
            <w:pPr>
              <w:pStyle w:val="Compact"/>
            </w:pPr>
            <w:r>
              <w:rPr>
                <w:lang w:val="nl-NL"/>
              </w:rPr>
              <w:t xml:space="preserve">Intracommunautair BTW-nummer</w:t>
            </w:r>
          </w:p>
        </w:tc>
        <w:tc>
          <w:tcPr/>
          <w:p>
            <w:pPr>
              <w:pStyle w:val="Compact"/>
            </w:pPr>
            <w:r>
              <w:rPr>
                <w:lang w:val="nl-NL"/>
              </w:rPr>
              <w:t xml:space="preserve">FR78992146480</w:t>
            </w:r>
          </w:p>
        </w:tc>
      </w:tr>
      <w:tr>
        <w:trPr>
          <w:cantSplit/>
        </w:trPr>
        <w:tc>
          <w:tcPr/>
          <w:p>
            <w:pPr>
              <w:pStyle w:val="Compact"/>
            </w:pPr>
            <w:r>
              <w:rPr>
                <w:lang w:val="nl-NL"/>
              </w:rPr>
              <w:t xml:space="preserve">Registratie</w:t>
            </w:r>
          </w:p>
        </w:tc>
        <w:tc>
          <w:tcPr/>
          <w:p>
            <w:pPr>
              <w:pStyle w:val="Compact"/>
            </w:pPr>
            <w:r>
              <w:rPr>
                <w:lang w:val="nl-NL"/>
              </w:rPr>
              <w:t xml:space="preserve">992 146 480 RCS Parijs — SIRET van het hoofdkantoor: 992 146 480 00015</w:t>
            </w:r>
          </w:p>
        </w:tc>
      </w:tr>
      <w:tr>
        <w:trPr>
          <w:cantSplit/>
        </w:trPr>
        <w:tc>
          <w:tcPr/>
          <w:p>
            <w:pPr>
              <w:pStyle w:val="Compact"/>
            </w:pPr>
            <w:r>
              <w:rPr>
                <w:lang w:val="nl-NL"/>
              </w:rPr>
              <w:t xml:space="preserve">Hoofdkantoor</w:t>
            </w:r>
          </w:p>
        </w:tc>
        <w:tc>
          <w:tcPr/>
          <w:p>
            <w:pPr>
              <w:pStyle w:val="Compact"/>
            </w:pPr>
            <w:r>
              <w:rPr>
                <w:lang w:val="nl-NL"/>
              </w:rPr>
              <w:t xml:space="preserve">60 rue François 1er, 75008 Parijs, Frankrijk</w:t>
            </w:r>
          </w:p>
        </w:tc>
      </w:tr>
      <w:tr>
        <w:trPr>
          <w:cantSplit/>
        </w:trPr>
        <w:tc>
          <w:tcPr/>
          <w:p>
            <w:pPr>
              <w:pStyle w:val="Compact"/>
            </w:pPr>
            <w:r>
              <w:rPr>
                <w:lang w:val="nl-NL"/>
              </w:rPr>
              <w:t xml:space="preserve">Wettelijke vertegenwoordiger</w:t>
            </w:r>
          </w:p>
        </w:tc>
        <w:tc>
          <w:tcPr/>
          <w:p>
            <w:pPr>
              <w:pStyle w:val="Compact"/>
            </w:pPr>
            <w:r>
              <w:rPr>
                <w:lang w:val="nl-NL"/>
              </w:rPr>
              <w:t xml:space="preserve">Olivier Dupont, voorzitter</w:t>
            </w:r>
          </w:p>
        </w:tc>
      </w:tr>
      <w:tr>
        <w:trPr>
          <w:cantSplit/>
        </w:trPr>
        <w:tc>
          <w:tcPr/>
          <w:p>
            <w:pPr>
              <w:pStyle w:val="Compact"/>
            </w:pPr>
            <w:r>
              <w:rPr>
                <w:lang w:val="nl-NL"/>
              </w:rPr>
              <w:t xml:space="preserve">Rol</w:t>
            </w:r>
          </w:p>
        </w:tc>
        <w:tc>
          <w:tcPr/>
          <w:p>
            <w:pPr>
              <w:pStyle w:val="Compact"/>
            </w:pPr>
            <w:r>
              <w:rPr>
                <w:lang w:val="nl-NL"/>
              </w:rPr>
              <w:t xml:space="preserve">Uitgever en ontwikkelaar van de software TranscribIA en verwerker in de zin van artikel 28 van AVG voor SaaS-bediening, ondersteuning en onderhoud</w:t>
            </w:r>
          </w:p>
        </w:tc>
      </w:tr>
      <w:tr>
        <w:trPr>
          <w:cantSplit/>
        </w:trPr>
        <w:tc>
          <w:tcPr/>
          <w:p>
            <w:pPr>
              <w:pStyle w:val="Compact"/>
            </w:pPr>
            <w:r>
              <w:rPr>
                <w:lang w:val="nl-NL"/>
              </w:rPr>
              <w:t xml:space="preserve">Contactpersoon gegevensbescherming</w:t>
            </w:r>
          </w:p>
        </w:tc>
        <w:tc>
          <w:tcPr/>
          <w:p>
            <w:pPr>
              <w:pStyle w:val="Compact"/>
            </w:pPr>
            <w:r>
              <w:rPr>
                <w:lang w:val="nl-NL"/>
              </w:rPr>
              <w:t xml:space="preserve">Olivier Dupont, voorzitter </w:t>
            </w:r>
            <w:r>
              <w:rPr>
                <w:lang w:val="nl-NL"/>
              </w:rPr>
              <w:t xml:space="preserve">— </w:t>
            </w:r>
            <w:hyperlink r:id="rId9">
              <w:r>
                <w:rPr>
                  <w:rStyle w:val="Hyperlink"/>
                  <w:lang w:val="nl-NL"/>
                </w:rPr>
                <w:t xml:space="preserve">privacy@transcribia.eu</w:t>
              </w:r>
            </w:hyperlink>
          </w:p>
        </w:tc>
      </w:tr>
      <w:tr>
        <w:trPr>
          <w:cantSplit/>
        </w:trPr>
        <w:tc>
          <w:tcPr/>
          <w:p>
            <w:pPr>
              <w:pStyle w:val="Compact"/>
            </w:pPr>
            <w:r>
              <w:rPr>
                <w:lang w:val="nl-NL"/>
              </w:rPr>
              <w:t xml:space="preserve">Contactpersoon voor naleving en gegevensbescherming</w:t>
            </w:r>
          </w:p>
        </w:tc>
        <w:tc>
          <w:tcPr/>
          <w:p>
            <w:pPr>
              <w:pStyle w:val="Compact"/>
            </w:pPr>
            <w:hyperlink r:id="rId9">
              <w:r>
                <w:rPr>
                  <w:rStyle w:val="Hyperlink"/>
                  <w:lang w:val="nl-NL"/>
                </w:rPr>
                <w:t xml:space="preserve">privacy@transcribia.eu</w:t>
              </w:r>
            </w:hyperlink>
          </w:p>
        </w:tc>
      </w:tr>
    </w:tbl>
    <w:p>
      <w:pPr>
        <w:pStyle w:val="BodyText"/>
      </w:pPr>
      <w:r>
        <w:rPr>
          <w:b/>
          <w:bCs/>
          <w:lang w:val="nl-NL"/>
        </w:rPr>
        <w:t xml:space="preserve">Rol van AMBASSADIA </w:t>
      </w:r>
      <w:r>
        <w:rPr>
          <w:lang w:val="nl-NL"/>
        </w:rPr>
        <w:t xml:space="preserve"/>
      </w:r>
      <w:r>
        <w:rPr>
          <w:lang w:val="nl-NL"/>
        </w:rPr>
        <w:t xml:space="preserve">SARL. AMBASSADIA SARL (SARL met een kapitaal van € 50.000, bestuurder Olivier Dupont) </w:t>
      </w:r>
      <w:r>
        <w:rPr>
          <w:lang w:val="nl-NL"/>
        </w:rPr>
        <w:t xml:space="preserve">treedt </w:t>
      </w:r>
      <w:r>
        <w:rPr>
          <w:b/>
          <w:bCs/>
          <w:lang w:val="nl-NL"/>
        </w:rPr>
        <w:t xml:space="preserve">op als commerciële wederverkoper </w:t>
      </w:r>
      <w:r>
        <w:rPr>
          <w:lang w:val="nl-NL"/>
        </w:rPr>
        <w:t xml:space="preserve"/>
      </w:r>
      <w:r>
        <w:rPr>
          <w:lang w:val="nl-NL"/>
        </w:rPr>
        <w:t xml:space="preserve">en distributeur van TranscribIA (Monaco en Frankrijk). Haar rol is </w:t>
      </w:r>
      <w:r>
        <w:rPr>
          <w:lang w:val="nl-NL"/>
        </w:rPr>
        <w:t xml:space="preserve"/>
      </w:r>
      <w:r>
        <w:rPr>
          <w:b/>
          <w:bCs/>
          <w:lang w:val="nl-NL"/>
        </w:rPr>
        <w:t xml:space="preserve">uitsluitend commercieel: zij verwerkt geen productiegegevens </w:t>
      </w:r>
      <w:r>
        <w:rPr>
          <w:lang w:val="nl-NL"/>
        </w:rPr>
        <w:t xml:space="preserve"/>
      </w:r>
      <w:r>
        <w:rPr>
          <w:lang w:val="nl-NL"/>
        </w:rPr>
        <w:t xml:space="preserve">namens klanten [exacte reikwijdte te bevestigen]. Het productiedomein </w:t>
      </w:r>
      <w:r>
        <w:rPr>
          <w:lang w:val="nl-NL"/>
        </w:rPr>
        <w:t xml:space="preserve"/>
      </w:r>
      <w:r>
        <w:rPr>
          <w:rStyle w:val="VerbatimChar"/>
          <w:lang w:val="nl-NL"/>
        </w:rPr>
        <w:t xml:space="preserve">client.transcribia.eu</w:t>
      </w:r>
      <w:r>
        <w:rPr>
          <w:lang w:val="nl-NL"/>
        </w:rPr>
        <w:t xml:space="preserve"> </w:t>
      </w:r>
      <w:r>
        <w:rPr>
          <w:lang w:val="nl-NL"/>
        </w:rPr>
        <w:t xml:space="preserve">blijft een geldig operationeel onderdeel van de door OHADJA beheerde SaaS-dienst.</w:t>
      </w:r>
    </w:p>
    <w:p>
      <w:pPr>
        <w:pStyle w:val="BodyText"/>
      </w:pPr>
      <w:r>
        <w:rPr>
          <w:lang w:val="nl-NL"/>
        </w:rPr>
        <w:t xml:space="preserve">TranscribIA wordt ook op de markt gebracht en geïntegreerd door Televic Conference France, als distributeur en integrator. Televic heeft geen toegang tot de productiegegevens van uw organisatie, behalve tot een serviceaccount dat u expliciet zelf heeft aangemaakt. Een Televic-administratierol bestaat alleen op de demonstratieomgeving, nooit op de productie, en geeft in geen geval toegang tot de inhoud van organisaties (transcripties, audio): deze beperkt zich tot het creëren van structuren en accounts.</w:t>
      </w:r>
    </w:p>
    <w:bookmarkEnd w:id="12"/>
    <w:bookmarkStart w:id="13" w:name="X74f8a4f59682b637b8dd717c26f0614ac951509"/>
    <w:p>
      <w:pPr>
        <w:pStyle w:val="Heading2"/>
        <w:keepNext/>
        <w:keepLines/>
      </w:pPr>
      <w:r>
        <w:rPr>
          <w:color w:val="000000"/>
          <w:lang w:val="nl-NL"/>
        </w:rPr>
        <w:t xml:space="preserve">3. Positionering van de onderdelen: verwerkingsverantwoordelijke en verwerker</w:t>
      </w:r>
    </w:p>
    <w:p>
      <w:pPr>
        <w:pStyle w:val="FirstParagraph"/>
      </w:pPr>
      <w:r>
        <w:rPr>
          <w:lang w:val="nl-NL"/>
        </w:rPr>
        <w:t xml:space="preserve">Uw organisatie handelt als </w:t>
      </w:r>
      <w:r>
        <w:rPr>
          <w:lang w:val="nl-NL"/>
        </w:rPr>
        <w:t xml:space="preserve"/>
      </w:r>
      <w:r>
        <w:rPr>
          <w:b/>
          <w:bCs/>
          <w:lang w:val="nl-NL"/>
        </w:rPr>
        <w:t xml:space="preserve">verwerkingsverantwoordelijke </w:t>
      </w:r>
      <w:r>
        <w:rPr>
          <w:lang w:val="nl-NL"/>
        </w:rPr>
        <w:t xml:space="preserve"/>
      </w:r>
      <w:r>
        <w:rPr>
          <w:lang w:val="nl-NL"/>
        </w:rPr>
        <w:t xml:space="preserve">in de zin van artikel 4, punt 7, AVG. U bepaalt daarom de doelen en essentiële middelen van de verwerkingen met TranscribIA, stelt de rechtsgrond voor elke verwerking vast, informeert betrokkenen, bepaalt de bewaartermijnen voor uw inhoud en houdt het register bij dat artikel 30, lid 1, voorschrijft.</w:t>
      </w:r>
    </w:p>
    <w:p>
      <w:pPr>
        <w:pStyle w:val="BodyText"/>
      </w:pPr>
      <w:r>
        <w:rPr>
          <w:lang w:val="nl-NL"/>
        </w:rPr>
        <w:t xml:space="preserve">OHADJA handelt als </w:t>
      </w:r>
      <w:r>
        <w:rPr>
          <w:lang w:val="nl-NL"/>
        </w:rPr>
        <w:t xml:space="preserve"/>
      </w:r>
      <w:r>
        <w:rPr>
          <w:b/>
          <w:bCs/>
          <w:lang w:val="nl-NL"/>
        </w:rPr>
        <w:t xml:space="preserve">verwerker in de </w:t>
      </w:r>
      <w:r>
        <w:rPr>
          <w:lang w:val="nl-NL"/>
        </w:rPr>
        <w:t xml:space="preserve"/>
      </w:r>
      <w:r>
        <w:rPr>
          <w:lang w:val="nl-NL"/>
        </w:rPr>
        <w:t xml:space="preserve">zin van artikel 4, punt 8, AVG. Zij verwerkt persoonsgegevens uitsluitend namens u, op basis van uw gedocumenteerde instructies en binnen de grenzen van het hoofdcontract en de Verwerkersovereenkomst. Zij bepaalt noch de doelen, noch de rechtsgrond van uw verwerkingen via de dienst.</w:t>
      </w:r>
    </w:p>
    <w:p>
      <w:pPr>
        <w:pStyle w:val="BodyText"/>
      </w:pPr>
      <w:r>
        <w:rPr>
          <w:lang w:val="nl-NL"/>
        </w:rPr>
        <w:t xml:space="preserve">Er zijn twee leveringswijzen gepland, waaruit de exacte reikwijdte van de verantwoordelijkheden voortvloeit:</w:t>
      </w:r>
    </w:p>
    <w:p>
      <w:pPr>
        <w:pStyle w:val="Compact"/>
        <w:numPr>
          <w:ilvl w:val="0"/>
          <w:numId w:val="1001"/>
        </w:numPr>
      </w:pPr>
      <w:r>
        <w:rPr>
          <w:b/>
          <w:bCs/>
          <w:lang w:val="nl-NL"/>
        </w:rPr>
        <w:t xml:space="preserve">Optie A — Soevereine </w:t>
      </w:r>
      <w:r>
        <w:rPr>
          <w:lang w:val="nl-NL"/>
        </w:rPr>
        <w:t xml:space="preserve"/>
      </w:r>
      <w:r>
        <w:rPr>
          <w:lang w:val="nl-NL"/>
        </w:rPr>
        <w:t xml:space="preserve">SaaS: de dienst wordt gehost en geëxploiteerd door OHADJA op een infrastructuur in Frankrijk. OHADJA biedt hosting, applicatiebeheer, onderhoud, supervisie, technische back-ups, updates en operationele beveiliging.</w:t>
      </w:r>
    </w:p>
    <w:p>
      <w:pPr>
        <w:pStyle w:val="Compact"/>
        <w:numPr>
          <w:ilvl w:val="0"/>
          <w:numId w:val="1001"/>
        </w:numPr>
      </w:pPr>
      <w:r>
        <w:rPr>
          <w:b/>
          <w:bCs/>
          <w:lang w:val="nl-NL"/>
        </w:rPr>
        <w:t xml:space="preserve">Optie B — On-premise: </w:t>
      </w:r>
      <w:r>
        <w:rPr>
          <w:lang w:val="nl-NL"/>
        </w:rPr>
        <w:t xml:space="preserve"/>
      </w:r>
      <w:r>
        <w:rPr>
          <w:lang w:val="nl-NL"/>
        </w:rPr>
        <w:t xml:space="preserve">de oplossing wordt ingezet in uw eigen infrastructuur met behulp van Docker-containers. Je zorgt dan voor hosting, systeembeheer, netwerkbeveiliging, backups en toezicht; OHADJA blijft alleen verwerker voor de handelingen die hij daadwerkelijk namens u uitvoert (ondersteuning, onderhoud, applicatie-updates, geautoriseerde toegang op afstand).</w:t>
      </w:r>
    </w:p>
    <w:p>
      <w:pPr>
        <w:pStyle w:val="FirstParagraph"/>
      </w:pPr>
      <w:r>
        <w:rPr>
          <w:lang w:val="nl-NL"/>
        </w:rPr>
        <w:t xml:space="preserve">De geselecteerde modus wordt gecontroleerd in bijlage 1 van de DPA.</w:t>
      </w:r>
    </w:p>
    <w:bookmarkEnd w:id="13"/>
    <w:bookmarkStart w:id="14" w:name="X82c4d7b633db3a6681ea8d47fe4dc1e19a1c925"/>
    <w:p>
      <w:pPr>
        <w:pStyle w:val="Heading2"/>
        <w:keepNext/>
        <w:keepLines/>
      </w:pPr>
      <w:r>
        <w:rPr>
          <w:color w:val="000000"/>
          <w:lang w:val="nl-NL"/>
        </w:rPr>
        <w:t xml:space="preserve">4. De uitgevoerde service en behandelingen</w:t>
      </w:r>
    </w:p>
    <w:p>
      <w:pPr>
        <w:pStyle w:val="FirstParagraph"/>
      </w:pPr>
      <w:r>
        <w:rPr>
          <w:lang w:val="nl-NL"/>
        </w:rPr>
        <w:t xml:space="preserve">TranscribIA is een intelligent audiotranscriptieplatform. De typische functionele stroom is als volgt: uploaden van een audiobestand, automatische transcriptie en sprekerdiarisatie (scheiding van sprekers), vervolgens exploitatie ondersteund door kunstmatige intelligentie (correctie, samenvatting, notulen, hoofdstukken, suggestie voor sprekeridentificatie) en export in Word-formaat.</w:t>
      </w:r>
    </w:p>
    <w:p>
      <w:pPr>
        <w:pStyle w:val="BodyText"/>
      </w:pPr>
      <w:r>
        <w:rPr>
          <w:lang w:val="nl-NL"/>
        </w:rPr>
        <w:t xml:space="preserve">De gedetailleerde beschrijving van de verwerking (voorwerp, aard, doeleinden, bewerkingen per fase van de workflow) vindt u in document TRB-CONF-01.03 en in bijlage 1 van de DPA.</w:t>
      </w:r>
    </w:p>
    <w:bookmarkEnd w:id="14"/>
    <w:bookmarkStart w:id="15" w:name="X196c226cd9710d8500b96808658c6e9d758e146"/>
    <w:p>
      <w:pPr>
        <w:pStyle w:val="Heading2"/>
        <w:keepNext/>
        <w:keepLines/>
      </w:pPr>
      <w:r>
        <w:rPr>
          <w:color w:val="000000"/>
          <w:lang w:val="nl-NL"/>
        </w:rPr>
        <w:t xml:space="preserve">5. Gegevenscategorieën en betrokkenen</w:t>
      </w:r>
    </w:p>
    <w:p>
      <w:pPr>
        <w:pStyle w:val="FirstParagraph"/>
      </w:pPr>
      <w:r>
        <w:rPr>
          <w:lang w:val="nl-NL"/>
        </w:rPr>
        <w:t xml:space="preserve">De categorieën van persoonsgegevens die waarschijnlijk worden verwerkt, zijn afhankelijk van uw gebruik en de bestanden die u uploadt: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Categorie</w:t>
            </w:r>
          </w:p>
        </w:tc>
        <w:tc>
          <w:tcPr/>
          <w:p>
            <w:pPr>
              <w:pStyle w:val="Compact"/>
            </w:pPr>
            <w:r>
              <w:rPr>
                <w:lang w:val="nl-NL"/>
              </w:rPr>
              <w:t xml:space="preserve">Voorbeelden</w:t>
            </w:r>
          </w:p>
        </w:tc>
      </w:tr>
      <w:tr>
        <w:trPr>
          <w:cantSplit/>
        </w:trPr>
        <w:tc>
          <w:tcPr/>
          <w:p>
            <w:pPr>
              <w:pStyle w:val="Compact"/>
            </w:pPr>
            <w:r>
              <w:rPr>
                <w:lang w:val="nl-NL"/>
              </w:rPr>
              <w:t xml:space="preserve">Audio- en video-opnamen</w:t>
            </w:r>
          </w:p>
        </w:tc>
        <w:tc>
          <w:tcPr/>
          <w:p>
            <w:pPr>
              <w:pStyle w:val="Compact"/>
            </w:pPr>
            <w:r>
              <w:rPr>
                <w:lang w:val="nl-NL"/>
              </w:rPr>
              <w:t xml:space="preserve">MP3-, wav-, ogg-, m4a-, flac-, webm-, mp4-, avi-, mkv-, mov-, wmv-bestanden geüpload door uw gebruikers</w:t>
            </w:r>
          </w:p>
        </w:tc>
      </w:tr>
      <w:tr>
        <w:trPr>
          <w:cantSplit/>
        </w:trPr>
        <w:tc>
          <w:tcPr/>
          <w:p>
            <w:pPr>
              <w:pStyle w:val="Compact"/>
            </w:pPr>
            <w:r>
              <w:rPr>
                <w:lang w:val="nl-NL"/>
              </w:rPr>
              <w:t xml:space="preserve">Transcripties</w:t>
            </w:r>
          </w:p>
        </w:tc>
        <w:tc>
          <w:tcPr/>
          <w:p>
            <w:pPr>
              <w:pStyle w:val="Compact"/>
            </w:pPr>
            <w:r>
              <w:rPr>
                <w:lang w:val="nl-NL"/>
              </w:rPr>
              <w:t xml:space="preserve">Segmenten, tijdstempels, woordelijk, versies, correcties, hoofdstukken, sprekerdiarisatie</w:t>
            </w:r>
          </w:p>
        </w:tc>
      </w:tr>
      <w:tr>
        <w:trPr>
          <w:cantSplit/>
        </w:trPr>
        <w:tc>
          <w:tcPr/>
          <w:p>
            <w:pPr>
              <w:pStyle w:val="Compact"/>
            </w:pPr>
            <w:r>
              <w:rPr>
                <w:lang w:val="nl-NL"/>
              </w:rPr>
              <w:t xml:space="preserve">Sprekergegevens</w:t>
            </w:r>
          </w:p>
        </w:tc>
        <w:tc>
          <w:tcPr/>
          <w:p>
            <w:pPr>
              <w:pStyle w:val="Compact"/>
            </w:pPr>
            <w:r>
              <w:rPr>
                <w:lang w:val="nl-NL"/>
              </w:rPr>
              <w:t xml:space="preserve">Namen ingevoerd door uw gebruikers, sprekerlabels, voorgestelde en gevalideerde overeenkomsten</w:t>
            </w:r>
          </w:p>
        </w:tc>
      </w:tr>
      <w:tr>
        <w:trPr>
          <w:cantSplit/>
        </w:trPr>
        <w:tc>
          <w:tcPr/>
          <w:p>
            <w:pPr>
              <w:pStyle w:val="Compact"/>
            </w:pPr>
            <w:r>
              <w:rPr>
                <w:lang w:val="nl-NL"/>
              </w:rPr>
              <w:t xml:space="preserve">Voorbereidende documenten</w:t>
            </w:r>
          </w:p>
        </w:tc>
        <w:tc>
          <w:tcPr/>
          <w:p>
            <w:pPr>
              <w:pStyle w:val="Compact"/>
            </w:pPr>
            <w:r>
              <w:rPr>
                <w:lang w:val="nl-NL"/>
              </w:rPr>
              <w:t xml:space="preserve">Agenda's, afgelopen notulen, notities, PDF/DOCX, tekst uitpakken</w:t>
            </w:r>
          </w:p>
        </w:tc>
      </w:tr>
      <w:tr>
        <w:trPr>
          <w:cantSplit/>
        </w:trPr>
        <w:tc>
          <w:tcPr/>
          <w:p>
            <w:pPr>
              <w:pStyle w:val="Compact"/>
            </w:pPr>
            <w:r>
              <w:rPr>
                <w:lang w:val="nl-NL"/>
              </w:rPr>
              <w:t xml:space="preserve">Metagegevens van sessie</w:t>
            </w:r>
          </w:p>
        </w:tc>
        <w:tc>
          <w:tcPr/>
          <w:p>
            <w:pPr>
              <w:pStyle w:val="Compact"/>
            </w:pPr>
            <w:r>
              <w:rPr>
                <w:lang w:val="nl-NL"/>
              </w:rPr>
              <w:t xml:space="preserve">Titel, datum, locatie, sessietype, status, agenda, team, organisatie</w:t>
            </w:r>
          </w:p>
        </w:tc>
      </w:tr>
      <w:tr>
        <w:trPr>
          <w:cantSplit/>
        </w:trPr>
        <w:tc>
          <w:tcPr/>
          <w:p>
            <w:pPr>
              <w:pStyle w:val="Compact"/>
            </w:pPr>
            <w:r>
              <w:rPr>
                <w:lang w:val="nl-NL"/>
              </w:rPr>
              <w:t xml:space="preserve">Gebruikersaccounts</w:t>
            </w:r>
          </w:p>
        </w:tc>
        <w:tc>
          <w:tcPr/>
          <w:p>
            <w:pPr>
              <w:pStyle w:val="Compact"/>
            </w:pPr>
            <w:r>
              <w:rPr>
                <w:lang w:val="nl-NL"/>
              </w:rPr>
              <w:t xml:space="preserve">Achternaam, voornaam indien van toepassing, e-mailadres, rol, organisatie, team, toegangstokens, verbindingsdata</w:t>
            </w:r>
          </w:p>
        </w:tc>
      </w:tr>
      <w:tr>
        <w:trPr>
          <w:cantSplit/>
        </w:trPr>
        <w:tc>
          <w:tcPr/>
          <w:p>
            <w:pPr>
              <w:pStyle w:val="Compact"/>
            </w:pPr>
            <w:r>
              <w:rPr>
                <w:lang w:val="nl-NL"/>
              </w:rPr>
              <w:t xml:space="preserve">Auditlogboeken en technische sporen</w:t>
            </w:r>
          </w:p>
        </w:tc>
        <w:tc>
          <w:tcPr/>
          <w:p>
            <w:pPr>
              <w:pStyle w:val="Compact"/>
            </w:pPr>
            <w:r>
              <w:rPr>
                <w:lang w:val="nl-NL"/>
              </w:rPr>
              <w:t xml:space="preserve">Gebruikers-ID's, acties, datums, IP-adressen wanneer verzameld, applicatiegebeurtenissen</w:t>
            </w:r>
          </w:p>
        </w:tc>
      </w:tr>
      <w:tr>
        <w:trPr>
          <w:cantSplit/>
        </w:trPr>
        <w:tc>
          <w:tcPr/>
          <w:p>
            <w:pPr>
              <w:pStyle w:val="Compact"/>
            </w:pPr>
            <w:r>
              <w:rPr>
                <w:lang w:val="nl-NL"/>
              </w:rPr>
              <w:t xml:space="preserve">AI-generaties</w:t>
            </w:r>
          </w:p>
        </w:tc>
        <w:tc>
          <w:tcPr/>
          <w:p>
            <w:pPr>
              <w:pStyle w:val="Compact"/>
            </w:pPr>
            <w:r>
              <w:rPr>
                <w:lang w:val="nl-NL"/>
              </w:rPr>
              <w:t xml:space="preserve">Prompts, geselecteerde bronnen, gegenereerde reacties, samenvattingen, analyses, notulen</w:t>
            </w:r>
          </w:p>
        </w:tc>
      </w:tr>
      <w:tr>
        <w:trPr>
          <w:cantSplit/>
        </w:trPr>
        <w:tc>
          <w:tcPr/>
          <w:p>
            <w:pPr>
              <w:pStyle w:val="Compact"/>
            </w:pPr>
            <w:r>
              <w:rPr>
                <w:lang w:val="nl-NL"/>
              </w:rPr>
              <w:t xml:space="preserve">Stem- of aanwezigheidsgegevens, indien ingeschakeld</w:t>
            </w:r>
          </w:p>
        </w:tc>
        <w:tc>
          <w:tcPr/>
          <w:p>
            <w:pPr>
              <w:pStyle w:val="Compact"/>
            </w:pPr>
            <w:r>
              <w:rPr>
                <w:lang w:val="nl-NL"/>
              </w:rPr>
              <w:t xml:space="preserve">Aanwezigheid, afwezigheid, volmachten, stemresultaten, kwaliteit van deelnemers</w:t>
            </w:r>
          </w:p>
        </w:tc>
      </w:tr>
      <w:tr>
        <w:trPr>
          <w:cantSplit/>
        </w:trPr>
        <w:tc>
          <w:tcPr/>
          <w:p>
            <w:pPr>
              <w:pStyle w:val="Compact"/>
            </w:pPr>
            <w:r>
              <w:rPr>
                <w:lang w:val="nl-NL"/>
              </w:rPr>
              <w:t xml:space="preserve">Tijdelijke stemrepresentaties</w:t>
            </w:r>
          </w:p>
        </w:tc>
        <w:tc>
          <w:tcPr/>
          <w:p>
            <w:pPr>
              <w:pStyle w:val="Compact"/>
            </w:pPr>
            <w:r>
              <w:rPr>
                <w:lang w:val="nl-NL"/>
              </w:rPr>
              <w:t xml:space="preserve">Spraakkarakteristieken berekend in RAM voor spraakcorrelatie, vernietigd aan het einde van het verzoek</w:t>
            </w:r>
          </w:p>
        </w:tc>
      </w:tr>
    </w:tbl>
    <w:p>
      <w:pPr>
        <w:pStyle w:val="BodyText"/>
      </w:pPr>
      <w:r>
        <w:rPr>
          <w:lang w:val="nl-NL"/>
        </w:rPr>
        <w:t xml:space="preserve">Tot de categorieën van betrokken personen behoren met name uw gebruikers (agenten, werknemers, gekozen functionarissen, praktijkmensen, advocaten, notarissen, docenten, journalisten), de sprekers wier stem is vastgelegd in de geüploade bestanden, de mensen die worden genoemd in de bijeenkomsten, transcripties of documenten, evenals de uitgenodigde institutionele contacten.</w:t>
      </w:r>
    </w:p>
    <w:p>
      <w:pPr>
        <w:pStyle w:val="BodyText"/>
      </w:pPr>
      <w:r>
        <w:rPr>
          <w:b/>
          <w:bCs/>
          <w:lang w:val="nl-NL"/>
        </w:rPr>
        <w:t xml:space="preserve">Aandachtspunt — gevoelige gegevens en diarisatie. </w:t>
      </w:r>
      <w:r>
        <w:rPr>
          <w:lang w:val="nl-NL"/>
        </w:rPr>
        <w:t xml:space="preserve"/>
      </w:r>
      <w:r>
        <w:rPr>
          <w:lang w:val="nl-NL"/>
        </w:rPr>
        <w:t xml:space="preserve">Positionele diarisatie levert labels op zoals ‘Speaker 1’, ‘Speaker 2’; deze blijven persoonsgegevens wanneer ze via de opname of andere informatie aan een persoon kunnen worden gekoppeld. Het ontbreken van een bewaard sjabloon sluit biometrische verwerking op zichzelf niet uit. Het doel en de technische middelen moeten worden onderzocht aan de hand van artikel 4, punt 14, en artikel 9. Optionele stemcorrelatie wordt beschreven in onderdeel 12. De Klant moet ook beoordelen welke bijzondere categorieën de inhoud bevat, waaronder gezondheid, politieke opvattingen en vakbondslidmaatschap.</w:t>
      </w:r>
    </w:p>
    <w:bookmarkEnd w:id="15"/>
    <w:bookmarkStart w:id="16" w:name="X4246085d3a0efd15658df0498ecbe9d34ede845"/>
    <w:p>
      <w:pPr>
        <w:pStyle w:val="Heading2"/>
        <w:keepNext/>
        <w:keepLines/>
      </w:pPr>
      <w:r>
        <w:rPr>
          <w:color w:val="000000"/>
          <w:lang w:val="nl-NL"/>
        </w:rPr>
        <w:t xml:space="preserve">6. Rechtsgrondslagen</w:t>
      </w:r>
    </w:p>
    <w:p>
      <w:pPr>
        <w:pStyle w:val="FirstParagraph"/>
      </w:pPr>
      <w:r>
        <w:rPr>
          <w:lang w:val="nl-NL"/>
        </w:rPr>
        <w:t xml:space="preserve">Uw organisatie bepaalt als verwerkingsverantwoordelijke de rechtsgrond </w:t>
      </w:r>
      <w:r>
        <w:rPr>
          <w:lang w:val="nl-NL"/>
        </w:rPr>
        <w:t xml:space="preserve"/>
      </w:r>
      <w:r>
        <w:rPr>
          <w:b/>
          <w:bCs/>
          <w:lang w:val="nl-NL"/>
        </w:rPr>
        <w:t xml:space="preserve">voor elke verwerking via </w:t>
      </w:r>
      <w:r>
        <w:rPr>
          <w:lang w:val="nl-NL"/>
        </w:rPr>
        <w:t xml:space="preserve">TranscribIA, op basis van haar bedrijfscontext en verwerkingsregister. Afhankelijk van het geval kan deze onder artikel 6, lid 1, AVG vallen (taak van algemeen belang of uitoefening van openbaar gezag door een lokale overheid, wettelijke verplichting, uitvoering van een overeenkomst, gerechtvaardigd belang of toestemming).</w:t>
      </w:r>
    </w:p>
    <w:p>
      <w:pPr>
        <w:pStyle w:val="BodyText"/>
      </w:pPr>
      <w:r>
        <w:rPr>
          <w:lang w:val="nl-NL"/>
        </w:rPr>
        <w:t xml:space="preserve">OHADJA bepaalt geen rechtsgrond en verwerkt uw gegevens niet voor eigen doeleinden. U bent ook verantwoordelijk voor het informeren van betrokkenen en, indien van toepassing, het verkrijgen van hun toestemming.</w:t>
      </w:r>
    </w:p>
    <w:bookmarkEnd w:id="16"/>
    <w:bookmarkStart w:id="17" w:name="Xad34d28697945ad9da85f5bf29d3fa8a4f6e563"/>
    <w:p>
      <w:pPr>
        <w:pStyle w:val="Heading2"/>
        <w:keepNext/>
        <w:keepLines/>
      </w:pPr>
      <w:r>
        <w:rPr>
          <w:color w:val="000000"/>
          <w:lang w:val="nl-NL"/>
        </w:rPr>
        <w:t xml:space="preserve">7. Rechten van individuen en concrete voorwaarden in het product</w:t>
      </w:r>
    </w:p>
    <w:p>
      <w:pPr>
        <w:pStyle w:val="FirstParagraph"/>
      </w:pPr>
      <w:r>
        <w:rPr>
          <w:lang w:val="nl-NL"/>
        </w:rPr>
        <w:t xml:space="preserve">U blijft verantwoordelijk voor de afhandeling van verzoeken tot uitoefening van rechten (artikelen 12 tot en met 22 AVG). TranscribIA biedt functies waarmee u hieraan concreet gevolg kunt geven:</w:t>
      </w:r>
    </w:p>
    <w:p>
      <w:pPr>
        <w:pStyle w:val="Compact"/>
        <w:numPr>
          <w:ilvl w:val="0"/>
          <w:numId w:val="1002"/>
        </w:numPr>
      </w:pPr>
      <w:r>
        <w:rPr>
          <w:b/>
          <w:bCs/>
          <w:lang w:val="nl-NL"/>
        </w:rPr>
        <w:t xml:space="preserve">Recht op toegang en rectificatie (art. 15 en </w:t>
      </w:r>
      <w:r>
        <w:rPr>
          <w:lang w:val="nl-NL"/>
        </w:rPr>
        <w:t xml:space="preserve">16): </w:t>
      </w:r>
      <w:r>
        <w:rPr>
          <w:lang w:val="nl-NL"/>
        </w:rPr>
        <w:t xml:space="preserve">transcripties, metadata en sprekerinformatie kunnen door uw geautoriseerde gebruikers worden geraadpleegd en gewijzigd door directe bewerking in de applicatie.</w:t>
      </w:r>
    </w:p>
    <w:p>
      <w:pPr>
        <w:pStyle w:val="Compact"/>
        <w:numPr>
          <w:ilvl w:val="0"/>
          <w:numId w:val="1002"/>
        </w:numPr>
      </w:pPr>
      <w:r>
        <w:rPr>
          <w:b/>
          <w:bCs/>
          <w:lang w:val="nl-NL"/>
        </w:rPr>
        <w:t xml:space="preserve">Recht op portabiliteit (art. 20): </w:t>
      </w:r>
      <w:r>
        <w:rPr>
          <w:lang w:val="nl-NL"/>
        </w:rPr>
        <w:t xml:space="preserve"/>
      </w:r>
      <w:r>
        <w:rPr>
          <w:lang w:val="nl-NL"/>
        </w:rPr>
        <w:t xml:space="preserve">een volledige export per organisatie is beschikbaar </w:t>
      </w:r>
      <w:r>
        <w:rPr>
          <w:lang w:val="nl-NL"/>
        </w:rPr>
        <w:t xml:space="preserve">in </w:t>
      </w:r>
      <w:r>
        <w:rPr>
          <w:b/>
          <w:bCs/>
          <w:lang w:val="nl-NL"/>
        </w:rPr>
        <w:t xml:space="preserve">selfservice </w:t>
      </w:r>
      <w:r>
        <w:rPr>
          <w:lang w:val="nl-NL"/>
        </w:rPr>
        <w:t xml:space="preserve"/>
      </w:r>
      <w:r>
        <w:rPr>
          <w:lang w:val="nl-NL"/>
        </w:rPr>
        <w:t xml:space="preserve">via het menu Instellingen → Portabiliteit. Het produceert een </w:t>
      </w:r>
      <w:r>
        <w:rPr>
          <w:lang w:val="nl-NL"/>
        </w:rPr>
        <w:t xml:space="preserve"/>
      </w:r>
      <w:r>
        <w:rPr>
          <w:rStyle w:val="VerbatimChar"/>
          <w:lang w:val="nl-NL"/>
        </w:rPr>
        <w:t xml:space="preserve">.tar.gz</w:t>
      </w:r>
      <w:r>
        <w:rPr>
          <w:lang w:val="nl-NL"/>
        </w:rPr>
        <w:t xml:space="preserve">-archief </w:t>
      </w:r>
      <w:r>
        <w:rPr>
          <w:lang w:val="nl-NL"/>
        </w:rPr>
        <w:t xml:space="preserve">ondertekend in SHA-256 met het volledige schema van uw organisatie (sessies, audio, transcripties, AI-generaties, stemmen, aanwezigheid, woordenboek, activiteitenlogboek, gebruikers).</w:t>
      </w:r>
    </w:p>
    <w:p>
      <w:pPr>
        <w:pStyle w:val="Compact"/>
        <w:numPr>
          <w:ilvl w:val="0"/>
          <w:numId w:val="1002"/>
        </w:numPr>
      </w:pPr>
      <w:r>
        <w:rPr>
          <w:b/>
          <w:bCs/>
          <w:lang w:val="nl-NL"/>
        </w:rPr>
        <w:t xml:space="preserve">Recht op verwijdering (art. 17): </w:t>
      </w:r>
      <w:r>
        <w:rPr>
          <w:lang w:val="nl-NL"/>
        </w:rPr>
        <w:t xml:space="preserve"/>
      </w:r>
      <w:r>
        <w:rPr>
          <w:lang w:val="nl-NL"/>
        </w:rPr>
        <w:t xml:space="preserve">gecertificeerde verwijdering is mogelijk via dezelfde pagina. Het verzoek wordt getraceerd in de auditlogboeken, binnen de wettelijke termijn uitgevoerd via een opschoonworkflow, en resulteert in de uitgifte van </w:t>
      </w:r>
      <w:r>
        <w:rPr>
          <w:lang w:val="nl-NL"/>
        </w:rPr>
        <w:t xml:space="preserve"/>
      </w:r>
      <w:r>
        <w:rPr>
          <w:b/>
          <w:bCs/>
          <w:lang w:val="nl-NL"/>
        </w:rPr>
        <w:t xml:space="preserve">een </w:t>
      </w:r>
      <w:r>
        <w:rPr>
          <w:lang w:val="nl-NL"/>
        </w:rPr>
        <w:t xml:space="preserve">verwijderingscertificaat.</w:t>
      </w:r>
    </w:p>
    <w:p>
      <w:pPr>
        <w:pStyle w:val="Compact"/>
        <w:numPr>
          <w:ilvl w:val="0"/>
          <w:numId w:val="1002"/>
        </w:numPr>
      </w:pPr>
      <w:r>
        <w:rPr>
          <w:b/>
          <w:bCs/>
          <w:lang w:val="nl-NL"/>
        </w:rPr>
        <w:t xml:space="preserve">Rechten van beperking, verzet en met betrekking tot geautomatiseerde </w:t>
      </w:r>
      <w:r>
        <w:rPr>
          <w:lang w:val="nl-NL"/>
        </w:rPr>
        <w:t xml:space="preserve"/>
      </w:r>
      <w:r>
        <w:rPr>
          <w:lang w:val="nl-NL"/>
        </w:rPr>
        <w:t xml:space="preserve">besluitvorming: OHADJA staat u technisch bij binnen zeven (7) werkdagen vanaf een volledig schriftelijk verzoek, in overeenstemming met artikel 9 van de DPA.</w:t>
      </w:r>
    </w:p>
    <w:p>
      <w:pPr>
        <w:pStyle w:val="FirstParagraph"/>
      </w:pPr>
      <w:r>
        <w:rPr>
          <w:lang w:val="nl-NL"/>
        </w:rPr>
        <w:t xml:space="preserve">Als OHADJA rechtstreeks een verzoek van een betrokkene over uw gegevens ontvangt, stuurt zij dit onverwijld aan u door en beantwoordt zij het niet inhoudelijk, tenzij u haar daartoe gedocumenteerde instructies geeft of OHADJA wettelijk verplicht is te antwoorden.</w:t>
      </w:r>
    </w:p>
    <w:bookmarkEnd w:id="17"/>
    <w:bookmarkStart w:id="18" w:name="Xafbd96c4622a4e63c8dcca79de62f511187ddba"/>
    <w:p>
      <w:pPr>
        <w:pStyle w:val="Heading2"/>
        <w:keepNext/>
        <w:keepLines/>
      </w:pPr>
      <w:r>
        <w:rPr>
          <w:color w:val="000000"/>
          <w:lang w:val="nl-NL"/>
        </w:rPr>
        <w:t xml:space="preserve">8. Beveiligingsmaatregelen (artikel 32 van AVG) — samenvatting</w:t>
      </w:r>
    </w:p>
    <w:p>
      <w:pPr>
        <w:pStyle w:val="FirstParagraph"/>
      </w:pPr>
      <w:r>
        <w:rPr>
          <w:lang w:val="nl-NL"/>
        </w:rPr>
        <w:t xml:space="preserve">OHADJA implementeert passende technische en organisatorische maatregelen, beschreven in bijlage 3 van de DPA en document TRB-CONF-01.06. Samengevat:</w:t>
      </w:r>
    </w:p>
    <w:p>
      <w:pPr>
        <w:pStyle w:val="Compact"/>
        <w:numPr>
          <w:ilvl w:val="0"/>
          <w:numId w:val="1003"/>
        </w:numPr>
      </w:pPr>
      <w:r>
        <w:rPr>
          <w:b/>
          <w:bCs/>
          <w:lang w:val="nl-NL"/>
        </w:rPr>
        <w:t xml:space="preserve">Vertrouwelijkheid en encryptie: </w:t>
      </w:r>
      <w:r>
        <w:rPr>
          <w:lang w:val="nl-NL"/>
        </w:rPr>
        <w:t xml:space="preserve"/>
      </w:r>
      <w:r>
        <w:rPr>
          <w:lang w:val="nl-NL"/>
        </w:rPr>
        <w:t xml:space="preserve">TLS 1.2 of hoger vereist voor alle toegang; versleuteling van back-ups vóór uitbesteding (age, X25519 + ChaCha20-Poly1305); tweefactorauthenticatiegeheimen beschermd in AES-256-CBC; Tijdelijk ondertekende URL's (30 minuten) voor audiostreaming.</w:t>
      </w:r>
    </w:p>
    <w:p>
      <w:pPr>
        <w:pStyle w:val="Compact"/>
        <w:numPr>
          <w:ilvl w:val="0"/>
          <w:numId w:val="1003"/>
        </w:numPr>
      </w:pPr>
      <w:r>
        <w:rPr>
          <w:b/>
          <w:bCs/>
          <w:lang w:val="nl-NL"/>
        </w:rPr>
        <w:t xml:space="preserve">Toegangscontrole: </w:t>
      </w:r>
      <w:r>
        <w:rPr>
          <w:lang w:val="nl-NL"/>
        </w:rPr>
        <w:t xml:space="preserve"/>
      </w:r>
      <w:r>
        <w:rPr>
          <w:lang w:val="nl-NL"/>
        </w:rPr>
        <w:t xml:space="preserve">authenticatie door Sanctum-tokens gehasht in SHA-256; wachtwoorden in bcrypt (kosten 12); TOTP dubbele authenticatie (RFC 6238) configureerbaar per rol; op rollen gebaseerde toegangscontrole op vijf niveaus; wachtwoordbevestiging (step-up) bij destructieve acties.</w:t>
      </w:r>
    </w:p>
    <w:p>
      <w:pPr>
        <w:pStyle w:val="Compact"/>
        <w:numPr>
          <w:ilvl w:val="0"/>
          <w:numId w:val="1003"/>
        </w:numPr>
      </w:pPr>
      <w:r>
        <w:rPr>
          <w:b/>
          <w:bCs/>
          <w:lang w:val="nl-NL"/>
        </w:rPr>
        <w:t xml:space="preserve">Isolatie: </w:t>
      </w:r>
      <w:r>
        <w:rPr>
          <w:lang w:val="nl-NL"/>
        </w:rPr>
        <w:t xml:space="preserve"/>
      </w:r>
      <w:r>
        <w:rPr>
          <w:lang w:val="nl-NL"/>
        </w:rPr>
        <w:t xml:space="preserve">multi-tenant architectuur met een speciaal PostgreSQL-schema per organisatie.</w:t>
      </w:r>
    </w:p>
    <w:p>
      <w:pPr>
        <w:pStyle w:val="Compact"/>
        <w:numPr>
          <w:ilvl w:val="0"/>
          <w:numId w:val="1003"/>
        </w:numPr>
      </w:pPr>
      <w:r>
        <w:rPr>
          <w:b/>
          <w:bCs/>
          <w:lang w:val="nl-NL"/>
        </w:rPr>
        <w:t xml:space="preserve">Integriteit: </w:t>
      </w:r>
      <w:r>
        <w:rPr>
          <w:lang w:val="nl-NL"/>
        </w:rPr>
        <w:t xml:space="preserve"/>
      </w:r>
      <w:r>
        <w:rPr>
          <w:lang w:val="nl-NL"/>
        </w:rPr>
        <w:t xml:space="preserve">systematische ClamAV-antivirusanalyse bij elke upload; auditlogs per organisatie en op platformniveau, exporteerbaar in CSV/JSON; content security policy (CSP) en strikte CORS.</w:t>
      </w:r>
    </w:p>
    <w:p>
      <w:pPr>
        <w:pStyle w:val="Compact"/>
        <w:numPr>
          <w:ilvl w:val="0"/>
          <w:numId w:val="1003"/>
        </w:numPr>
      </w:pPr>
      <w:r>
        <w:rPr>
          <w:b/>
          <w:bCs/>
          <w:lang w:val="nl-NL"/>
        </w:rPr>
        <w:t xml:space="preserve">Beschikbaarheid en veerkracht: </w:t>
      </w:r>
      <w:r>
        <w:rPr>
          <w:lang w:val="nl-NL"/>
        </w:rPr>
        <w:t xml:space="preserve"/>
      </w:r>
      <w:r>
        <w:rPr>
          <w:lang w:val="nl-NL"/>
        </w:rPr>
        <w:t xml:space="preserve">gecodeerde dagelijkse back-ups, 24/7 toezicht, automatische hervatting van geblokkeerde verwerking.</w:t>
      </w:r>
    </w:p>
    <w:bookmarkEnd w:id="18"/>
    <w:bookmarkStart w:id="19" w:name="X6544f44c0f7dbf53f7cb952b155c92fb5415a60"/>
    <w:p>
      <w:pPr>
        <w:pStyle w:val="Heading2"/>
        <w:keepNext/>
        <w:keepLines/>
      </w:pPr>
      <w:r>
        <w:rPr>
          <w:color w:val="000000"/>
          <w:lang w:val="nl-NL"/>
        </w:rPr>
        <w:t xml:space="preserve">9. Subverwerkers</w:t>
      </w:r>
    </w:p>
    <w:p>
      <w:pPr>
        <w:pStyle w:val="FirstParagraph"/>
      </w:pPr>
      <w:r>
        <w:rPr>
          <w:lang w:val="nl-NL"/>
        </w:rPr>
        <w:t xml:space="preserve">Bij </w:t>
      </w:r>
      <w:r>
        <w:rPr>
          <w:lang w:val="nl-NL"/>
        </w:rPr>
        <w:t xml:space="preserve"/>
      </w:r>
      <w:r>
        <w:rPr>
          <w:b/>
          <w:bCs/>
          <w:lang w:val="nl-NL"/>
        </w:rPr>
        <w:t xml:space="preserve">Optie A (SaaS) </w:t>
      </w:r>
      <w:r>
        <w:rPr>
          <w:lang w:val="nl-NL"/>
        </w:rPr>
        <w:t xml:space="preserve">gebruikt OHADJA geautoriseerde subverwerkers waarvan de lijst, doeleinden, locatie en contractuele basis zijn opgenomen in Bijlage 2 van </w:t>
      </w:r>
      <w:r>
        <w:rPr>
          <w:b/>
          <w:bCs/>
          <w:lang w:val="nl-NL"/>
        </w:rPr>
        <w:t xml:space="preserve">de DPA (document </w:t>
      </w:r>
      <w:r>
        <w:rPr>
          <w:lang w:val="nl-NL"/>
        </w:rPr>
        <w:t xml:space="preserve"/>
      </w:r>
      <w:r>
        <w:rPr>
          <w:lang w:val="nl-NL"/>
        </w:rPr>
        <w:t xml:space="preserve">TRB-CONF-01.02). Ze omvatten met name de host (Hostinger, datacenter in Frankrijk) en de opslag van gecodeerde back-ups (Scaleway, Frankrijk). De functies voor kunstmatige intelligentie draaien standaard op een inferentie-infrastructuur die wordt beheerd door OHADJA in Europa (primair kanaal, vLLM open-weights); De OpenRouter-gateway en zijn modelproviders worden alleen gebruikt als failover en kunnen door de organisatie worden gedeactiveerd. GPU-bronnen voor transcriptie maken deze lijst compleet.</w:t>
      </w:r>
    </w:p>
    <w:p>
      <w:pPr>
        <w:pStyle w:val="BodyText"/>
      </w:pPr>
      <w:r>
        <w:rPr>
          <w:lang w:val="nl-NL"/>
        </w:rPr>
        <w:t xml:space="preserve">Bij </w:t>
      </w:r>
      <w:r>
        <w:rPr>
          <w:lang w:val="nl-NL"/>
        </w:rPr>
        <w:t xml:space="preserve"/>
      </w:r>
      <w:r>
        <w:rPr>
          <w:b/>
          <w:bCs/>
          <w:lang w:val="nl-NL"/>
        </w:rPr>
        <w:t xml:space="preserve">geïsoleerde lokale </w:t>
      </w:r>
      <w:r>
        <w:rPr>
          <w:lang w:val="nl-NL"/>
        </w:rPr>
        <w:t xml:space="preserve">optie B is er geen subverwerker of OHADJA betrokken bij de verwerking van uw gegevens: alle componenten draaien in uw infrastructuur.</w:t>
      </w:r>
    </w:p>
    <w:p>
      <w:pPr>
        <w:pStyle w:val="BodyText"/>
      </w:pPr>
      <w:r>
        <w:rPr>
          <w:lang w:val="nl-NL"/>
        </w:rPr>
        <w:t xml:space="preserve">Elke toevoeging of vervanging van subverwerker wordt u minstens dertig (30) </w:t>
      </w:r>
      <w:r>
        <w:rPr>
          <w:lang w:val="nl-NL"/>
        </w:rPr>
        <w:t xml:space="preserve">kalenderdagen </w:t>
      </w:r>
      <w:r>
        <w:rPr>
          <w:b/>
          <w:bCs/>
          <w:lang w:val="nl-NL"/>
        </w:rPr>
        <w:t xml:space="preserve">op voorhand </w:t>
      </w:r>
      <w:r>
        <w:rPr>
          <w:lang w:val="nl-NL"/>
        </w:rPr>
        <w:t xml:space="preserve"/>
      </w:r>
      <w:r>
        <w:rPr>
          <w:lang w:val="nl-NL"/>
        </w:rPr>
        <w:t xml:space="preserve">meegedeeld, met recht op gemotiveerd bezwaar (artikel 6 Verwerkersovereenkomst).</w:t>
      </w:r>
    </w:p>
    <w:bookmarkEnd w:id="19"/>
    <w:bookmarkStart w:id="20" w:name="Xe28e49365d38b643d833898626eccc572f6e84e"/>
    <w:p>
      <w:pPr>
        <w:pStyle w:val="Heading2"/>
        <w:keepNext/>
        <w:keepLines/>
      </w:pPr>
      <w:r>
        <w:rPr>
          <w:color w:val="000000"/>
          <w:lang w:val="nl-NL"/>
        </w:rPr>
        <w:t xml:space="preserve">10. Gegevenslokalisatie en overdracht buiten de EER</w:t>
      </w:r>
    </w:p>
    <w:p>
      <w:pPr>
        <w:pStyle w:val="FirstParagraph"/>
      </w:pPr>
      <w:r>
        <w:rPr>
          <w:lang w:val="nl-NL"/>
        </w:rPr>
        <w:t xml:space="preserve">Bij Optie A worden de productiegegevens gehost in Frankrijk (datacentrum in Straatsburg) en worden de back-ups gecodeerd en vervolgens opgeslagen in de Europese Unie. Gedetailleerde locatie per gegevenscategorie wordt weergegeven in document TRB-CONF-01.04.</w:t>
      </w:r>
    </w:p>
    <w:p>
      <w:pPr>
        <w:pStyle w:val="BodyText"/>
      </w:pPr>
      <w:r>
        <w:rPr>
          <w:b/>
          <w:bCs/>
          <w:lang w:val="nl-NL"/>
        </w:rPr>
        <w:t xml:space="preserve">Eerlijke openbaarmaking met betrekking tot overdrachten buiten de </w:t>
      </w:r>
      <w:r>
        <w:rPr>
          <w:lang w:val="nl-NL"/>
        </w:rPr>
        <w:t xml:space="preserve"/>
      </w:r>
      <w:r>
        <w:rPr>
          <w:lang w:val="nl-NL"/>
        </w:rPr>
        <w:t xml:space="preserve">EER (Optie A). Standaard draaien de kunstmatige-intelligentiefuncties op een inferentie-infrastructuur gecontroleerd door OHADJA, gehost in Europa (vLLM open-weights): deze primaire route brengt geen overdracht buiten de EER met zich mee. Een overdracht buiten de Europese Economische Ruimte is alleen mogelijk op residuele basis, wanneer de OpenRouter-back-up wordt aangevraagd (onbeschikbaarheid van de primaire route) en niet is gedeactiveerd, waarbij laatstgenoemde gebruik kan maken van in de Verenigde Staten gevestigde modelaanbieders (bijvoorbeeld Anthropic of OpenAI). Op dezelfde manier kan incidenteel gebruik van GPU-transcriptiebronnen via een marktplaats, afhankelijk van de configuratie, verwerking buiten de EER met zich meebrengen. Deze resterende overdrachten worden beheerst door de mechanismen van hoofdstuk V van AVG (standaardcontractbepalingen, waar van toepassing het Data Privacy Framework) en door aanvullende maatregelen (TLS, minimalisatie, gebrek aan training over uw gegevens, afwezigheid van duurzame opslag).</w:t>
      </w:r>
    </w:p>
    <w:p>
      <w:pPr>
        <w:pStyle w:val="BodyText"/>
      </w:pPr>
      <w:r>
        <w:rPr>
          <w:lang w:val="nl-NL"/>
        </w:rPr>
        <w:t xml:space="preserve">Voor organisaties die de afwezigheid van enige overdracht buiten de EER vereisen, </w:t>
      </w:r>
      <w:r>
        <w:rPr>
          <w:lang w:val="nl-NL"/>
        </w:rPr>
        <w:t xml:space="preserve"/>
      </w:r>
      <w:r>
        <w:rPr>
          <w:b/>
          <w:bCs/>
          <w:lang w:val="nl-NL"/>
        </w:rPr>
        <w:t xml:space="preserve">is sinds versie </w:t>
      </w:r>
      <w:r>
        <w:rPr>
          <w:lang w:val="nl-NL"/>
        </w:rPr>
        <w:t xml:space="preserve">1.7.0 </w:t>
      </w:r>
      <w:r>
        <w:rPr>
          <w:lang w:val="nl-NL"/>
        </w:rPr>
        <w:t xml:space="preserve">per organisatie een “strikt EU”-profiel configureerbaar (primair UE vLLM-kanaal of zelf-gehost model, OpenRouter fallback uitgeschakeld, GPU-bronnen in UE). De geïsoleerde </w:t>
      </w:r>
      <w:r>
        <w:rPr>
          <w:b/>
          <w:bCs/>
          <w:lang w:val="nl-NL"/>
        </w:rPr>
        <w:t xml:space="preserve">optie B op locatie sluit door </w:t>
      </w:r>
      <w:r>
        <w:rPr>
          <w:lang w:val="nl-NL"/>
        </w:rPr>
        <w:t xml:space="preserve"/>
      </w:r>
      <w:r>
        <w:rPr>
          <w:lang w:val="nl-NL"/>
        </w:rPr>
        <w:t xml:space="preserve">de constructie elke uitgaande stroom en elke overdracht buiten de EER uit.</w:t>
      </w:r>
    </w:p>
    <w:p>
      <w:pPr>
        <w:pStyle w:val="BodyText"/>
      </w:pPr>
      <w:r>
        <w:rPr>
          <w:b/>
          <w:bCs/>
          <w:lang w:val="nl-NL"/>
        </w:rPr>
        <w:t xml:space="preserve">Administratie en ondersteuning vanuit Frankrijk/EU. </w:t>
      </w:r>
      <w:r>
        <w:rPr>
          <w:lang w:val="nl-NL"/>
        </w:rPr>
        <w:t xml:space="preserve"/>
      </w:r>
      <w:r>
        <w:rPr>
          <w:lang w:val="nl-NL"/>
        </w:rPr>
        <w:t xml:space="preserve">OHADJA verbindt zich er contractueel toe om het beheer en de ondersteuning van de oplossing </w:t>
      </w:r>
      <w:r>
        <w:rPr>
          <w:lang w:val="nl-NL"/>
        </w:rPr>
        <w:t xml:space="preserve"/>
      </w:r>
      <w:r>
        <w:rPr>
          <w:b/>
          <w:bCs/>
          <w:lang w:val="nl-NL"/>
        </w:rPr>
        <w:t xml:space="preserve">uitsluitend vanuit Frankrijk of de Europese Unie uit te voeren. </w:t>
      </w:r>
      <w:r>
        <w:rPr>
          <w:lang w:val="nl-NL"/>
        </w:rPr>
        <w:t xml:space="preserve">Er vindt geen administratieve toegang tot productiegegevens plaats vanuit een derde land. Deze toegangen zijn nominatief, worden uitgevoerd via een gecodeerde verbinding (SSH per sleutel, dubbele authenticatie, TLS), gelogd, zonder lokale kopie van de productiegegevens en vanaf een gecodeerd werkstation. Zie document TRB-CONF-01.04 voor details.</w:t>
      </w:r>
    </w:p>
    <w:bookmarkEnd w:id="20"/>
    <w:bookmarkStart w:id="21" w:name="X1b934251d3bed64bb585d5086874bcd6a2a0f9f"/>
    <w:p>
      <w:pPr>
        <w:pStyle w:val="Heading2"/>
        <w:keepNext/>
        <w:keepLines/>
      </w:pPr>
      <w:r>
        <w:rPr>
          <w:color w:val="000000"/>
          <w:lang w:val="nl-NL"/>
        </w:rPr>
        <w:t xml:space="preserve">11. Datalekken</w:t>
      </w:r>
    </w:p>
    <w:p>
      <w:pPr>
        <w:pStyle w:val="FirstParagraph"/>
      </w:pPr>
      <w:r>
        <w:rPr>
          <w:lang w:val="nl-NL"/>
        </w:rPr>
        <w:t xml:space="preserve">Bij een inbreuk in verband met persoonsgegevens die uw gegevens betreft, informeert OHADJA u zonder onredelijke vertraging </w:t>
      </w:r>
      <w:r>
        <w:rPr>
          <w:lang w:val="nl-NL"/>
        </w:rPr>
        <w:t xml:space="preserve"/>
      </w:r>
      <w:r>
        <w:rPr>
          <w:b/>
          <w:bCs/>
          <w:lang w:val="nl-NL"/>
        </w:rPr>
        <w:t xml:space="preserve">nadat zij hiervan kennis heeft gekregen, ook buiten werkdagen </w:t>
      </w:r>
      <w:r>
        <w:rPr>
          <w:lang w:val="nl-NL"/>
        </w:rPr>
        <w:t xml:space="preserve"/>
      </w:r>
      <w:r>
        <w:rPr>
          <w:lang w:val="nl-NL"/>
        </w:rPr>
        <w:t xml:space="preserve">(artikel 8 van de verwerkersovereenkomst). De waarschuwing bevat beschikbare informatie over de aard, de betrokken gegevens en personen, de gevolgen en de maatregelen; deze wordt zonder onredelijke vertraging aangevuld, zonder de afronding van het onderzoek af te wachten.</w:t>
      </w:r>
    </w:p>
    <w:p>
      <w:pPr>
        <w:pStyle w:val="BodyText"/>
      </w:pPr>
      <w:r>
        <w:rPr>
          <w:lang w:val="nl-NL"/>
        </w:rPr>
        <w:t xml:space="preserve">De Klant beoordeelt als verwerkingsverantwoordelijke of melding aan de bevoegde toezichthoudende autoriteit vereist is onder artikel 33 van de AVG; indien vereist, meldt hij zonder onredelijke vertraging </w:t>
      </w:r>
      <w:r>
        <w:rPr>
          <w:lang w:val="nl-NL"/>
        </w:rPr>
        <w:t xml:space="preserve">en </w:t>
      </w:r>
      <w:r>
        <w:rPr>
          <w:b/>
          <w:bCs/>
          <w:lang w:val="nl-NL"/>
        </w:rPr>
        <w:t xml:space="preserve">waar mogelijk binnen 72 uur nadat hij </w:t>
      </w:r>
      <w:r>
        <w:rPr>
          <w:lang w:val="nl-NL"/>
        </w:rPr>
        <w:t xml:space="preserve">hiervan </w:t>
      </w:r>
      <w:r>
        <w:rPr>
          <w:lang w:val="nl-NL"/>
        </w:rPr>
        <w:t xml:space="preserve">kennis heeft gekregen. De autoriteit wordt niet bepaald door de taal van het document; de CNIL is de Franse toezichthouder. Hij beoordeelt afzonderlijk de informatie aan personen bij een hoog risico, onder de voorwaarden van artikel 34.</w:t>
      </w:r>
    </w:p>
    <w:p>
      <w:pPr>
        <w:pStyle w:val="BodyText"/>
      </w:pPr>
      <w:r>
        <w:rPr>
          <w:lang w:val="nl-NL"/>
        </w:rPr>
        <w:t xml:space="preserve">Contactpersoon voor het melden en monitoren van een incident: </w:t>
      </w:r>
      <w:r>
        <w:rPr>
          <w:lang w:val="nl-NL"/>
        </w:rPr>
        <w:t xml:space="preserve"/>
      </w:r>
      <w:hyperlink r:id="rId9">
        <w:r>
          <w:rPr>
            <w:rStyle w:val="Hyperlink"/>
            <w:lang w:val="nl-NL"/>
          </w:rPr>
          <w:t xml:space="preserve">privacy@transcribia.eu</w:t>
        </w:r>
      </w:hyperlink>
      <w:r>
        <w:rPr>
          <w:lang w:val="nl-NL"/>
        </w:rPr>
        <w:t xml:space="preserve">.</w:t>
      </w:r>
    </w:p>
    <w:bookmarkEnd w:id="21"/>
    <w:bookmarkStart w:id="22" w:name="X748abbc0e9c3c7d10f73fc5df8bd4ed0eace36e"/>
    <w:p>
      <w:pPr>
        <w:pStyle w:val="Heading2"/>
        <w:keepNext/>
        <w:keepLines/>
      </w:pPr>
      <w:r>
        <w:rPr>
          <w:color w:val="000000"/>
          <w:lang w:val="nl-NL"/>
        </w:rPr>
        <w:t xml:space="preserve">12. Vocale correlatie – specifiek toezicht</w:t>
      </w:r>
    </w:p>
    <w:p>
      <w:pPr>
        <w:pStyle w:val="FirstParagraph"/>
      </w:pPr>
      <w:r>
        <w:rPr>
          <w:lang w:val="nl-NL"/>
        </w:rPr>
        <w:t xml:space="preserve">De functie stemcorrelatie, geleverd op 18 mei 2026, maakt tijdelijke stemvergelijking binnen dezelfde organisatie mogelijk om koppelingen tussen sprekers voor te stellen. Zij staat standaard </w:t>
      </w:r>
      <w:r>
        <w:rPr>
          <w:lang w:val="nl-NL"/>
        </w:rPr>
        <w:t xml:space="preserve"/>
      </w:r>
      <w:r>
        <w:rPr>
          <w:b/>
          <w:bCs/>
          <w:lang w:val="nl-NL"/>
        </w:rPr>
        <w:t xml:space="preserve">uit en vereist </w:t>
      </w:r>
      <w:r>
        <w:rPr>
          <w:lang w:val="nl-NL"/>
        </w:rPr>
        <w:t xml:space="preserve"/>
      </w:r>
      <w:r>
        <w:rPr>
          <w:lang w:val="nl-NL"/>
        </w:rPr>
        <w:t xml:space="preserve">uitdrukkelijke activering. Voor activering zijn voorafgaande ondertekening van een specifiek DPA-addendum en een gegevensbeschermingseffectbeoordeling (GEB, artikel 35) nodig. Stemrepresentaties worden tijdelijk in RAM berekend, vormen geen blijvend biometrisch sjabloon, worden nooit gebruikt om modellen te trainen en worden aan het einde van het verzoek vernietigd. Suggesties vereisen verplichte menselijke validatie.</w:t>
      </w:r>
    </w:p>
    <w:p>
      <w:pPr>
        <w:pStyle w:val="BodyText"/>
      </w:pPr>
      <w:r>
        <w:rPr>
          <w:lang w:val="nl-NL"/>
        </w:rPr>
        <w:t xml:space="preserve">OHADJA verbindt zich ertoe nooit blijvende automatische biometrische verwerking in te voeren zonder uitdrukkelijke actualisering van de Verwerkersovereenkomst, onderworpen aan uw voorafgaande aanvaarding, met een aankondigingstermijn van minimaal zestig (60) dagen.</w:t>
      </w:r>
    </w:p>
    <w:bookmarkEnd w:id="22"/>
    <w:bookmarkStart w:id="23" w:name="X20465f27dd06acc5a702225313327e4138f83ef"/>
    <w:p>
      <w:pPr>
        <w:pStyle w:val="Heading2"/>
        <w:keepNext/>
        <w:keepLines/>
      </w:pPr>
      <w:r>
        <w:rPr>
          <w:color w:val="000000"/>
          <w:lang w:val="nl-NL"/>
        </w:rPr>
        <w:t xml:space="preserve">13. Houdbaarheid</w:t>
      </w:r>
    </w:p>
    <w:p>
      <w:pPr>
        <w:pStyle w:val="FirstParagraph"/>
      </w:pPr>
      <w:r>
        <w:rPr>
          <w:lang w:val="nl-NL"/>
        </w:rPr>
        <w:t xml:space="preserve">Bewaartermijnen kunnen per </w:t>
      </w:r>
      <w:r>
        <w:rPr>
          <w:lang w:val="nl-NL"/>
        </w:rPr>
        <w:t xml:space="preserve"/>
      </w:r>
      <w:r>
        <w:rPr>
          <w:b/>
          <w:bCs/>
          <w:lang w:val="nl-NL"/>
        </w:rPr>
        <w:t xml:space="preserve">organisatie worden geconfigureerd. </w:t>
      </w:r>
      <w:r>
        <w:rPr>
          <w:lang w:val="nl-NL"/>
        </w:rPr>
        <w:t xml:space="preserve">Als er geen instellingen zijn gemaakt, zijn de standaardwaarden als volgt: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Categorie</w:t>
            </w:r>
          </w:p>
        </w:tc>
        <w:tc>
          <w:tcPr/>
          <w:p>
            <w:pPr>
              <w:pStyle w:val="Compact"/>
            </w:pPr>
            <w:r>
              <w:rPr>
                <w:lang w:val="nl-NL"/>
              </w:rPr>
              <w:t xml:space="preserve">Standaardduur</w:t>
            </w:r>
          </w:p>
        </w:tc>
      </w:tr>
      <w:tr>
        <w:trPr>
          <w:cantSplit/>
        </w:trPr>
        <w:tc>
          <w:tcPr/>
          <w:p>
            <w:pPr>
              <w:pStyle w:val="Compact"/>
            </w:pPr>
            <w:r>
              <w:rPr>
                <w:lang w:val="nl-NL"/>
              </w:rPr>
              <w:t xml:space="preserve">Audiobestanden, transcripties, documenten, AI-generaties</w:t>
            </w:r>
          </w:p>
        </w:tc>
        <w:tc>
          <w:tcPr/>
          <w:p>
            <w:pPr>
              <w:pStyle w:val="Compact"/>
            </w:pPr>
            <w:r>
              <w:rPr>
                <w:lang w:val="nl-NL"/>
              </w:rPr>
              <w:t xml:space="preserve">Duur van het contract, behalve de door u geconfigureerde duur</w:t>
            </w:r>
          </w:p>
        </w:tc>
      </w:tr>
      <w:tr>
        <w:trPr>
          <w:cantSplit/>
        </w:trPr>
        <w:tc>
          <w:tcPr/>
          <w:p>
            <w:pPr>
              <w:pStyle w:val="Compact"/>
            </w:pPr>
            <w:r>
              <w:rPr>
                <w:lang w:val="nl-NL"/>
              </w:rPr>
              <w:t xml:space="preserve">Auditlogboeken van applicaties</w:t>
            </w:r>
          </w:p>
        </w:tc>
        <w:tc>
          <w:tcPr/>
          <w:p>
            <w:pPr>
              <w:pStyle w:val="Compact"/>
            </w:pPr>
            <w:r>
              <w:rPr>
                <w:lang w:val="nl-NL"/>
              </w:rPr>
              <w:t xml:space="preserve">Maximaal twaalf (12) maanden, tenzij anders geïnstrueerd of vereist</w:t>
            </w:r>
          </w:p>
        </w:tc>
      </w:tr>
      <w:tr>
        <w:trPr>
          <w:cantSplit/>
        </w:trPr>
        <w:tc>
          <w:tcPr/>
          <w:p>
            <w:pPr>
              <w:pStyle w:val="Compact"/>
            </w:pPr>
            <w:r>
              <w:rPr>
                <w:lang w:val="nl-NL"/>
              </w:rPr>
              <w:t xml:space="preserve">Technische tijdschriften</w:t>
            </w:r>
          </w:p>
        </w:tc>
        <w:tc>
          <w:tcPr/>
          <w:p>
            <w:pPr>
              <w:pStyle w:val="Compact"/>
            </w:pPr>
            <w:r>
              <w:rPr>
                <w:lang w:val="nl-NL"/>
              </w:rPr>
              <w:t xml:space="preserve">Ongeveer negentig (90) dagen</w:t>
            </w:r>
          </w:p>
        </w:tc>
      </w:tr>
      <w:tr>
        <w:trPr>
          <w:cantSplit/>
        </w:trPr>
        <w:tc>
          <w:tcPr/>
          <w:p>
            <w:pPr>
              <w:pStyle w:val="Compact"/>
            </w:pPr>
            <w:r>
              <w:rPr>
                <w:lang w:val="nl-NL"/>
              </w:rPr>
              <w:t xml:space="preserve">Back-ups</w:t>
            </w:r>
          </w:p>
        </w:tc>
        <w:tc>
          <w:tcPr/>
          <w:p>
            <w:pPr>
              <w:pStyle w:val="Compact"/>
            </w:pPr>
            <w:r>
              <w:rPr>
                <w:lang w:val="nl-NL"/>
              </w:rPr>
              <w:t xml:space="preserve">Maximaal negentig (90) dagen</w:t>
            </w:r>
          </w:p>
        </w:tc>
      </w:tr>
      <w:tr>
        <w:trPr>
          <w:cantSplit/>
        </w:trPr>
        <w:tc>
          <w:tcPr/>
          <w:p>
            <w:pPr>
              <w:pStyle w:val="Compact"/>
            </w:pPr>
            <w:r>
              <w:rPr>
                <w:lang w:val="nl-NL"/>
              </w:rPr>
              <w:t xml:space="preserve">Tijdelijke spraakrepresentaties (spraakcorrelatie)</w:t>
            </w:r>
          </w:p>
        </w:tc>
        <w:tc>
          <w:tcPr/>
          <w:p>
            <w:pPr>
              <w:pStyle w:val="Compact"/>
            </w:pPr>
            <w:r>
              <w:rPr>
                <w:lang w:val="nl-NL"/>
              </w:rPr>
              <w:t xml:space="preserve">Alleen duur van de aanvraag, vernietiging aan het einde van de verwerking</w:t>
            </w:r>
          </w:p>
        </w:tc>
      </w:tr>
    </w:tbl>
    <w:p>
      <w:pPr>
        <w:pStyle w:val="BodyText"/>
      </w:pPr>
      <w:r>
        <w:rPr>
          <w:lang w:val="nl-NL"/>
        </w:rPr>
        <w:t xml:space="preserve">De details staan in bijlage 1 van de DPA.</w:t>
      </w:r>
    </w:p>
    <w:bookmarkEnd w:id="23"/>
    <w:bookmarkStart w:id="24" w:name="X07f81c7fe2a8ed9b89166589432e4564882394b"/>
    <w:p>
      <w:pPr>
        <w:pStyle w:val="Heading2"/>
        <w:keepNext/>
        <w:keepLines/>
      </w:pPr>
      <w:r>
        <w:rPr>
          <w:color w:val="000000"/>
          <w:lang w:val="nl-NL"/>
        </w:rPr>
        <w:t xml:space="preserve">14. Certificeringen — feitelijke status</w:t>
      </w:r>
    </w:p>
    <w:p>
      <w:pPr>
        <w:pStyle w:val="FirstParagraph"/>
      </w:pPr>
      <w:r>
        <w:rPr>
          <w:lang w:val="nl-NL"/>
        </w:rPr>
        <w:t xml:space="preserve">Op de datum van dit blad beschikt </w:t>
      </w:r>
      <w:r>
        <w:rPr>
          <w:lang w:val="nl-NL"/>
        </w:rPr>
        <w:t xml:space="preserve">OHADJA </w:t>
      </w:r>
      <w:r>
        <w:rPr>
          <w:b/>
          <w:bCs/>
          <w:lang w:val="nl-NL"/>
        </w:rPr>
        <w:t xml:space="preserve">niet over enige </w:t>
      </w:r>
      <w:r>
        <w:rPr>
          <w:lang w:val="nl-NL"/>
        </w:rPr>
        <w:t xml:space="preserve"/>
      </w:r>
      <w:r>
        <w:rPr>
          <w:lang w:val="nl-NL"/>
        </w:rPr>
        <w:t xml:space="preserve">beveiligingscertificering die is verkregen voor TranscribIA. Om eerlijk te zijn met uw RSSI-analyses: de voortgang is als volgt:</w:t>
      </w:r>
    </w:p>
    <w:p>
      <w:pPr>
        <w:pStyle w:val="Compact"/>
        <w:numPr>
          <w:ilvl w:val="0"/>
          <w:numId w:val="1004"/>
        </w:numPr>
      </w:pPr>
      <w:r>
        <w:rPr>
          <w:b/>
          <w:bCs/>
          <w:lang w:val="nl-NL"/>
        </w:rPr>
        <w:t xml:space="preserve">ISO/IEC 27001: </w:t>
      </w:r>
      <w:r>
        <w:rPr>
          <w:lang w:val="nl-NL"/>
        </w:rPr>
        <w:t xml:space="preserve"/>
      </w:r>
      <w:r>
        <w:rPr>
          <w:lang w:val="nl-NL"/>
        </w:rPr>
        <w:t xml:space="preserve">gestructureerde aanpak gevolgd; er is een basis van zestien beleidsmaatregelen voor informatiebeveiligingsbeheer geformaliseerd; certificering gepland voor begin 2027.</w:t>
      </w:r>
    </w:p>
    <w:p>
      <w:pPr>
        <w:pStyle w:val="Compact"/>
        <w:numPr>
          <w:ilvl w:val="0"/>
          <w:numId w:val="1004"/>
        </w:numPr>
      </w:pPr>
      <w:r>
        <w:rPr>
          <w:b/>
          <w:bCs/>
          <w:lang w:val="nl-NL"/>
        </w:rPr>
        <w:t xml:space="preserve">SOC 2 Type </w:t>
      </w:r>
      <w:r>
        <w:rPr>
          <w:lang w:val="nl-NL"/>
        </w:rPr>
        <w:t xml:space="preserve">I: </w:t>
      </w:r>
      <w:r>
        <w:rPr>
          <w:lang w:val="nl-NL"/>
        </w:rPr>
        <w:t xml:space="preserve">audit gepland voor 2026.</w:t>
      </w:r>
    </w:p>
    <w:p>
      <w:pPr>
        <w:pStyle w:val="Compact"/>
        <w:numPr>
          <w:ilvl w:val="0"/>
          <w:numId w:val="1004"/>
        </w:numPr>
      </w:pPr>
      <w:r>
        <w:rPr>
          <w:b/>
          <w:bCs/>
          <w:lang w:val="nl-NL"/>
        </w:rPr>
        <w:t xml:space="preserve">HDS (hosting van gezondheidsgegevens): </w:t>
      </w:r>
      <w:r>
        <w:rPr>
          <w:lang w:val="nl-NL"/>
        </w:rPr>
        <w:t xml:space="preserve"/>
      </w:r>
      <w:r>
        <w:rPr>
          <w:lang w:val="nl-NL"/>
        </w:rPr>
        <w:t xml:space="preserve">in onderzoek, alleen relevant in aanwezigheid van gezondheidsgegevens.</w:t>
      </w:r>
    </w:p>
    <w:p>
      <w:pPr>
        <w:pStyle w:val="Compact"/>
        <w:numPr>
          <w:ilvl w:val="0"/>
          <w:numId w:val="1004"/>
        </w:numPr>
      </w:pPr>
      <w:r>
        <w:rPr>
          <w:b/>
          <w:bCs/>
          <w:lang w:val="nl-NL"/>
        </w:rPr>
        <w:t xml:space="preserve">SecNumCloud: </w:t>
      </w:r>
      <w:r>
        <w:rPr>
          <w:lang w:val="nl-NL"/>
        </w:rPr>
        <w:t xml:space="preserve"/>
      </w:r>
      <w:r>
        <w:rPr>
          <w:lang w:val="nl-NL"/>
        </w:rPr>
        <w:t xml:space="preserve">stand-by, niet gericht op de korte termijn.</w:t>
      </w:r>
    </w:p>
    <w:p>
      <w:pPr>
        <w:pStyle w:val="FirstParagraph"/>
      </w:pPr>
      <w:r>
        <w:rPr>
          <w:lang w:val="nl-NL"/>
        </w:rPr>
        <w:t xml:space="preserve">Deze elementen worden ter informatie vermeld; het vormen geen resultaatverbintenissen.</w:t>
      </w:r>
    </w:p>
    <w:bookmarkEnd w:id="24"/>
    <w:bookmarkStart w:id="25" w:name="X3cc9d837d5b5bfc67ac24d260d78f0776b9dcea"/>
    <w:p>
      <w:pPr>
        <w:pStyle w:val="Heading2"/>
        <w:keepNext/>
        <w:keepLines/>
      </w:pPr>
      <w:r>
        <w:rPr>
          <w:color w:val="000000"/>
          <w:lang w:val="nl-NL"/>
        </w:rPr>
        <w:t xml:space="preserve">15. Bestuur en contact</w:t>
      </w:r>
    </w:p>
    <w:p>
      <w:pPr>
        <w:pStyle w:val="FirstParagraph"/>
      </w:pPr>
      <w:r>
        <w:rPr>
          <w:lang w:val="nl-NL"/>
        </w:rPr>
        <w:t xml:space="preserve">OHADJA heeft op de datum van dit document geen FG aangesteld; de noodzaak van aanstelling moet worden onderworpen aan een gedocumenteerde beoordeling van de criteria van artikel 37, die gelden voor verwerkingsverantwoordelijken en verwerkers. De contactpersoon voor gegevensbescherming is bereikbaar via </w:t>
      </w:r>
      <w:r>
        <w:rPr>
          <w:lang w:val="nl-NL"/>
        </w:rPr>
        <w:t xml:space="preserve"/>
      </w:r>
      <w:hyperlink r:id="rId9">
        <w:r>
          <w:rPr>
            <w:rStyle w:val="Hyperlink"/>
            <w:lang w:val="nl-NL"/>
          </w:rPr>
          <w:t xml:space="preserve">privacy@transcribia.eu</w:t>
        </w:r>
      </w:hyperlink>
      <w:r>
        <w:rPr>
          <w:lang w:val="nl-NL"/>
        </w:rPr>
        <w:t xml:space="preserve"> </w:t>
      </w:r>
      <w:r>
        <w:rPr>
          <w:lang w:val="nl-NL"/>
        </w:rPr>
        <w:t xml:space="preserve">[TE BEVESTIGEN: identiteit en functie]. Een algemene GEB voor de dienst is op verzoek beschikbaar; de Klant blijft verantwoordelijk voor de GEB van zijn toepassingen, met de overeengekomen contractuele ondersteuning.</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25"/>
    <w:bookmarkEnd w:id="26"/>
    <w:bookmarkStart w:id="35" w:name="X5ce8e54643d310862f8b266cf20852c711cc936"/>
    <w:p>
      <w:pPr>
        <w:pStyle w:val="Heading1"/>
        <w:keepNext/>
        <w:keepLines/>
      </w:pPr>
      <w:r>
        <w:rPr>
          <w:color w:val="000000"/>
          <w:lang w:val="nl-NL"/>
        </w:rPr>
        <w:t xml:space="preserve">Beschrijving van de uitgevoerde behandelingen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TRB-CONF-01.03</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27" w:name="Xb1f60ed89d16cc8c1b22a449bcdccfadc02c111"/>
    <w:p>
      <w:pPr>
        <w:pStyle w:val="Heading2"/>
        <w:keepNext/>
        <w:keepLines/>
      </w:pPr>
      <w:r>
        <w:rPr>
          <w:color w:val="000000"/>
          <w:lang w:val="nl-NL"/>
        </w:rPr>
        <w:t xml:space="preserve">1. Doel van het document</w:t>
      </w:r>
    </w:p>
    <w:p>
      <w:pPr>
        <w:pStyle w:val="FirstParagraph"/>
      </w:pPr>
      <w:r>
        <w:rPr>
          <w:lang w:val="nl-NL"/>
        </w:rPr>
        <w:t xml:space="preserve">Dit document werkt bijlage 1 van de Verwerkersovereenkomst (document TRB-CONF-01.02) uit. Voor beoordeling door uw contactpersoon gegevensbescherming en IT-afdeling beschrijft het het onderwerp, de aard en de doelen van de verwerkingen met TranscribIA, de categorieën gegevens en betrokkenen en de verwerkingshandelingen stap voor stap binnen het functionele proces van de oplossing.</w:t>
      </w:r>
    </w:p>
    <w:p>
      <w:pPr>
        <w:pStyle w:val="BodyText"/>
      </w:pPr>
      <w:r>
        <w:rPr>
          <w:lang w:val="nl-NL"/>
        </w:rPr>
        <w:t xml:space="preserve">Het maakt systematisch een onderscheid tussen de twee leveringswijzen:</w:t>
      </w:r>
    </w:p>
    <w:p>
      <w:pPr>
        <w:pStyle w:val="Compact"/>
        <w:numPr>
          <w:ilvl w:val="0"/>
          <w:numId w:val="1005"/>
        </w:numPr>
      </w:pPr>
      <w:r>
        <w:rPr>
          <w:b/>
          <w:bCs/>
          <w:lang w:val="nl-NL"/>
        </w:rPr>
        <w:t xml:space="preserve">Optie A — SaaS: </w:t>
      </w:r>
      <w:r>
        <w:rPr>
          <w:lang w:val="nl-NL"/>
        </w:rPr>
        <w:t xml:space="preserve"/>
      </w:r>
      <w:r>
        <w:rPr>
          <w:lang w:val="nl-NL"/>
        </w:rPr>
        <w:t xml:space="preserve">dienst gehost en geëxploiteerd door OHADJA op een infrastructuur in Frankrijk.</w:t>
      </w:r>
    </w:p>
    <w:p>
      <w:pPr>
        <w:pStyle w:val="Compact"/>
        <w:numPr>
          <w:ilvl w:val="0"/>
          <w:numId w:val="1005"/>
        </w:numPr>
      </w:pPr>
      <w:r>
        <w:rPr>
          <w:b/>
          <w:bCs/>
          <w:lang w:val="nl-NL"/>
        </w:rPr>
        <w:t xml:space="preserve">Optie B — On-premise: </w:t>
      </w:r>
      <w:r>
        <w:rPr>
          <w:lang w:val="nl-NL"/>
        </w:rPr>
        <w:t xml:space="preserve"/>
      </w:r>
      <w:r>
        <w:rPr>
          <w:lang w:val="nl-NL"/>
        </w:rPr>
        <w:t xml:space="preserve">implementatie van de oplossing in de infrastructuur van de klant, waarvan de “geïsoleerde” variant geen uitgaande stroom met zich meebrengt.</w:t>
      </w:r>
    </w:p>
    <w:p>
      <w:pPr>
        <w:pStyle w:val="FirstParagraph"/>
      </w:pPr>
      <w:r>
        <w:rPr>
          <w:lang w:val="nl-NL"/>
        </w:rPr>
        <w:t xml:space="preserve">In geval van discrepantie tussen dit document en de DPA, prevaleren de bepalingen van de DPA.</w:t>
      </w:r>
    </w:p>
    <w:bookmarkEnd w:id="27"/>
    <w:bookmarkStart w:id="28" w:name="Xe2205706177dc3f6d76bd1cc1f9ebf058d31c16"/>
    <w:p>
      <w:pPr>
        <w:pStyle w:val="Heading2"/>
        <w:keepNext/>
        <w:keepLines/>
      </w:pPr>
      <w:r>
        <w:rPr>
          <w:color w:val="000000"/>
          <w:lang w:val="nl-NL"/>
        </w:rPr>
        <w:t xml:space="preserve">2. Doel, aard en doeleinden van de verwerking</w:t>
      </w:r>
    </w:p>
    <w:p>
      <w:pPr>
        <w:pStyle w:val="FirstParagraph"/>
      </w:pPr>
      <w:r>
        <w:rPr>
          <w:b/>
          <w:bCs/>
          <w:lang w:val="nl-NL"/>
        </w:rPr>
        <w:t xml:space="preserve">Voorwerp. </w:t>
      </w:r>
      <w:r>
        <w:rPr>
          <w:lang w:val="nl-NL"/>
        </w:rPr>
        <w:t xml:space="preserve"/>
      </w:r>
      <w:r>
        <w:rPr>
          <w:lang w:val="nl-NL"/>
        </w:rPr>
        <w:t xml:space="preserve">Het bieden van een oplossing voor audiotranscriptie, sprekerdiarisatie, transcriptiestructurering, exploitatie van kunstmatige intelligentie, documentgeneratie, sessie- en gebruikersbeheer, logboekregistratie en suggesties voor sprekeridentificatie.</w:t>
      </w:r>
    </w:p>
    <w:p>
      <w:pPr>
        <w:pStyle w:val="BodyText"/>
      </w:pPr>
      <w:r>
        <w:rPr>
          <w:b/>
          <w:bCs/>
          <w:lang w:val="nl-NL"/>
        </w:rPr>
        <w:t xml:space="preserve">Natuur. </w:t>
      </w:r>
      <w:r>
        <w:rPr>
          <w:lang w:val="nl-NL"/>
        </w:rPr>
        <w:t xml:space="preserve"/>
      </w:r>
      <w:r>
        <w:rPr>
          <w:lang w:val="nl-NL"/>
        </w:rPr>
        <w:t xml:space="preserve">Verzameling door upload, hosting, opslag, organisatie, weergave, extractie, transcriptie, sprekerdiarisatie, correctie, AI-ondersteunde generatie, export, loggen, back-up, verwijdering en technische assistentie.</w:t>
      </w:r>
    </w:p>
    <w:p>
      <w:pPr>
        <w:pStyle w:val="BodyText"/>
      </w:pPr>
      <w:r>
        <w:rPr>
          <w:b/>
          <w:bCs/>
          <w:lang w:val="nl-NL"/>
        </w:rPr>
        <w:t xml:space="preserve">Doeleinden. </w:t>
      </w:r>
      <w:r>
        <w:rPr>
          <w:lang w:val="nl-NL"/>
        </w:rPr>
        <w:t xml:space="preserve"/>
      </w:r>
      <w:r>
        <w:rPr>
          <w:lang w:val="nl-NL"/>
        </w:rPr>
        <w:t xml:space="preserve">Laat uw organisatie werksessies aanmaken, audiobestanden uploaden, bruikbare transcripties verkrijgen, sprekers beheren, inhoud corrigeren of verrijken, samenvattingen, notulen, hoofdstukken of analyses maken, voorbereidende documenten beheren, traceerbaarheid garanderen en toegang beheren.</w:t>
      </w:r>
    </w:p>
    <w:p>
      <w:pPr>
        <w:pStyle w:val="BodyText"/>
      </w:pPr>
      <w:r>
        <w:rPr>
          <w:lang w:val="nl-NL"/>
        </w:rPr>
        <w:t xml:space="preserve">De doeleinden worden </w:t>
      </w:r>
      <w:r>
        <w:rPr>
          <w:lang w:val="nl-NL"/>
        </w:rPr>
        <w:t xml:space="preserve"/>
      </w:r>
      <w:r>
        <w:rPr>
          <w:b/>
          <w:bCs/>
          <w:lang w:val="nl-NL"/>
        </w:rPr>
        <w:t xml:space="preserve">bepaald door uw organisatie in </w:t>
      </w:r>
      <w:r>
        <w:rPr>
          <w:lang w:val="nl-NL"/>
        </w:rPr>
        <w:t xml:space="preserve">haar </w:t>
      </w:r>
      <w:r>
        <w:rPr>
          <w:lang w:val="nl-NL"/>
        </w:rPr>
        <w:t xml:space="preserve">hoedanigheid van verwerkingsverantwoordelijke. OHADJA gebruikt geen gegevens voor eigen doeleinden.</w:t>
      </w:r>
    </w:p>
    <w:bookmarkEnd w:id="28"/>
    <w:bookmarkStart w:id="29" w:name="X56485e4b262afdb194453dd1109068006fcc426"/>
    <w:p>
      <w:pPr>
        <w:pStyle w:val="Heading2"/>
        <w:keepNext/>
        <w:keepLines/>
      </w:pPr>
      <w:r>
        <w:rPr>
          <w:color w:val="000000"/>
          <w:lang w:val="nl-NL"/>
        </w:rPr>
        <w:t xml:space="preserve">3. Categorieën verwerkte gegevens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Categorie</w:t>
            </w:r>
          </w:p>
        </w:tc>
        <w:tc>
          <w:tcPr/>
          <w:p>
            <w:pPr>
              <w:pStyle w:val="Compact"/>
            </w:pPr>
            <w:r>
              <w:rPr>
                <w:lang w:val="nl-NL"/>
              </w:rPr>
              <w:t xml:space="preserve">Voorbeelden</w:t>
            </w:r>
          </w:p>
        </w:tc>
      </w:tr>
      <w:tr>
        <w:trPr>
          <w:cantSplit/>
        </w:trPr>
        <w:tc>
          <w:tcPr/>
          <w:p>
            <w:pPr>
              <w:pStyle w:val="Compact"/>
            </w:pPr>
            <w:r>
              <w:rPr>
                <w:lang w:val="nl-NL"/>
              </w:rPr>
              <w:t xml:space="preserve">Mogelijke audio- en video-opnamen</w:t>
            </w:r>
          </w:p>
        </w:tc>
        <w:tc>
          <w:tcPr/>
          <w:p>
            <w:pPr>
              <w:pStyle w:val="Compact"/>
            </w:pPr>
            <w:r>
              <w:rPr>
                <w:lang w:val="nl-NL"/>
              </w:rPr>
              <w:t xml:space="preserve">MP3-, wav-, ogg-, m4a-, flac-, webm-, mp4-, avi-, mkv-, mov-, wmv-bestanden (maximale grootte 2.500 MB)</w:t>
            </w:r>
          </w:p>
        </w:tc>
      </w:tr>
      <w:tr>
        <w:trPr>
          <w:cantSplit/>
        </w:trPr>
        <w:tc>
          <w:tcPr/>
          <w:p>
            <w:pPr>
              <w:pStyle w:val="Compact"/>
            </w:pPr>
            <w:r>
              <w:rPr>
                <w:lang w:val="nl-NL"/>
              </w:rPr>
              <w:t xml:space="preserve">Transcripties</w:t>
            </w:r>
          </w:p>
        </w:tc>
        <w:tc>
          <w:tcPr/>
          <w:p>
            <w:pPr>
              <w:pStyle w:val="Compact"/>
            </w:pPr>
            <w:r>
              <w:rPr>
                <w:lang w:val="nl-NL"/>
              </w:rPr>
              <w:t xml:space="preserve">Transcriptie JSON, segmenten, tijdstempels, woordelijk, versies, correcties, hoofdstukken, sprekerdiarisatie</w:t>
            </w:r>
          </w:p>
        </w:tc>
      </w:tr>
      <w:tr>
        <w:trPr>
          <w:cantSplit/>
        </w:trPr>
        <w:tc>
          <w:tcPr/>
          <w:p>
            <w:pPr>
              <w:pStyle w:val="Compact"/>
            </w:pPr>
            <w:r>
              <w:rPr>
                <w:lang w:val="nl-NL"/>
              </w:rPr>
              <w:t xml:space="preserve">Sprekergegevens</w:t>
            </w:r>
          </w:p>
        </w:tc>
        <w:tc>
          <w:tcPr/>
          <w:p>
            <w:pPr>
              <w:pStyle w:val="Compact"/>
            </w:pPr>
            <w:r>
              <w:rPr>
                <w:lang w:val="nl-NL"/>
              </w:rPr>
              <w:t xml:space="preserve">Namen ingevoerd door gebruikers, sprekerlabels, voorgestelde en gevalideerde matches</w:t>
            </w:r>
          </w:p>
        </w:tc>
      </w:tr>
      <w:tr>
        <w:trPr>
          <w:cantSplit/>
        </w:trPr>
        <w:tc>
          <w:tcPr/>
          <w:p>
            <w:pPr>
              <w:pStyle w:val="Compact"/>
            </w:pPr>
            <w:r>
              <w:rPr>
                <w:lang w:val="nl-NL"/>
              </w:rPr>
              <w:t xml:space="preserve">Voorbereidende documenten</w:t>
            </w:r>
          </w:p>
        </w:tc>
        <w:tc>
          <w:tcPr/>
          <w:p>
            <w:pPr>
              <w:pStyle w:val="Compact"/>
            </w:pPr>
            <w:r>
              <w:rPr>
                <w:lang w:val="nl-NL"/>
              </w:rPr>
              <w:t xml:space="preserve">Agenda's, afgelopen notulen, notities, PDF/DOCX, tekst- of markdown-extract</w:t>
            </w:r>
          </w:p>
        </w:tc>
      </w:tr>
      <w:tr>
        <w:trPr>
          <w:cantSplit/>
        </w:trPr>
        <w:tc>
          <w:tcPr/>
          <w:p>
            <w:pPr>
              <w:pStyle w:val="Compact"/>
            </w:pPr>
            <w:r>
              <w:rPr>
                <w:lang w:val="nl-NL"/>
              </w:rPr>
              <w:t xml:space="preserve">Metagegevens van sessie</w:t>
            </w:r>
          </w:p>
        </w:tc>
        <w:tc>
          <w:tcPr/>
          <w:p>
            <w:pPr>
              <w:pStyle w:val="Compact"/>
            </w:pPr>
            <w:r>
              <w:rPr>
                <w:lang w:val="nl-NL"/>
              </w:rPr>
              <w:t xml:space="preserve">Titel, datum, locatie, sessietype, status, kalender, team, organisatie, gekoppelde bestanden, instellingen</w:t>
            </w:r>
          </w:p>
        </w:tc>
      </w:tr>
      <w:tr>
        <w:trPr>
          <w:cantSplit/>
        </w:trPr>
        <w:tc>
          <w:tcPr/>
          <w:p>
            <w:pPr>
              <w:pStyle w:val="Compact"/>
            </w:pPr>
            <w:r>
              <w:rPr>
                <w:lang w:val="nl-NL"/>
              </w:rPr>
              <w:t xml:space="preserve">Gebruikersaccounts</w:t>
            </w:r>
          </w:p>
        </w:tc>
        <w:tc>
          <w:tcPr/>
          <w:p>
            <w:pPr>
              <w:pStyle w:val="Compact"/>
            </w:pPr>
            <w:r>
              <w:rPr>
                <w:lang w:val="nl-NL"/>
              </w:rPr>
              <w:t xml:space="preserve">Achternaam, voornaam indien van toepassing, e-mailadres, rol, organisatie, team, toegangstokens, verbindingsdata</w:t>
            </w:r>
          </w:p>
        </w:tc>
      </w:tr>
      <w:tr>
        <w:trPr>
          <w:cantSplit/>
        </w:trPr>
        <w:tc>
          <w:tcPr/>
          <w:p>
            <w:pPr>
              <w:pStyle w:val="Compact"/>
            </w:pPr>
            <w:r>
              <w:rPr>
                <w:lang w:val="nl-NL"/>
              </w:rPr>
              <w:t xml:space="preserve">Auditlogboeken en technische sporen</w:t>
            </w:r>
          </w:p>
        </w:tc>
        <w:tc>
          <w:tcPr/>
          <w:p>
            <w:pPr>
              <w:pStyle w:val="Compact"/>
            </w:pPr>
            <w:r>
              <w:rPr>
                <w:lang w:val="nl-NL"/>
              </w:rPr>
              <w:t xml:space="preserve">Gebruikers-ID's, acties, datums, IP-adressen wanneer verzameld, applicatiegebeurtenissen, fouten, correlatie-ID's</w:t>
            </w:r>
          </w:p>
        </w:tc>
      </w:tr>
      <w:tr>
        <w:trPr>
          <w:cantSplit/>
        </w:trPr>
        <w:tc>
          <w:tcPr/>
          <w:p>
            <w:pPr>
              <w:pStyle w:val="Compact"/>
            </w:pPr>
            <w:r>
              <w:rPr>
                <w:lang w:val="nl-NL"/>
              </w:rPr>
              <w:t xml:space="preserve">AI-generaties</w:t>
            </w:r>
          </w:p>
        </w:tc>
        <w:tc>
          <w:tcPr/>
          <w:p>
            <w:pPr>
              <w:pStyle w:val="Compact"/>
            </w:pPr>
            <w:r>
              <w:rPr>
                <w:lang w:val="nl-NL"/>
              </w:rPr>
              <w:t xml:space="preserve">Prompts, geselecteerde bronnen, gegenereerde reacties, samenvattingen, analyses, correcties, notulen, exports</w:t>
            </w:r>
          </w:p>
        </w:tc>
      </w:tr>
      <w:tr>
        <w:trPr>
          <w:cantSplit/>
        </w:trPr>
        <w:tc>
          <w:tcPr/>
          <w:p>
            <w:pPr>
              <w:pStyle w:val="Compact"/>
            </w:pPr>
            <w:r>
              <w:rPr>
                <w:lang w:val="nl-NL"/>
              </w:rPr>
              <w:t xml:space="preserve">Stem- of aanwezigheidsgegevens, indien ingeschakeld</w:t>
            </w:r>
          </w:p>
        </w:tc>
        <w:tc>
          <w:tcPr/>
          <w:p>
            <w:pPr>
              <w:pStyle w:val="Compact"/>
            </w:pPr>
            <w:r>
              <w:rPr>
                <w:lang w:val="nl-NL"/>
              </w:rPr>
              <w:t xml:space="preserve">Aanwezigheid, afwezigheid, volmachten, stemresultaten, kwaliteit of functie van deelnemers</w:t>
            </w:r>
          </w:p>
        </w:tc>
      </w:tr>
      <w:tr>
        <w:trPr>
          <w:cantSplit/>
        </w:trPr>
        <w:tc>
          <w:tcPr/>
          <w:p>
            <w:pPr>
              <w:pStyle w:val="Compact"/>
            </w:pPr>
            <w:r>
              <w:rPr>
                <w:lang w:val="nl-NL"/>
              </w:rPr>
              <w:t xml:space="preserve">Tijdelijke stemrepresentaties</w:t>
            </w:r>
          </w:p>
        </w:tc>
        <w:tc>
          <w:tcPr/>
          <w:p>
            <w:pPr>
              <w:pStyle w:val="Compact"/>
            </w:pPr>
            <w:r>
              <w:rPr>
                <w:lang w:val="nl-NL"/>
              </w:rPr>
              <w:t xml:space="preserve">Digitale vectoren berekend in RAM voor stemcorrelatie, vernietigd aan het einde van het verzoek</w:t>
            </w:r>
          </w:p>
        </w:tc>
      </w:tr>
    </w:tbl>
    <w:bookmarkEnd w:id="29"/>
    <w:bookmarkStart w:id="30" w:name="Xb026068f2151d4ac72560dc3548f72be26eed7b"/>
    <w:p>
      <w:pPr>
        <w:pStyle w:val="Heading2"/>
        <w:keepNext/>
        <w:keepLines/>
      </w:pPr>
      <w:r>
        <w:rPr>
          <w:color w:val="000000"/>
          <w:lang w:val="nl-NL"/>
        </w:rPr>
        <w:t xml:space="preserve">4. Categorieën betrokkenen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Categorie</w:t>
            </w:r>
          </w:p>
        </w:tc>
        <w:tc>
          <w:tcPr/>
          <w:p>
            <w:pPr>
              <w:pStyle w:val="Compact"/>
            </w:pPr>
            <w:r>
              <w:rPr>
                <w:lang w:val="nl-NL"/>
              </w:rPr>
              <w:t xml:space="preserve">Beschrijving</w:t>
            </w:r>
          </w:p>
        </w:tc>
      </w:tr>
      <w:tr>
        <w:trPr>
          <w:cantSplit/>
        </w:trPr>
        <w:tc>
          <w:tcPr/>
          <w:p>
            <w:pPr>
              <w:pStyle w:val="Compact"/>
            </w:pPr>
            <w:r>
              <w:rPr>
                <w:lang w:val="nl-NL"/>
              </w:rPr>
              <w:t xml:space="preserve">Klantgebruikers</w:t>
            </w:r>
          </w:p>
        </w:tc>
        <w:tc>
          <w:tcPr/>
          <w:p>
            <w:pPr>
              <w:pStyle w:val="Compact"/>
            </w:pPr>
            <w:r>
              <w:rPr>
                <w:lang w:val="nl-NL"/>
              </w:rPr>
              <w:t xml:space="preserve">Agenten, werknemers, gekozen functionarissen, praktijkmensen, advocaten, notarissen, docenten, journalisten, bestuurders, teamleden</w:t>
            </w:r>
          </w:p>
        </w:tc>
      </w:tr>
      <w:tr>
        <w:trPr>
          <w:cantSplit/>
        </w:trPr>
        <w:tc>
          <w:tcPr/>
          <w:p>
            <w:pPr>
              <w:pStyle w:val="Compact"/>
            </w:pPr>
            <w:r>
              <w:rPr>
                <w:lang w:val="nl-NL"/>
              </w:rPr>
              <w:t xml:space="preserve">Geregistreerde sprekers</w:t>
            </w:r>
          </w:p>
        </w:tc>
        <w:tc>
          <w:tcPr/>
          <w:p>
            <w:pPr>
              <w:pStyle w:val="Compact"/>
            </w:pPr>
            <w:r>
              <w:rPr>
                <w:lang w:val="nl-NL"/>
              </w:rPr>
              <w:t xml:space="preserve">Deelnemers van wie de stem is vastgelegd in geüploade bestanden</w:t>
            </w:r>
          </w:p>
        </w:tc>
      </w:tr>
      <w:tr>
        <w:trPr>
          <w:cantSplit/>
        </w:trPr>
        <w:tc>
          <w:tcPr/>
          <w:p>
            <w:pPr>
              <w:pStyle w:val="Compact"/>
            </w:pPr>
            <w:r>
              <w:rPr>
                <w:lang w:val="nl-NL"/>
              </w:rPr>
              <w:t xml:space="preserve">Mensen genoemd</w:t>
            </w:r>
          </w:p>
        </w:tc>
        <w:tc>
          <w:tcPr/>
          <w:p>
            <w:pPr>
              <w:pStyle w:val="Compact"/>
            </w:pPr>
            <w:r>
              <w:rPr>
                <w:lang w:val="nl-NL"/>
              </w:rPr>
              <w:t xml:space="preserve">Mensen die worden geciteerd in vergaderingen, transcripties, documenten, stemmen, notulen of AI-generaties</w:t>
            </w:r>
          </w:p>
        </w:tc>
      </w:tr>
      <w:tr>
        <w:trPr>
          <w:cantSplit/>
        </w:trPr>
        <w:tc>
          <w:tcPr/>
          <w:p>
            <w:pPr>
              <w:pStyle w:val="Compact"/>
            </w:pPr>
            <w:r>
              <w:rPr>
                <w:lang w:val="nl-NL"/>
              </w:rPr>
              <w:t xml:space="preserve">Institutionele contacten</w:t>
            </w:r>
          </w:p>
        </w:tc>
        <w:tc>
          <w:tcPr/>
          <w:p>
            <w:pPr>
              <w:pStyle w:val="Compact"/>
            </w:pPr>
            <w:r>
              <w:rPr>
                <w:lang w:val="nl-NL"/>
              </w:rPr>
              <w:t xml:space="preserve">Bestuursleden, gekozen functionarissen, medewerkers, vertegenwoordigers, uitgenodigde deelnemers</w:t>
            </w:r>
          </w:p>
        </w:tc>
      </w:tr>
      <w:tr>
        <w:trPr>
          <w:cantSplit/>
        </w:trPr>
        <w:tc>
          <w:tcPr/>
          <w:p>
            <w:pPr>
              <w:pStyle w:val="Compact"/>
            </w:pPr>
            <w:r>
              <w:rPr>
                <w:lang w:val="nl-NL"/>
              </w:rPr>
              <w:t xml:space="preserve">Personeel OHADJA</w:t>
            </w:r>
          </w:p>
        </w:tc>
        <w:tc>
          <w:tcPr/>
          <w:p>
            <w:pPr>
              <w:pStyle w:val="Compact"/>
            </w:pPr>
            <w:r>
              <w:rPr>
                <w:lang w:val="nl-NL"/>
              </w:rPr>
              <w:t xml:space="preserve">Enkel voor sporen van interventie, ondersteuning, beveiliging of interne audit gelinkt aan de dienst</w:t>
            </w:r>
          </w:p>
        </w:tc>
      </w:tr>
    </w:tbl>
    <w:bookmarkEnd w:id="30"/>
    <w:bookmarkStart w:id="32" w:name="X1b3637a51c839f2e3fee467cfce921b002e0fd8"/>
    <w:p>
      <w:pPr>
        <w:pStyle w:val="Heading2"/>
        <w:keepNext/>
        <w:keepLines/>
      </w:pPr>
      <w:r>
        <w:rPr>
          <w:color w:val="000000"/>
          <w:lang w:val="nl-NL"/>
        </w:rPr>
        <w:t xml:space="preserve">5. Verwerkingen, stap voor stap</w:t>
      </w:r>
    </w:p>
    <w:p>
      <w:pPr>
        <w:pStyle w:val="FirstParagraph"/>
      </w:pPr>
      <w:r>
        <w:rPr>
          <w:lang w:val="nl-NL"/>
        </w:rPr>
        <w:t xml:space="preserve">De volgende tabel beschrijft elke handeling van de functionele stroom, het betreffende technische onderdeel, de locatie van de verwerking in Optie A en het gedrag in geïsoleerde Optie B.</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Stap</w:t>
            </w:r>
          </w:p>
        </w:tc>
        <w:tc>
          <w:tcPr>
            <w:tcW w:type="dxa" w:w="1872"/>
            <w:tcMar>
              <w:left w:type="dxa" w:w="80"/>
              <w:right w:type="dxa" w:w="80"/>
            </w:tcMar>
          </w:tcPr>
          <w:p>
            <w:pPr>
              <w:pStyle w:val="Compact"/>
            </w:pPr>
            <w:r>
              <w:rPr>
                <w:sz w:val="19"/>
                <w:szCs w:val="19"/>
                <w:lang w:val="nl-NL"/>
              </w:rPr>
              <w:t xml:space="preserve">Operatie</w:t>
            </w:r>
          </w:p>
        </w:tc>
        <w:tc>
          <w:tcPr>
            <w:tcW w:type="dxa" w:w="1872"/>
            <w:tcMar>
              <w:left w:type="dxa" w:w="80"/>
              <w:right w:type="dxa" w:w="80"/>
            </w:tcMar>
          </w:tcPr>
          <w:p>
            <w:pPr>
              <w:pStyle w:val="Compact"/>
            </w:pPr>
            <w:r>
              <w:rPr>
                <w:sz w:val="19"/>
                <w:szCs w:val="19"/>
                <w:lang w:val="nl-NL"/>
              </w:rPr>
              <w:t xml:space="preserve">Onderdeel</w:t>
            </w:r>
          </w:p>
        </w:tc>
        <w:tc>
          <w:tcPr>
            <w:tcW w:type="dxa" w:w="1872"/>
            <w:tcMar>
              <w:left w:type="dxa" w:w="80"/>
              <w:right w:type="dxa" w:w="80"/>
            </w:tcMar>
          </w:tcPr>
          <w:p>
            <w:pPr>
              <w:pStyle w:val="Compact"/>
            </w:pPr>
            <w:r>
              <w:rPr>
                <w:sz w:val="19"/>
                <w:szCs w:val="19"/>
                <w:lang w:val="nl-NL"/>
              </w:rPr>
              <w:t xml:space="preserve">Optie A (SaaS)</w:t>
            </w:r>
          </w:p>
        </w:tc>
        <w:tc>
          <w:tcPr>
            <w:tcW w:type="dxa" w:w="1872"/>
            <w:tcMar>
              <w:left w:type="dxa" w:w="80"/>
              <w:right w:type="dxa" w:w="80"/>
            </w:tcMar>
          </w:tcPr>
          <w:p>
            <w:pPr>
              <w:pStyle w:val="Compact"/>
            </w:pPr>
            <w:r>
              <w:rPr>
                <w:sz w:val="19"/>
                <w:szCs w:val="19"/>
                <w:lang w:val="nl-NL"/>
              </w:rPr>
              <w:t xml:space="preserve">Optie B (geïsoleerd)</w:t>
            </w:r>
          </w:p>
        </w:tc>
      </w:tr>
      <w:tr>
        <w:trPr>
          <w:cantSplit/>
        </w:trPr>
        <w:tc>
          <w:tcPr>
            <w:tcW w:type="dxa" w:w="1872"/>
            <w:tcMar>
              <w:left w:type="dxa" w:w="80"/>
              <w:right w:type="dxa" w:w="80"/>
            </w:tcMar>
          </w:tcPr>
          <w:p>
            <w:pPr>
              <w:pStyle w:val="Compact"/>
            </w:pPr>
            <w:r>
              <w:rPr>
                <w:sz w:val="19"/>
                <w:szCs w:val="19"/>
                <w:lang w:val="nl-NL"/>
              </w:rPr>
              <w:t xml:space="preserve">1. Uploaden</w:t>
            </w:r>
          </w:p>
        </w:tc>
        <w:tc>
          <w:tcPr>
            <w:tcW w:type="dxa" w:w="1872"/>
            <w:tcMar>
              <w:left w:type="dxa" w:w="80"/>
              <w:right w:type="dxa" w:w="80"/>
            </w:tcMar>
          </w:tcPr>
          <w:p>
            <w:pPr>
              <w:pStyle w:val="Compact"/>
            </w:pPr>
            <w:r>
              <w:rPr>
                <w:sz w:val="19"/>
                <w:szCs w:val="19"/>
                <w:lang w:val="nl-NL"/>
              </w:rPr>
              <w:t xml:space="preserve">Ontvangst van het audio- of videobestand, controle van formaat en grootte (max. 2.500 MB), wijziging naar status “in behandeling”</w:t>
            </w:r>
          </w:p>
        </w:tc>
        <w:tc>
          <w:tcPr>
            <w:tcW w:type="dxa" w:w="1872"/>
            <w:tcMar>
              <w:left w:type="dxa" w:w="80"/>
              <w:right w:type="dxa" w:w="80"/>
            </w:tcMar>
          </w:tcPr>
          <w:p>
            <w:pPr>
              <w:pStyle w:val="Compact"/>
            </w:pPr>
            <w:r>
              <w:rPr>
                <w:sz w:val="19"/>
                <w:szCs w:val="19"/>
                <w:lang w:val="nl-NL"/>
              </w:rPr>
              <w:t xml:space="preserve">Laravel + Nginx-app</w:t>
            </w:r>
          </w:p>
        </w:tc>
        <w:tc>
          <w:tcPr>
            <w:tcW w:type="dxa" w:w="1872"/>
            <w:tcMar>
              <w:left w:type="dxa" w:w="80"/>
              <w:right w:type="dxa" w:w="80"/>
            </w:tcMar>
          </w:tcPr>
          <w:p>
            <w:pPr>
              <w:pStyle w:val="Compact"/>
            </w:pPr>
            <w:r>
              <w:rPr>
                <w:sz w:val="19"/>
                <w:szCs w:val="19"/>
                <w:lang w:val="nl-NL"/>
              </w:rPr>
              <w:t xml:space="preserve">Serveer Frankrijk</w:t>
            </w:r>
          </w:p>
        </w:tc>
        <w:tc>
          <w:tcPr>
            <w:tcW w:type="dxa" w:w="1872"/>
            <w:tcMar>
              <w:left w:type="dxa" w:w="80"/>
              <w:right w:type="dxa" w:w="80"/>
            </w:tcMar>
          </w:tcPr>
          <w:p>
            <w:pPr>
              <w:pStyle w:val="Compact"/>
            </w:pPr>
            <w:r>
              <w:rPr>
                <w:sz w:val="19"/>
                <w:szCs w:val="19"/>
                <w:lang w:val="nl-NL"/>
              </w:rPr>
              <w:t xml:space="preserve">Klantinfrastructuur</w:t>
            </w:r>
          </w:p>
        </w:tc>
      </w:tr>
      <w:tr>
        <w:trPr>
          <w:cantSplit/>
        </w:trPr>
        <w:tc>
          <w:tcPr>
            <w:tcW w:type="dxa" w:w="1872"/>
            <w:tcMar>
              <w:left w:type="dxa" w:w="80"/>
              <w:right w:type="dxa" w:w="80"/>
            </w:tcMar>
          </w:tcPr>
          <w:p>
            <w:pPr>
              <w:pStyle w:val="Compact"/>
            </w:pPr>
            <w:r>
              <w:rPr>
                <w:sz w:val="19"/>
                <w:szCs w:val="19"/>
                <w:lang w:val="nl-NL"/>
              </w:rPr>
              <w:t xml:space="preserve">2. Virusscan</w:t>
            </w:r>
          </w:p>
        </w:tc>
        <w:tc>
          <w:tcPr>
            <w:tcW w:type="dxa" w:w="1872"/>
            <w:tcMar>
              <w:left w:type="dxa" w:w="80"/>
              <w:right w:type="dxa" w:w="80"/>
            </w:tcMar>
          </w:tcPr>
          <w:p>
            <w:pPr>
              <w:pStyle w:val="Compact"/>
            </w:pPr>
            <w:r>
              <w:rPr>
                <w:sz w:val="19"/>
                <w:szCs w:val="19"/>
                <w:lang w:val="nl-NL"/>
              </w:rPr>
              <w:t xml:space="preserve">Systematische controle van elke upload vóór het schrijven naar schijf, afwijzing en waarschuwing in het geval van een geïnfecteerd bestand</w:t>
            </w:r>
          </w:p>
        </w:tc>
        <w:tc>
          <w:tcPr>
            <w:tcW w:type="dxa" w:w="1872"/>
            <w:tcMar>
              <w:left w:type="dxa" w:w="80"/>
              <w:right w:type="dxa" w:w="80"/>
            </w:tcMar>
          </w:tcPr>
          <w:p>
            <w:pPr>
              <w:pStyle w:val="Compact"/>
            </w:pPr>
            <w:r>
              <w:rPr>
                <w:sz w:val="19"/>
                <w:szCs w:val="19"/>
                <w:lang w:val="nl-NL"/>
              </w:rPr>
              <w:t xml:space="preserve">Zijspan ClamAV</w:t>
            </w:r>
          </w:p>
        </w:tc>
        <w:tc>
          <w:tcPr>
            <w:tcW w:type="dxa" w:w="1872"/>
            <w:tcMar>
              <w:left w:type="dxa" w:w="80"/>
              <w:right w:type="dxa" w:w="80"/>
            </w:tcMar>
          </w:tcPr>
          <w:p>
            <w:pPr>
              <w:pStyle w:val="Compact"/>
            </w:pPr>
            <w:r>
              <w:rPr>
                <w:sz w:val="19"/>
                <w:szCs w:val="19"/>
                <w:lang w:val="nl-NL"/>
              </w:rPr>
              <w:t xml:space="preserve">Serveer Frankrijk</w:t>
            </w:r>
          </w:p>
        </w:tc>
        <w:tc>
          <w:tcPr>
            <w:tcW w:type="dxa" w:w="1872"/>
            <w:tcMar>
              <w:left w:type="dxa" w:w="80"/>
              <w:right w:type="dxa" w:w="80"/>
            </w:tcMar>
          </w:tcPr>
          <w:p>
            <w:pPr>
              <w:pStyle w:val="Compact"/>
            </w:pPr>
            <w:r>
              <w:rPr>
                <w:sz w:val="19"/>
                <w:szCs w:val="19"/>
                <w:lang w:val="nl-NL"/>
              </w:rPr>
              <w:t xml:space="preserve">Klantinfrastructuur</w:t>
            </w:r>
          </w:p>
        </w:tc>
      </w:tr>
      <w:tr>
        <w:trPr>
          <w:cantSplit/>
        </w:trPr>
        <w:tc>
          <w:tcPr>
            <w:tcW w:type="dxa" w:w="1872"/>
            <w:tcMar>
              <w:left w:type="dxa" w:w="80"/>
              <w:right w:type="dxa" w:w="80"/>
            </w:tcMar>
          </w:tcPr>
          <w:p>
            <w:pPr>
              <w:pStyle w:val="Compact"/>
            </w:pPr>
            <w:r>
              <w:rPr>
                <w:sz w:val="19"/>
                <w:szCs w:val="19"/>
                <w:lang w:val="nl-NL"/>
              </w:rPr>
              <w:t xml:space="preserve">3. Transcriptie</w:t>
            </w:r>
          </w:p>
        </w:tc>
        <w:tc>
          <w:tcPr>
            <w:tcW w:type="dxa" w:w="1872"/>
            <w:tcMar>
              <w:left w:type="dxa" w:w="80"/>
              <w:right w:type="dxa" w:w="80"/>
            </w:tcMar>
          </w:tcPr>
          <w:p>
            <w:pPr>
              <w:pStyle w:val="Compact"/>
            </w:pPr>
            <w:r>
              <w:rPr>
                <w:sz w:val="19"/>
                <w:szCs w:val="19"/>
                <w:lang w:val="nl-NL"/>
              </w:rPr>
              <w:t xml:space="preserve">Spraak-naar-tekst-conversie, segment- en tijdstempelproductie</w:t>
            </w:r>
          </w:p>
        </w:tc>
        <w:tc>
          <w:tcPr>
            <w:tcW w:type="dxa" w:w="1872"/>
            <w:tcMar>
              <w:left w:type="dxa" w:w="80"/>
              <w:right w:type="dxa" w:w="80"/>
            </w:tcMar>
          </w:tcPr>
          <w:p>
            <w:pPr>
              <w:pStyle w:val="Compact"/>
            </w:pPr>
            <w:r>
              <w:rPr>
                <w:sz w:val="19"/>
                <w:szCs w:val="19"/>
                <w:lang w:val="nl-NL"/>
              </w:rPr>
              <w:t xml:space="preserve">GPU-transcriptieserver (whisperX)</w:t>
            </w:r>
          </w:p>
        </w:tc>
        <w:tc>
          <w:tcPr>
            <w:tcW w:type="dxa" w:w="1872"/>
            <w:tcMar>
              <w:left w:type="dxa" w:w="80"/>
              <w:right w:type="dxa" w:w="80"/>
            </w:tcMar>
          </w:tcPr>
          <w:p>
            <w:pPr>
              <w:pStyle w:val="Compact"/>
            </w:pPr>
            <w:r>
              <w:rPr>
                <w:sz w:val="19"/>
                <w:szCs w:val="19"/>
                <w:lang w:val="nl-NL"/>
              </w:rPr>
              <w:t xml:space="preserve">Toegewijde GPU- of UE-bron indien nodig</w:t>
            </w:r>
          </w:p>
        </w:tc>
        <w:tc>
          <w:tcPr>
            <w:tcW w:type="dxa" w:w="1872"/>
            <w:tcMar>
              <w:left w:type="dxa" w:w="80"/>
              <w:right w:type="dxa" w:w="80"/>
            </w:tcMar>
          </w:tcPr>
          <w:p>
            <w:pPr>
              <w:pStyle w:val="Compact"/>
            </w:pPr>
            <w:r>
              <w:rPr>
                <w:sz w:val="19"/>
                <w:szCs w:val="19"/>
                <w:lang w:val="nl-NL"/>
              </w:rPr>
              <w:t xml:space="preserve">Lokale GPU-worker van de client</w:t>
            </w:r>
          </w:p>
        </w:tc>
      </w:tr>
      <w:tr>
        <w:trPr>
          <w:cantSplit/>
        </w:trPr>
        <w:tc>
          <w:tcPr>
            <w:tcW w:type="dxa" w:w="1872"/>
            <w:tcMar>
              <w:left w:type="dxa" w:w="80"/>
              <w:right w:type="dxa" w:w="80"/>
            </w:tcMar>
          </w:tcPr>
          <w:p>
            <w:pPr>
              <w:pStyle w:val="Compact"/>
            </w:pPr>
            <w:r>
              <w:rPr>
                <w:sz w:val="19"/>
                <w:szCs w:val="19"/>
                <w:lang w:val="nl-NL"/>
              </w:rPr>
              <w:t xml:space="preserve">4. sprekerdiarisatie</w:t>
            </w:r>
          </w:p>
        </w:tc>
        <w:tc>
          <w:tcPr>
            <w:tcW w:type="dxa" w:w="1872"/>
            <w:tcMar>
              <w:left w:type="dxa" w:w="80"/>
              <w:right w:type="dxa" w:w="80"/>
            </w:tcMar>
          </w:tcPr>
          <w:p>
            <w:pPr>
              <w:pStyle w:val="Compact"/>
            </w:pPr>
            <w:r>
              <w:rPr>
                <w:sz w:val="19"/>
                <w:szCs w:val="19"/>
                <w:lang w:val="nl-NL"/>
              </w:rPr>
              <w:t xml:space="preserve">Positionele scheiding van sprekers, neutrale labels “Speaker N”, zonder bewaard sjabloon; dit garandeert geen anonimiteit.</w:t>
            </w:r>
          </w:p>
        </w:tc>
        <w:tc>
          <w:tcPr>
            <w:tcW w:type="dxa" w:w="1872"/>
            <w:tcMar>
              <w:left w:type="dxa" w:w="80"/>
              <w:right w:type="dxa" w:w="80"/>
            </w:tcMar>
          </w:tcPr>
          <w:p>
            <w:pPr>
              <w:pStyle w:val="Compact"/>
            </w:pPr>
            <w:r>
              <w:rPr>
                <w:sz w:val="19"/>
                <w:szCs w:val="19"/>
                <w:lang w:val="nl-NL"/>
              </w:rPr>
              <w:t xml:space="preserve">pyannote.audio</w:t>
            </w:r>
          </w:p>
        </w:tc>
        <w:tc>
          <w:tcPr>
            <w:tcW w:type="dxa" w:w="1872"/>
            <w:tcMar>
              <w:left w:type="dxa" w:w="80"/>
              <w:right w:type="dxa" w:w="80"/>
            </w:tcMar>
          </w:tcPr>
          <w:p>
            <w:pPr>
              <w:pStyle w:val="Compact"/>
            </w:pPr>
            <w:r>
              <w:rPr>
                <w:sz w:val="19"/>
                <w:szCs w:val="19"/>
                <w:lang w:val="nl-NL"/>
              </w:rPr>
              <w:t xml:space="preserve">Geautomatiseerde verwerking, gegevens verwijderd na de klus</w:t>
            </w:r>
          </w:p>
        </w:tc>
        <w:tc>
          <w:tcPr>
            <w:tcW w:type="dxa" w:w="1872"/>
            <w:tcMar>
              <w:left w:type="dxa" w:w="80"/>
              <w:right w:type="dxa" w:w="80"/>
            </w:tcMar>
          </w:tcPr>
          <w:p>
            <w:pPr>
              <w:pStyle w:val="Compact"/>
            </w:pPr>
            <w:r>
              <w:rPr>
                <w:sz w:val="19"/>
                <w:szCs w:val="19"/>
                <w:lang w:val="nl-NL"/>
              </w:rPr>
              <w:t xml:space="preserve">Lokale GPU-worker van de client</w:t>
            </w:r>
          </w:p>
        </w:tc>
      </w:tr>
      <w:tr>
        <w:trPr>
          <w:cantSplit/>
        </w:trPr>
        <w:tc>
          <w:tcPr>
            <w:tcW w:type="dxa" w:w="1872"/>
            <w:tcMar>
              <w:left w:type="dxa" w:w="80"/>
              <w:right w:type="dxa" w:w="80"/>
            </w:tcMar>
          </w:tcPr>
          <w:p>
            <w:pPr>
              <w:pStyle w:val="Compact"/>
            </w:pPr>
            <w:r>
              <w:rPr>
                <w:sz w:val="19"/>
                <w:szCs w:val="19"/>
                <w:lang w:val="nl-NL"/>
              </w:rPr>
              <w:t xml:space="preserve">5. AI-exploitatie</w:t>
            </w:r>
          </w:p>
        </w:tc>
        <w:tc>
          <w:tcPr>
            <w:tcW w:type="dxa" w:w="1872"/>
            <w:tcMar>
              <w:left w:type="dxa" w:w="80"/>
              <w:right w:type="dxa" w:w="80"/>
            </w:tcMar>
          </w:tcPr>
          <w:p>
            <w:pPr>
              <w:pStyle w:val="Compact"/>
            </w:pPr>
            <w:r>
              <w:rPr>
                <w:sz w:val="19"/>
                <w:szCs w:val="19"/>
                <w:lang w:val="nl-NL"/>
              </w:rPr>
              <w:t xml:space="preserve">Correctie, samenvatting, notulen, hoofdstukken, suggestie voor identificatie van sprekers, alleen uit geselecteerde bronnen</w:t>
            </w:r>
          </w:p>
        </w:tc>
        <w:tc>
          <w:tcPr>
            <w:tcW w:type="dxa" w:w="1872"/>
            <w:tcMar>
              <w:left w:type="dxa" w:w="80"/>
              <w:right w:type="dxa" w:w="80"/>
            </w:tcMar>
          </w:tcPr>
          <w:p>
            <w:pPr>
              <w:pStyle w:val="Compact"/>
            </w:pPr>
            <w:r>
              <w:rPr>
                <w:sz w:val="19"/>
                <w:szCs w:val="19"/>
                <w:lang w:val="nl-NL"/>
              </w:rPr>
              <w:t xml:space="preserve">Beheerde vLLM-servers / LlmGateway / LLM-configuratie per organisatie</w:t>
            </w:r>
          </w:p>
        </w:tc>
        <w:tc>
          <w:tcPr>
            <w:tcW w:type="dxa" w:w="1872"/>
            <w:tcMar>
              <w:left w:type="dxa" w:w="80"/>
              <w:right w:type="dxa" w:w="80"/>
            </w:tcMar>
          </w:tcPr>
          <w:p>
            <w:pPr>
              <w:pStyle w:val="Compact"/>
            </w:pPr>
            <w:r>
              <w:rPr>
                <w:sz w:val="19"/>
                <w:szCs w:val="19"/>
                <w:lang w:val="nl-NL"/>
              </w:rPr>
              <w:t xml:space="preserve">Primaire route: vLLM open-weights op GPU's beheerst in Europa (Straatsburg / Parijs); OpenRouter-back-up (buiten de EER) als de primaire route niet beschikbaar en niet uitgeschakeld is</w:t>
            </w:r>
          </w:p>
        </w:tc>
        <w:tc>
          <w:tcPr>
            <w:tcW w:type="dxa" w:w="1872"/>
            <w:tcMar>
              <w:left w:type="dxa" w:w="80"/>
              <w:right w:type="dxa" w:w="80"/>
            </w:tcMar>
          </w:tcPr>
          <w:p>
            <w:pPr>
              <w:pStyle w:val="Compact"/>
            </w:pPr>
            <w:r>
              <w:rPr>
                <w:sz w:val="19"/>
                <w:szCs w:val="19"/>
                <w:lang w:val="nl-NL"/>
              </w:rPr>
              <w:t xml:space="preserve">Lokaal, zelf-hostend model (vLLM/Ollama), geen uitgaande stroom</w:t>
            </w:r>
          </w:p>
        </w:tc>
      </w:tr>
      <w:tr>
        <w:trPr>
          <w:cantSplit/>
        </w:trPr>
        <w:tc>
          <w:tcPr>
            <w:tcW w:type="dxa" w:w="1872"/>
            <w:tcMar>
              <w:left w:type="dxa" w:w="80"/>
              <w:right w:type="dxa" w:w="80"/>
            </w:tcMar>
          </w:tcPr>
          <w:p>
            <w:pPr>
              <w:pStyle w:val="Compact"/>
            </w:pPr>
            <w:r>
              <w:rPr>
                <w:sz w:val="19"/>
                <w:szCs w:val="19"/>
                <w:lang w:val="nl-NL"/>
              </w:rPr>
              <w:t xml:space="preserve">6. Stemcorrelatie (optie)</w:t>
            </w:r>
          </w:p>
        </w:tc>
        <w:tc>
          <w:tcPr>
            <w:tcW w:type="dxa" w:w="1872"/>
            <w:tcMar>
              <w:left w:type="dxa" w:w="80"/>
              <w:right w:type="dxa" w:w="80"/>
            </w:tcMar>
          </w:tcPr>
          <w:p>
            <w:pPr>
              <w:pStyle w:val="Compact"/>
            </w:pPr>
            <w:r>
              <w:rPr>
                <w:sz w:val="19"/>
                <w:szCs w:val="19"/>
                <w:lang w:val="nl-NL"/>
              </w:rPr>
              <w:t xml:space="preserve">Kortstondige stemvergelijking om luidsprekerverbindingen te suggereren, inbedding vernietigd aan het einde van het verzoek</w:t>
            </w:r>
          </w:p>
        </w:tc>
        <w:tc>
          <w:tcPr>
            <w:tcW w:type="dxa" w:w="1872"/>
            <w:tcMar>
              <w:left w:type="dxa" w:w="80"/>
              <w:right w:type="dxa" w:w="80"/>
            </w:tcMar>
          </w:tcPr>
          <w:p>
            <w:pPr>
              <w:pStyle w:val="Compact"/>
            </w:pPr>
            <w:r>
              <w:rPr>
                <w:sz w:val="19"/>
                <w:szCs w:val="19"/>
                <w:lang w:val="nl-NL"/>
              </w:rPr>
              <w:t xml:space="preserve">Toegewijde werker</w:t>
            </w:r>
          </w:p>
        </w:tc>
        <w:tc>
          <w:tcPr>
            <w:tcW w:type="dxa" w:w="1872"/>
            <w:tcMar>
              <w:left w:type="dxa" w:w="80"/>
              <w:right w:type="dxa" w:w="80"/>
            </w:tcMar>
          </w:tcPr>
          <w:p>
            <w:pPr>
              <w:pStyle w:val="Compact"/>
            </w:pPr>
            <w:r>
              <w:rPr>
                <w:sz w:val="19"/>
                <w:szCs w:val="19"/>
                <w:lang w:val="nl-NL"/>
              </w:rPr>
              <w:t xml:space="preserve">Standaard uitgeschakeld; opt-in + DPA-wijziging + GEB</w:t>
            </w:r>
          </w:p>
        </w:tc>
        <w:tc>
          <w:tcPr>
            <w:tcW w:type="dxa" w:w="1872"/>
            <w:tcMar>
              <w:left w:type="dxa" w:w="80"/>
              <w:right w:type="dxa" w:w="80"/>
            </w:tcMar>
          </w:tcPr>
          <w:p>
            <w:pPr>
              <w:pStyle w:val="Compact"/>
            </w:pPr>
            <w:r>
              <w:rPr>
                <w:sz w:val="19"/>
                <w:szCs w:val="19"/>
                <w:lang w:val="nl-NL"/>
              </w:rPr>
              <w:t xml:space="preserve">Standaard uitgeschakeld; alleen lokale behandeling</w:t>
            </w:r>
          </w:p>
        </w:tc>
      </w:tr>
      <w:tr>
        <w:trPr>
          <w:cantSplit/>
        </w:trPr>
        <w:tc>
          <w:tcPr>
            <w:tcW w:type="dxa" w:w="1872"/>
            <w:tcMar>
              <w:left w:type="dxa" w:w="80"/>
              <w:right w:type="dxa" w:w="80"/>
            </w:tcMar>
          </w:tcPr>
          <w:p>
            <w:pPr>
              <w:pStyle w:val="Compact"/>
            </w:pPr>
            <w:r>
              <w:rPr>
                <w:sz w:val="19"/>
                <w:szCs w:val="19"/>
                <w:lang w:val="nl-NL"/>
              </w:rPr>
              <w:t xml:space="preserve">7. Export</w:t>
            </w:r>
          </w:p>
        </w:tc>
        <w:tc>
          <w:tcPr>
            <w:tcW w:type="dxa" w:w="1872"/>
            <w:tcMar>
              <w:left w:type="dxa" w:w="80"/>
              <w:right w:type="dxa" w:w="80"/>
            </w:tcMar>
          </w:tcPr>
          <w:p>
            <w:pPr>
              <w:pStyle w:val="Compact"/>
            </w:pPr>
            <w:r>
              <w:rPr>
                <w:sz w:val="19"/>
                <w:szCs w:val="19"/>
                <w:lang w:val="nl-NL"/>
              </w:rPr>
              <w:t xml:space="preserve">Generatie van Word-documenten, gegevensexport</w:t>
            </w:r>
          </w:p>
        </w:tc>
        <w:tc>
          <w:tcPr>
            <w:tcW w:type="dxa" w:w="1872"/>
            <w:tcMar>
              <w:left w:type="dxa" w:w="80"/>
              <w:right w:type="dxa" w:w="80"/>
            </w:tcMar>
          </w:tcPr>
          <w:p>
            <w:pPr>
              <w:pStyle w:val="Compact"/>
            </w:pPr>
            <w:r>
              <w:rPr>
                <w:sz w:val="19"/>
                <w:szCs w:val="19"/>
                <w:lang w:val="nl-NL"/>
              </w:rPr>
              <w:t xml:space="preserve">Laravel-app</w:t>
            </w:r>
          </w:p>
        </w:tc>
        <w:tc>
          <w:tcPr>
            <w:tcW w:type="dxa" w:w="1872"/>
            <w:tcMar>
              <w:left w:type="dxa" w:w="80"/>
              <w:right w:type="dxa" w:w="80"/>
            </w:tcMar>
          </w:tcPr>
          <w:p>
            <w:pPr>
              <w:pStyle w:val="Compact"/>
            </w:pPr>
            <w:r>
              <w:rPr>
                <w:sz w:val="19"/>
                <w:szCs w:val="19"/>
                <w:lang w:val="nl-NL"/>
              </w:rPr>
              <w:t xml:space="preserve">Serveer Frankrijk</w:t>
            </w:r>
          </w:p>
        </w:tc>
        <w:tc>
          <w:tcPr>
            <w:tcW w:type="dxa" w:w="1872"/>
            <w:tcMar>
              <w:left w:type="dxa" w:w="80"/>
              <w:right w:type="dxa" w:w="80"/>
            </w:tcMar>
          </w:tcPr>
          <w:p>
            <w:pPr>
              <w:pStyle w:val="Compact"/>
            </w:pPr>
            <w:r>
              <w:rPr>
                <w:sz w:val="19"/>
                <w:szCs w:val="19"/>
                <w:lang w:val="nl-NL"/>
              </w:rPr>
              <w:t xml:space="preserve">Klantinfrastructuur</w:t>
            </w:r>
          </w:p>
        </w:tc>
      </w:tr>
      <w:tr>
        <w:trPr>
          <w:cantSplit/>
        </w:trPr>
        <w:tc>
          <w:tcPr>
            <w:tcW w:type="dxa" w:w="1872"/>
            <w:tcMar>
              <w:left w:type="dxa" w:w="80"/>
              <w:right w:type="dxa" w:w="80"/>
            </w:tcMar>
          </w:tcPr>
          <w:p>
            <w:pPr>
              <w:pStyle w:val="Compact"/>
            </w:pPr>
            <w:r>
              <w:rPr>
                <w:sz w:val="19"/>
                <w:szCs w:val="19"/>
                <w:lang w:val="nl-NL"/>
              </w:rPr>
              <w:t xml:space="preserve">8. Loggen</w:t>
            </w:r>
          </w:p>
        </w:tc>
        <w:tc>
          <w:tcPr>
            <w:tcW w:type="dxa" w:w="1872"/>
            <w:tcMar>
              <w:left w:type="dxa" w:w="80"/>
              <w:right w:type="dxa" w:w="80"/>
            </w:tcMar>
          </w:tcPr>
          <w:p>
            <w:pPr>
              <w:pStyle w:val="Compact"/>
            </w:pPr>
            <w:r>
              <w:rPr>
                <w:sz w:val="19"/>
                <w:szCs w:val="19"/>
                <w:lang w:val="nl-NL"/>
              </w:rPr>
              <w:t xml:space="preserve">Vastleggen van acties in auditlogs per organisatie en op platformniveau</w:t>
            </w:r>
          </w:p>
        </w:tc>
        <w:tc>
          <w:tcPr>
            <w:tcW w:type="dxa" w:w="1872"/>
            <w:tcMar>
              <w:left w:type="dxa" w:w="80"/>
              <w:right w:type="dxa" w:w="80"/>
            </w:tcMar>
          </w:tcPr>
          <w:p>
            <w:pPr>
              <w:pStyle w:val="Compact"/>
            </w:pPr>
            <w:r>
              <w:rPr>
                <w:sz w:val="19"/>
                <w:szCs w:val="19"/>
                <w:lang w:val="nl-NL"/>
              </w:rPr>
              <w:t xml:space="preserve">PostgreSQL (</w:t>
            </w:r>
            <w:r>
              <w:rPr>
                <w:rStyle w:val="VerbatimChar"/>
                <w:sz w:val="19"/>
                <w:szCs w:val="19"/>
                <w:lang w:val="nl-NL"/>
              </w:rPr>
              <w:t xml:space="preserve">activity_logs</w:t>
            </w:r>
            <w:r>
              <w:rPr>
                <w:sz w:val="19"/>
                <w:szCs w:val="19"/>
                <w:lang w:val="nl-NL"/>
              </w:rPr>
              <w:t xml:space="preserve">,</w:t>
            </w:r>
            <w:r>
              <w:rPr>
                <w:sz w:val="19"/>
                <w:szCs w:val="19"/>
                <w:lang w:val="nl-NL"/>
              </w:rPr>
              <w:t xml:space="preserve"> </w:t>
            </w:r>
            <w:r>
              <w:rPr>
                <w:rStyle w:val="VerbatimChar"/>
                <w:sz w:val="19"/>
                <w:szCs w:val="19"/>
                <w:lang w:val="nl-NL"/>
              </w:rPr>
              <w:t xml:space="preserve">public.audit_logs</w:t>
            </w: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Serveer Frankrijk</w:t>
            </w:r>
          </w:p>
        </w:tc>
        <w:tc>
          <w:tcPr>
            <w:tcW w:type="dxa" w:w="1872"/>
            <w:tcMar>
              <w:left w:type="dxa" w:w="80"/>
              <w:right w:type="dxa" w:w="80"/>
            </w:tcMar>
          </w:tcPr>
          <w:p>
            <w:pPr>
              <w:pStyle w:val="Compact"/>
            </w:pPr>
            <w:r>
              <w:rPr>
                <w:sz w:val="19"/>
                <w:szCs w:val="19"/>
                <w:lang w:val="nl-NL"/>
              </w:rPr>
              <w:t xml:space="preserve">Klantinfrastructuur</w:t>
            </w:r>
          </w:p>
        </w:tc>
      </w:tr>
      <w:tr>
        <w:trPr>
          <w:cantSplit/>
        </w:trPr>
        <w:tc>
          <w:tcPr>
            <w:tcW w:type="dxa" w:w="1872"/>
            <w:tcMar>
              <w:left w:type="dxa" w:w="80"/>
              <w:right w:type="dxa" w:w="80"/>
            </w:tcMar>
          </w:tcPr>
          <w:p>
            <w:pPr>
              <w:pStyle w:val="Compact"/>
            </w:pPr>
            <w:r>
              <w:rPr>
                <w:sz w:val="19"/>
                <w:szCs w:val="19"/>
                <w:lang w:val="nl-NL"/>
              </w:rPr>
              <w:t xml:space="preserve">9. Back-up</w:t>
            </w:r>
          </w:p>
        </w:tc>
        <w:tc>
          <w:tcPr>
            <w:tcW w:type="dxa" w:w="1872"/>
            <w:tcMar>
              <w:left w:type="dxa" w:w="80"/>
              <w:right w:type="dxa" w:w="80"/>
            </w:tcMar>
          </w:tcPr>
          <w:p>
            <w:pPr>
              <w:pStyle w:val="Compact"/>
            </w:pPr>
            <w:r>
              <w:rPr>
                <w:sz w:val="19"/>
                <w:szCs w:val="19"/>
                <w:lang w:val="nl-NL"/>
              </w:rPr>
              <w:t xml:space="preserve">Dagelijkse back-ups gecodeerd vóór uitbesteding</w:t>
            </w:r>
          </w:p>
        </w:tc>
        <w:tc>
          <w:tcPr>
            <w:tcW w:type="dxa" w:w="1872"/>
            <w:tcMar>
              <w:left w:type="dxa" w:w="80"/>
              <w:right w:type="dxa" w:w="80"/>
            </w:tcMar>
          </w:tcPr>
          <w:p>
            <w:pPr>
              <w:pStyle w:val="Compact"/>
            </w:pPr>
            <w:r>
              <w:rPr>
                <w:sz w:val="19"/>
                <w:szCs w:val="19"/>
                <w:lang w:val="nl-NL"/>
              </w:rPr>
              <w:t xml:space="preserve">Back-up + rclone-scripts</w:t>
            </w:r>
          </w:p>
        </w:tc>
        <w:tc>
          <w:tcPr>
            <w:tcW w:type="dxa" w:w="1872"/>
            <w:tcMar>
              <w:left w:type="dxa" w:w="80"/>
              <w:right w:type="dxa" w:w="80"/>
            </w:tcMar>
          </w:tcPr>
          <w:p>
            <w:pPr>
              <w:pStyle w:val="Compact"/>
            </w:pPr>
            <w:r>
              <w:rPr>
                <w:sz w:val="19"/>
                <w:szCs w:val="19"/>
                <w:lang w:val="nl-NL"/>
              </w:rPr>
              <w:t xml:space="preserve">Versleuteling met age, opslag Scaleway (Frankrijk)</w:t>
            </w:r>
          </w:p>
        </w:tc>
        <w:tc>
          <w:tcPr>
            <w:tcW w:type="dxa" w:w="1872"/>
            <w:tcMar>
              <w:left w:type="dxa" w:w="80"/>
              <w:right w:type="dxa" w:w="80"/>
            </w:tcMar>
          </w:tcPr>
          <w:p>
            <w:pPr>
              <w:pStyle w:val="Compact"/>
            </w:pPr>
            <w:r>
              <w:rPr>
                <w:sz w:val="19"/>
                <w:szCs w:val="19"/>
                <w:lang w:val="nl-NL"/>
              </w:rPr>
              <w:t xml:space="preserve">Op kosten van de klant</w:t>
            </w:r>
          </w:p>
        </w:tc>
      </w:tr>
      <w:tr>
        <w:trPr>
          <w:cantSplit/>
        </w:trPr>
        <w:tc>
          <w:tcPr>
            <w:tcW w:type="dxa" w:w="1872"/>
            <w:tcMar>
              <w:left w:type="dxa" w:w="80"/>
              <w:right w:type="dxa" w:w="80"/>
            </w:tcMar>
          </w:tcPr>
          <w:p>
            <w:pPr>
              <w:pStyle w:val="Compact"/>
            </w:pPr>
            <w:r>
              <w:rPr>
                <w:sz w:val="19"/>
                <w:szCs w:val="19"/>
                <w:lang w:val="nl-NL"/>
              </w:rPr>
              <w:t xml:space="preserve">10. Verwijdering</w:t>
            </w:r>
          </w:p>
        </w:tc>
        <w:tc>
          <w:tcPr>
            <w:tcW w:type="dxa" w:w="1872"/>
            <w:tcMar>
              <w:left w:type="dxa" w:w="80"/>
              <w:right w:type="dxa" w:w="80"/>
            </w:tcMar>
          </w:tcPr>
          <w:p>
            <w:pPr>
              <w:pStyle w:val="Compact"/>
            </w:pPr>
            <w:r>
              <w:rPr>
                <w:sz w:val="19"/>
                <w:szCs w:val="19"/>
                <w:lang w:val="nl-NL"/>
              </w:rPr>
              <w:t xml:space="preserve">Gecertificeerde gegevensopschoning op verzoek, afgifte van verwijderingscertificaat</w:t>
            </w:r>
          </w:p>
        </w:tc>
        <w:tc>
          <w:tcPr>
            <w:tcW w:type="dxa" w:w="1872"/>
            <w:tcMar>
              <w:left w:type="dxa" w:w="80"/>
              <w:right w:type="dxa" w:w="80"/>
            </w:tcMar>
          </w:tcPr>
          <w:p>
            <w:pPr>
              <w:pStyle w:val="Compact"/>
            </w:pPr>
            <w:r>
              <w:rPr>
                <w:sz w:val="19"/>
                <w:szCs w:val="19"/>
                <w:lang w:val="nl-NL"/>
              </w:rPr>
              <w:t xml:space="preserve">Werkstroom voor het opschonen van applicaties</w:t>
            </w:r>
          </w:p>
        </w:tc>
        <w:tc>
          <w:tcPr>
            <w:tcW w:type="dxa" w:w="1872"/>
            <w:tcMar>
              <w:left w:type="dxa" w:w="80"/>
              <w:right w:type="dxa" w:w="80"/>
            </w:tcMar>
          </w:tcPr>
          <w:p>
            <w:pPr>
              <w:pStyle w:val="Compact"/>
            </w:pPr>
            <w:r>
              <w:rPr>
                <w:sz w:val="19"/>
                <w:szCs w:val="19"/>
                <w:lang w:val="nl-NL"/>
              </w:rPr>
              <w:t xml:space="preserve">Franse server + opschonen van back-ups (≤ 90 dagen)</w:t>
            </w:r>
          </w:p>
        </w:tc>
        <w:tc>
          <w:tcPr>
            <w:tcW w:type="dxa" w:w="1872"/>
            <w:tcMar>
              <w:left w:type="dxa" w:w="80"/>
              <w:right w:type="dxa" w:w="80"/>
            </w:tcMar>
          </w:tcPr>
          <w:p>
            <w:pPr>
              <w:pStyle w:val="Compact"/>
            </w:pPr>
            <w:r>
              <w:rPr>
                <w:sz w:val="19"/>
                <w:szCs w:val="19"/>
                <w:lang w:val="nl-NL"/>
              </w:rPr>
              <w:t xml:space="preserve">Klantinfrastructuur</w:t>
            </w:r>
          </w:p>
        </w:tc>
      </w:tr>
    </w:tbl>
    <w:bookmarkStart w:id="31" w:name="détail-des-étapes"/>
    <w:p>
      <w:pPr>
        <w:pStyle w:val="Heading3"/>
        <w:keepNext/>
        <w:keepLines/>
      </w:pPr>
      <w:r>
        <w:rPr>
          <w:color w:val="000000"/>
          <w:lang w:val="nl-NL"/>
        </w:rPr>
        <w:t xml:space="preserve">Details van de stappen</w:t>
      </w:r>
    </w:p>
    <w:p>
      <w:pPr>
        <w:pStyle w:val="FirstParagraph"/>
      </w:pPr>
      <w:r>
        <w:rPr>
          <w:b/>
          <w:bCs/>
          <w:lang w:val="nl-NL"/>
        </w:rPr>
        <w:t xml:space="preserve">Stap 1 — Uploaden. De </w:t>
      </w:r>
      <w:r>
        <w:rPr>
          <w:lang w:val="nl-NL"/>
        </w:rPr>
        <w:t xml:space="preserve"/>
      </w:r>
      <w:r>
        <w:rPr>
          <w:lang w:val="nl-NL"/>
        </w:rPr>
        <w:t xml:space="preserve">geautoriseerde gebruiker maakt een sessie aan en uploadt een bestand. Het bestand wordt gecontroleerd (formaat tussen mp3, wav, ogg, m4a, flac, webm, mp4, avi, mkv, mov, wmv; maximale grootte 2.500 MB) en vervolgens in een wachtrij geplaatst met de status "in behandeling". Daaropvolgende toegang tot het bestand voor streaming vindt plaats via een tijdelijk ondertekende URL (30 minuten geldig).</w:t>
      </w:r>
    </w:p>
    <w:p>
      <w:pPr>
        <w:pStyle w:val="BodyText"/>
      </w:pPr>
      <w:r>
        <w:rPr>
          <w:b/>
          <w:bCs/>
          <w:lang w:val="nl-NL"/>
        </w:rPr>
        <w:t xml:space="preserve">Stap 2 — Virusscan. Elke upload </w:t>
      </w:r>
      <w:r>
        <w:rPr>
          <w:lang w:val="nl-NL"/>
        </w:rPr>
        <w:t xml:space="preserve"/>
      </w:r>
      <w:r>
        <w:rPr>
          <w:lang w:val="nl-NL"/>
        </w:rPr>
        <w:t xml:space="preserve">wordt onderworpen aan een ClamAV-analyse voordat deze definitief wordt geschreven. Een geïnfecteerd bestand wordt afgewezen, geregistreerd en resulteert in een waarschuwing. In het geval dat de scanner niet beschikbaar is, wordt de gebeurtenis getraceerd (“fail-open” gedrag geregistreerd), waarmee rekening moet worden gehouden in uw risicoanalyse.</w:t>
      </w:r>
    </w:p>
    <w:p>
      <w:pPr>
        <w:pStyle w:val="BodyText"/>
      </w:pPr>
      <w:r>
        <w:rPr>
          <w:b/>
          <w:bCs/>
          <w:lang w:val="nl-NL"/>
        </w:rPr>
        <w:t xml:space="preserve">Stap 3 — Transcriptie. </w:t>
      </w:r>
      <w:r>
        <w:rPr>
          <w:lang w:val="nl-NL"/>
        </w:rPr>
        <w:t xml:space="preserve"/>
      </w:r>
      <w:r>
        <w:rPr>
          <w:lang w:val="nl-NL"/>
        </w:rPr>
        <w:t xml:space="preserve">Een transcriptieworker controleert de wachtrij, haalt openstaande bestanden op, voert spraak-naar-tekstconversie uit, verzendt de voortgang en levert vervolgens het resultaat als JSON-segmenten. De audiogegevens worden van de worker verwijderd nadat de taak is verwerkt.</w:t>
      </w:r>
    </w:p>
    <w:p>
      <w:pPr>
        <w:pStyle w:val="BodyText"/>
      </w:pPr>
      <w:r>
        <w:rPr>
          <w:b/>
          <w:bCs/>
          <w:lang w:val="nl-NL"/>
        </w:rPr>
        <w:t xml:space="preserve">Stap 4 — Diarisatie. Diarisatie </w:t>
      </w:r>
      <w:r>
        <w:rPr>
          <w:lang w:val="nl-NL"/>
        </w:rPr>
        <w:t xml:space="preserve"/>
      </w:r>
      <w:r>
        <w:rPr>
          <w:lang w:val="nl-NL"/>
        </w:rPr>
        <w:t xml:space="preserve">kent positionele labels ‘Speaker 1’, ‘Speaker 2’, enzovoort toe aan segmenten binnen dezelfde sessie. Deze labels zijn niet noodzakelijk anoniem in de zin van de AVG. De stemrepresentaties worden aan het einde van de taak vrijgegeven volgens de gedocumenteerde configuratie. De kwalificatie onder artikel 4, punt 14, en artikel 9 moet worden beoordeeld op basis van de feitelijke doelen en middelen; alleen het verwijderen van sjablonen sluit deze kwalificatie niet uit.</w:t>
      </w:r>
    </w:p>
    <w:p>
      <w:pPr>
        <w:pStyle w:val="BodyText"/>
      </w:pPr>
      <w:r>
        <w:rPr>
          <w:b/>
          <w:bCs/>
          <w:lang w:val="nl-NL"/>
        </w:rPr>
        <w:t xml:space="preserve">Stap 5 — AI-exploitatie. </w:t>
      </w:r>
      <w:r>
        <w:rPr>
          <w:lang w:val="nl-NL"/>
        </w:rPr>
        <w:t xml:space="preserve"/>
      </w:r>
      <w:r>
        <w:rPr>
          <w:lang w:val="nl-NL"/>
        </w:rPr>
        <w:t xml:space="preserve">Standaard worden de AI-functies (correctie, samenvatting, notulen, hoofdstukken, identificatiesuggestie) uitgevoerd op GPU-servers die worden beheerd door OHADJA waarop vLLM wordt uitgevoerd met open-weights-modellen ([TO BE COMPLETED: exacte versies - Qwen 3.6 of Mistral]), gehost in Europa (voornamelijk Straatsburg en Parijs), of, in Optie B, in de infrastructuur van de klant; op dit primaire pad verlaten geen gegevens de EER of worden ze verzonden naar een externe modelaanbieder. De OpenRouter-gateway (Claude, GPT, etc.) wordt alleen gebruikt als back-up (failover), bij onbeschikbaarheid van de primaire route, en kan door de organisatie worden gedeactiveerd. AI-functies werken alleen op door de gebruiker geselecteerde bronnen, volgens een principe van minimalisatie. De gegevens die aan het model worden doorgegeven, worden niet gebruikt om modellen te trainen die specifiek zijn voor OHADJA. Sinds versie 1.7.0 kan elke organisatie zijn eigen provider, sleutel, sjabloon en, indien van toepassing, een zelf-gehoste sjabloon-URL definiëren; een organisatie met eigen configuraties maakt nooit gebruik van de platformconfiguraties (“fail-closed” gedrag).</w:t>
      </w:r>
    </w:p>
    <w:p>
      <w:pPr>
        <w:pStyle w:val="BodyText"/>
      </w:pPr>
      <w:r>
        <w:rPr>
          <w:b/>
          <w:bCs/>
          <w:lang w:val="nl-NL"/>
        </w:rPr>
        <w:t xml:space="preserve">Stap 6 — Stemcorrelatie (optioneel). Verwerking </w:t>
      </w:r>
      <w:r>
        <w:rPr>
          <w:lang w:val="nl-NL"/>
        </w:rPr>
        <w:t xml:space="preserve"/>
      </w:r>
      <w:r>
        <w:rPr>
          <w:lang w:val="nl-NL"/>
        </w:rPr>
        <w:t xml:space="preserve">is standaard uitgeschakeld, beschreven in bijlage 1 van de DPA en het conformiteitsblad (document TRB-CONF-01.01). Het berekent tijdelijk stemkarakteristieken in RAM, zonder een persistent sjabloon, met vernietiging aan het einde van het verzoek en verplichte menselijke validatie van suggesties.</w:t>
      </w:r>
    </w:p>
    <w:p>
      <w:pPr>
        <w:pStyle w:val="BodyText"/>
      </w:pPr>
      <w:r>
        <w:rPr>
          <w:b/>
          <w:bCs/>
          <w:lang w:val="nl-NL"/>
        </w:rPr>
        <w:t xml:space="preserve">Stap 7 — Exporteren. </w:t>
      </w:r>
      <w:r>
        <w:rPr>
          <w:lang w:val="nl-NL"/>
        </w:rPr>
        <w:t xml:space="preserve"/>
      </w:r>
      <w:r>
        <w:rPr>
          <w:lang w:val="nl-NL"/>
        </w:rPr>
        <w:t xml:space="preserve">Generatie van Word-documenten en gegevensexporten van de geproduceerde inhoud, op verzoek van de gebruiker.</w:t>
      </w:r>
    </w:p>
    <w:p>
      <w:pPr>
        <w:pStyle w:val="BodyText"/>
      </w:pPr>
      <w:r>
        <w:rPr>
          <w:b/>
          <w:bCs/>
          <w:lang w:val="nl-NL"/>
        </w:rPr>
        <w:t xml:space="preserve">Stap 8 — Inloggen. </w:t>
      </w:r>
      <w:r>
        <w:rPr>
          <w:lang w:val="nl-NL"/>
        </w:rPr>
        <w:t xml:space="preserve"/>
      </w:r>
      <w:r>
        <w:rPr>
          <w:lang w:val="nl-NL"/>
        </w:rPr>
        <w:t xml:space="preserve">Significante acties (verbindingen, creaties, wijzigingen, verwijderingen, uploads, verwerking, fouten, exports, beheeractiviteiten) worden vastgelegd in een auditlogboek dat specifiek is voor elke organisatie (</w:t>
      </w:r>
      <w:r>
        <w:rPr>
          <w:rStyle w:val="VerbatimChar"/>
          <w:lang w:val="nl-NL"/>
        </w:rPr>
        <w:t xml:space="preserve">activity_logs</w:t>
      </w:r>
      <w:r>
        <w:rPr>
          <w:lang w:val="nl-NL"/>
        </w:rPr>
        <w:t xml:space="preserve">) en, voor platformgebeurtenissen, in </w:t>
      </w:r>
      <w:r>
        <w:rPr>
          <w:lang w:val="nl-NL"/>
        </w:rPr>
        <w:t xml:space="preserve"/>
      </w:r>
      <w:r>
        <w:rPr>
          <w:rStyle w:val="VerbatimChar"/>
          <w:lang w:val="nl-NL"/>
        </w:rPr>
        <w:t xml:space="preserve">public.audit_logs</w:t>
      </w:r>
      <w:r>
        <w:rPr>
          <w:lang w:val="nl-NL"/>
        </w:rPr>
        <w:t xml:space="preserve">. Logboeken kunnen worden geëxporteerd in CSV/JSON.</w:t>
      </w:r>
    </w:p>
    <w:p>
      <w:pPr>
        <w:pStyle w:val="BodyText"/>
      </w:pPr>
      <w:r>
        <w:rPr>
          <w:b/>
          <w:bCs/>
          <w:lang w:val="nl-NL"/>
        </w:rPr>
        <w:t xml:space="preserve">Stap 9 — Back-up (optie A). </w:t>
      </w:r>
      <w:r>
        <w:rPr>
          <w:lang w:val="nl-NL"/>
        </w:rPr>
        <w:t xml:space="preserve"/>
      </w:r>
      <w:r>
        <w:rPr>
          <w:lang w:val="nl-NL"/>
        </w:rPr>
        <w:t xml:space="preserve">Dagelijkse back-ups gecodeerd met age (X25519 + ChaCha20-Poly1305) voordat ze door rclone worden uitbesteed aan Scaleway (Frankrijk). Bewaartermijn: 90 dagen voor volledige back-ups, 30 dagen per organisatie.</w:t>
      </w:r>
    </w:p>
    <w:p>
      <w:pPr>
        <w:pStyle w:val="BodyText"/>
      </w:pPr>
      <w:r>
        <w:rPr>
          <w:b/>
          <w:bCs/>
          <w:lang w:val="nl-NL"/>
        </w:rPr>
        <w:t xml:space="preserve">Stap 10 — Verwijderen. Na </w:t>
      </w:r>
      <w:r>
        <w:rPr>
          <w:lang w:val="nl-NL"/>
        </w:rPr>
        <w:t xml:space="preserve"/>
      </w:r>
      <w:r>
        <w:rPr>
          <w:lang w:val="nl-NL"/>
        </w:rPr>
        <w:t xml:space="preserve">ontvangst van een gecertificeerd verwijderingsverzoek of aan het einde van het contract worden de productiegegevens binnen de toepasselijke deadline verwijderd via een opschoningsworkflow; resterende back-ups worden verwijderd volgens hun cyclus (≤ 90 dagen). Op verzoek wordt een verwijderingscertificaat afgegeven.</w:t>
      </w:r>
    </w:p>
    <w:bookmarkEnd w:id="31"/>
    <w:bookmarkEnd w:id="32"/>
    <w:bookmarkStart w:id="33" w:name="X67f20aed3ddc665545c61ff159c12fd104115e5"/>
    <w:p>
      <w:pPr>
        <w:pStyle w:val="Heading2"/>
        <w:keepNext/>
        <w:keepLines/>
      </w:pPr>
      <w:r>
        <w:rPr>
          <w:color w:val="000000"/>
          <w:lang w:val="nl-NL"/>
        </w:rPr>
        <w:t xml:space="preserve">6. Verdeling van verantwoordelijkheden volgens modus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Domein</w:t>
            </w:r>
          </w:p>
        </w:tc>
        <w:tc>
          <w:tcPr/>
          <w:p>
            <w:pPr>
              <w:pStyle w:val="Compact"/>
            </w:pPr>
            <w:r>
              <w:rPr>
                <w:lang w:val="nl-NL"/>
              </w:rPr>
              <w:t xml:space="preserve">Optie A (SaaS)</w:t>
            </w:r>
          </w:p>
        </w:tc>
        <w:tc>
          <w:tcPr/>
          <w:p>
            <w:pPr>
              <w:pStyle w:val="Compact"/>
            </w:pPr>
            <w:r>
              <w:rPr>
                <w:lang w:val="nl-NL"/>
              </w:rPr>
              <w:t xml:space="preserve">Optie B (op locatie)</w:t>
            </w:r>
          </w:p>
        </w:tc>
      </w:tr>
      <w:tr>
        <w:trPr>
          <w:cantSplit/>
        </w:trPr>
        <w:tc>
          <w:tcPr/>
          <w:p>
            <w:pPr>
              <w:pStyle w:val="Compact"/>
            </w:pPr>
            <w:r>
              <w:rPr>
                <w:lang w:val="nl-NL"/>
              </w:rPr>
              <w:t xml:space="preserve">Accommodatie en infrastructuur</w:t>
            </w:r>
          </w:p>
        </w:tc>
        <w:tc>
          <w:tcPr/>
          <w:p>
            <w:pPr>
              <w:pStyle w:val="Compact"/>
            </w:pPr>
            <w:r>
              <w:rPr>
                <w:lang w:val="nl-NL"/>
              </w:rPr>
              <w:t xml:space="preserve">OHADJA (Frankrijk)</w:t>
            </w:r>
          </w:p>
        </w:tc>
        <w:tc>
          <w:tcPr/>
          <w:p>
            <w:pPr>
              <w:pStyle w:val="Compact"/>
            </w:pPr>
            <w:r>
              <w:rPr>
                <w:lang w:val="nl-NL"/>
              </w:rPr>
              <w:t xml:space="preserve">Klant</w:t>
            </w:r>
          </w:p>
        </w:tc>
      </w:tr>
      <w:tr>
        <w:trPr>
          <w:cantSplit/>
        </w:trPr>
        <w:tc>
          <w:tcPr/>
          <w:p>
            <w:pPr>
              <w:pStyle w:val="Compact"/>
            </w:pPr>
            <w:r>
              <w:rPr>
                <w:lang w:val="nl-NL"/>
              </w:rPr>
              <w:t xml:space="preserve">Applicatiebediening, updates</w:t>
            </w:r>
          </w:p>
        </w:tc>
        <w:tc>
          <w:tcPr/>
          <w:p>
            <w:pPr>
              <w:pStyle w:val="Compact"/>
            </w:pPr>
            <w:r>
              <w:rPr>
                <w:lang w:val="nl-NL"/>
              </w:rPr>
              <w:t xml:space="preserve">OHADJA</w:t>
            </w:r>
          </w:p>
        </w:tc>
        <w:tc>
          <w:tcPr/>
          <w:p>
            <w:pPr>
              <w:pStyle w:val="Compact"/>
            </w:pPr>
            <w:r>
              <w:rPr>
                <w:lang w:val="nl-NL"/>
              </w:rPr>
              <w:t xml:space="preserve">Klant, behalve onderhoudsmissie toevertrouwd aan OHADJA</w:t>
            </w:r>
          </w:p>
        </w:tc>
      </w:tr>
      <w:tr>
        <w:trPr>
          <w:cantSplit/>
        </w:trPr>
        <w:tc>
          <w:tcPr/>
          <w:p>
            <w:pPr>
              <w:pStyle w:val="Compact"/>
            </w:pPr>
            <w:r>
              <w:rPr>
                <w:lang w:val="nl-NL"/>
              </w:rPr>
              <w:t xml:space="preserve">Back-ups</w:t>
            </w:r>
          </w:p>
        </w:tc>
        <w:tc>
          <w:tcPr/>
          <w:p>
            <w:pPr>
              <w:pStyle w:val="Compact"/>
            </w:pPr>
            <w:r>
              <w:rPr>
                <w:lang w:val="nl-NL"/>
              </w:rPr>
              <w:t xml:space="preserve">OHADJA</w:t>
            </w:r>
          </w:p>
        </w:tc>
        <w:tc>
          <w:tcPr/>
          <w:p>
            <w:pPr>
              <w:pStyle w:val="Compact"/>
            </w:pPr>
            <w:r>
              <w:rPr>
                <w:lang w:val="nl-NL"/>
              </w:rPr>
              <w:t xml:space="preserve">Klant</w:t>
            </w:r>
          </w:p>
        </w:tc>
      </w:tr>
      <w:tr>
        <w:trPr>
          <w:cantSplit/>
        </w:trPr>
        <w:tc>
          <w:tcPr/>
          <w:p>
            <w:pPr>
              <w:pStyle w:val="Compact"/>
            </w:pPr>
            <w:r>
              <w:rPr>
                <w:lang w:val="nl-NL"/>
              </w:rPr>
              <w:t xml:space="preserve">Toezicht en operationele veiligheid</w:t>
            </w:r>
          </w:p>
        </w:tc>
        <w:tc>
          <w:tcPr/>
          <w:p>
            <w:pPr>
              <w:pStyle w:val="Compact"/>
            </w:pPr>
            <w:r>
              <w:rPr>
                <w:lang w:val="nl-NL"/>
              </w:rPr>
              <w:t xml:space="preserve">OHADJA</w:t>
            </w:r>
          </w:p>
        </w:tc>
        <w:tc>
          <w:tcPr/>
          <w:p>
            <w:pPr>
              <w:pStyle w:val="Compact"/>
            </w:pPr>
            <w:r>
              <w:rPr>
                <w:lang w:val="nl-NL"/>
              </w:rPr>
              <w:t xml:space="preserve">Klant</w:t>
            </w:r>
          </w:p>
        </w:tc>
      </w:tr>
      <w:tr>
        <w:trPr>
          <w:cantSplit/>
        </w:trPr>
        <w:tc>
          <w:tcPr/>
          <w:p>
            <w:pPr>
              <w:pStyle w:val="Compact"/>
            </w:pPr>
            <w:r>
              <w:rPr>
                <w:lang w:val="nl-NL"/>
              </w:rPr>
              <w:t xml:space="preserve">AI-verwerking</w:t>
            </w:r>
          </w:p>
        </w:tc>
        <w:tc>
          <w:tcPr/>
          <w:p>
            <w:pPr>
              <w:pStyle w:val="Compact"/>
            </w:pPr>
            <w:r>
              <w:rPr>
                <w:lang w:val="nl-NL"/>
              </w:rPr>
              <w:t xml:space="preserve">Primair pad vLLM open-gewichten op GPU's die in Europa worden beheerst; deactiveerbare OpenRouter-fallback</w:t>
            </w:r>
          </w:p>
        </w:tc>
        <w:tc>
          <w:tcPr/>
          <w:p>
            <w:pPr>
              <w:pStyle w:val="Compact"/>
            </w:pPr>
            <w:r>
              <w:rPr>
                <w:lang w:val="nl-NL"/>
              </w:rPr>
              <w:t xml:space="preserve">Lokaal, zelf-gehost model, geen uitgaande stroom</w:t>
            </w:r>
          </w:p>
        </w:tc>
      </w:tr>
      <w:tr>
        <w:trPr>
          <w:cantSplit/>
        </w:trPr>
        <w:tc>
          <w:tcPr/>
          <w:p>
            <w:pPr>
              <w:pStyle w:val="Compact"/>
            </w:pPr>
            <w:r>
              <w:rPr>
                <w:lang w:val="nl-NL"/>
              </w:rPr>
              <w:t xml:space="preserve">Subverwerkers</w:t>
            </w:r>
          </w:p>
        </w:tc>
        <w:tc>
          <w:tcPr/>
          <w:p>
            <w:pPr>
              <w:pStyle w:val="Compact"/>
            </w:pPr>
            <w:r>
              <w:rPr>
                <w:lang w:val="nl-NL"/>
              </w:rPr>
              <w:t xml:space="preserve">Lijst in bijlage 2 van de Verwerkersovereenkomst</w:t>
            </w:r>
          </w:p>
        </w:tc>
        <w:tc>
          <w:tcPr/>
          <w:p>
            <w:pPr>
              <w:pStyle w:val="Compact"/>
            </w:pPr>
            <w:r>
              <w:rPr>
                <w:lang w:val="nl-NL"/>
              </w:rPr>
              <w:t xml:space="preserve">Geen in geïsoleerde variant</w:t>
            </w:r>
          </w:p>
        </w:tc>
      </w:tr>
      <w:tr>
        <w:trPr>
          <w:cantSplit/>
        </w:trPr>
        <w:tc>
          <w:tcPr/>
          <w:p>
            <w:pPr>
              <w:pStyle w:val="Compact"/>
            </w:pPr>
            <w:r>
              <w:rPr>
                <w:lang w:val="nl-NL"/>
              </w:rPr>
              <w:t xml:space="preserve">Toegang tot gegevens</w:t>
            </w:r>
          </w:p>
        </w:tc>
        <w:tc>
          <w:tcPr/>
          <w:p>
            <w:pPr>
              <w:pStyle w:val="Compact"/>
            </w:pPr>
            <w:r>
              <w:rPr>
                <w:lang w:val="nl-NL"/>
              </w:rPr>
              <w:t xml:space="preserve">OHADJA onder instructie, voor ondersteuning/onderhoud</w:t>
            </w:r>
          </w:p>
        </w:tc>
        <w:tc>
          <w:tcPr/>
          <w:p>
            <w:pPr>
              <w:pStyle w:val="Compact"/>
            </w:pPr>
            <w:r>
              <w:rPr>
                <w:lang w:val="nl-NL"/>
              </w:rPr>
              <w:t xml:space="preserve">Klant; OHADJA alleen na uitdrukkelijke toestemming</w:t>
            </w:r>
          </w:p>
        </w:tc>
      </w:tr>
    </w:tbl>
    <w:bookmarkEnd w:id="33"/>
    <w:bookmarkStart w:id="34" w:name="Xf9631ba7f091331f4a2e78c4f3c94880a428999"/>
    <w:p>
      <w:pPr>
        <w:pStyle w:val="Heading2"/>
        <w:keepNext/>
        <w:keepLines/>
      </w:pPr>
      <w:r>
        <w:rPr>
          <w:color w:val="000000"/>
          <w:lang w:val="nl-NL"/>
        </w:rPr>
        <w:t xml:space="preserve">7. Uitgesloten behandelingen</w:t>
      </w:r>
    </w:p>
    <w:p>
      <w:pPr>
        <w:pStyle w:val="FirstParagraph"/>
      </w:pPr>
      <w:r>
        <w:rPr>
          <w:lang w:val="nl-NL"/>
        </w:rPr>
        <w:t xml:space="preserve">OHADJA presteert niet op basis van de gegevens van uw organisatie:</w:t>
      </w:r>
    </w:p>
    <w:p>
      <w:pPr>
        <w:pStyle w:val="Compact"/>
        <w:numPr>
          <w:ilvl w:val="0"/>
          <w:numId w:val="1006"/>
        </w:numPr>
      </w:pPr>
      <w:r>
        <w:rPr>
          <w:lang w:val="nl-NL"/>
        </w:rPr>
        <w:t xml:space="preserve">geen hergebruik voor eigen doeleinden;</w:t>
      </w:r>
    </w:p>
    <w:p>
      <w:pPr>
        <w:pStyle w:val="Compact"/>
        <w:numPr>
          <w:ilvl w:val="0"/>
          <w:numId w:val="1006"/>
        </w:numPr>
      </w:pPr>
      <w:r>
        <w:rPr>
          <w:lang w:val="nl-NL"/>
        </w:rPr>
        <w:t xml:space="preserve">geen training van eigen modellen;</w:t>
      </w:r>
    </w:p>
    <w:p>
      <w:pPr>
        <w:pStyle w:val="Compact"/>
        <w:numPr>
          <w:ilvl w:val="0"/>
          <w:numId w:val="1006"/>
        </w:numPr>
      </w:pPr>
      <w:r>
        <w:rPr>
          <w:lang w:val="nl-NL"/>
        </w:rPr>
        <w:t xml:space="preserve">geen creatie van een persistent biometrisch sjabloon;</w:t>
      </w:r>
    </w:p>
    <w:p>
      <w:pPr>
        <w:pStyle w:val="Compact"/>
        <w:numPr>
          <w:ilvl w:val="0"/>
          <w:numId w:val="1006"/>
        </w:numPr>
      </w:pPr>
      <w:r>
        <w:rPr>
          <w:lang w:val="nl-NL"/>
        </w:rPr>
        <w:t xml:space="preserve">geen overdracht buiten de EER behalve in gevallen die vallen onder hoofdstuk V van AVG en beschreven in document TRB-CONF-01.04;</w:t>
      </w:r>
    </w:p>
    <w:p>
      <w:pPr>
        <w:pStyle w:val="Compact"/>
        <w:numPr>
          <w:ilvl w:val="0"/>
          <w:numId w:val="1006"/>
        </w:numPr>
      </w:pPr>
      <w:r>
        <w:rPr>
          <w:lang w:val="nl-NL"/>
        </w:rPr>
        <w:t xml:space="preserve">geen toegang tot de inhoud van de organisaties door distributeur Televic.</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34"/>
    <w:bookmarkEnd w:id="35"/>
    <w:bookmarkStart w:id="46" w:name="localisation-des-données--transcribia"/>
    <w:p>
      <w:pPr>
        <w:pStyle w:val="Heading1"/>
        <w:keepNext/>
        <w:keepLines/>
      </w:pPr>
      <w:r>
        <w:rPr>
          <w:color w:val="000000"/>
          <w:lang w:val="nl-NL"/>
        </w:rPr>
        <w:t xml:space="preserve">Gegevenslokalisatie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TRB-CONF-01.04</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36" w:name="X267f752e79acf07865cbc4b8687b0c9db2807c7"/>
    <w:p>
      <w:pPr>
        <w:pStyle w:val="Heading2"/>
        <w:keepNext/>
        <w:keepLines/>
      </w:pPr>
      <w:r>
        <w:rPr>
          <w:color w:val="000000"/>
          <w:lang w:val="nl-NL"/>
        </w:rPr>
        <w:t xml:space="preserve">1. Doel van het document</w:t>
      </w:r>
    </w:p>
    <w:p>
      <w:pPr>
        <w:pStyle w:val="FirstParagraph"/>
      </w:pPr>
      <w:r>
        <w:rPr>
          <w:lang w:val="nl-NL"/>
        </w:rPr>
        <w:t xml:space="preserve">Dit document vermeldt voor uw contactpersoon gegevensbescherming, IT-afdeling en beveiligingsverantwoordelijke waar elke gegevenscategorie wordt verwerkt en opgeslagen volgens de gekozen implementatievorm. Het benoemt transparant wanneer een gegevensstroom of verwerking buiten de Europese Economische Ruimte (EER) mogelijk is bij Optie A en dat deze bij geïsoleerde Optie B uitgesloten zijn.</w:t>
      </w:r>
    </w:p>
    <w:p>
      <w:pPr>
        <w:pStyle w:val="BodyText"/>
      </w:pPr>
      <w:r>
        <w:rPr>
          <w:lang w:val="nl-NL"/>
        </w:rPr>
        <w:t xml:space="preserve">Het specificeert ook de toezegging om de oplossing uitsluitend vanuit Frankrijk of de Europese Unie te beheren en te ondersteunen.</w:t>
      </w:r>
    </w:p>
    <w:bookmarkEnd w:id="36"/>
    <w:bookmarkStart w:id="37" w:name="X4a758c95127776db351213ceac68c95b256677c"/>
    <w:p>
      <w:pPr>
        <w:pStyle w:val="Heading2"/>
        <w:keepNext/>
        <w:keepLines/>
      </w:pPr>
      <w:r>
        <w:rPr>
          <w:color w:val="000000"/>
          <w:lang w:val="nl-NL"/>
        </w:rPr>
        <w:t xml:space="preserve">2. Algemeen principe</w:t>
      </w:r>
    </w:p>
    <w:p>
      <w:pPr>
        <w:pStyle w:val="Compact"/>
        <w:numPr>
          <w:ilvl w:val="0"/>
          <w:numId w:val="1007"/>
        </w:numPr>
      </w:pPr>
      <w:r>
        <w:rPr>
          <w:b/>
          <w:bCs/>
          <w:lang w:val="nl-NL"/>
        </w:rPr>
        <w:t xml:space="preserve">Optie A — SaaS: </w:t>
      </w:r>
      <w:r>
        <w:rPr>
          <w:lang w:val="nl-NL"/>
        </w:rPr>
        <w:t xml:space="preserve"/>
      </w:r>
      <w:r>
        <w:rPr>
          <w:lang w:val="nl-NL"/>
        </w:rPr>
        <w:t xml:space="preserve">productiegegevens worden gehost in Frankrijk (datacentrum in Straatsburg) en gecodeerde back-ups worden opgeslagen in de Europese Unie. De kunstmatige-intelligentiefuncties zijn standaard gebaseerd op GPU-servers die worden beheerd door OHADJA, gehost in Europa (voornamelijk Straatsburg en Parijs), waarop geen gegevens de EER verlaten. Verwerking buiten de EER is alleen mogelijk op residuele basis, als de OpenRouter-fallback is aangevraagd en niet is uitgeschakeld, of voor bepaalde GPU-transcriptiebronnen - zie secties 4 en 5.</w:t>
      </w:r>
    </w:p>
    <w:p>
      <w:pPr>
        <w:pStyle w:val="Compact"/>
        <w:numPr>
          <w:ilvl w:val="0"/>
          <w:numId w:val="1007"/>
        </w:numPr>
      </w:pPr>
      <w:r>
        <w:rPr>
          <w:b/>
          <w:bCs/>
          <w:lang w:val="nl-NL"/>
        </w:rPr>
        <w:t xml:space="preserve">Optie B — Geïsoleerd op </w:t>
      </w:r>
      <w:r>
        <w:rPr>
          <w:lang w:val="nl-NL"/>
        </w:rPr>
        <w:t xml:space="preserve"/>
      </w:r>
      <w:r>
        <w:rPr>
          <w:lang w:val="nl-NL"/>
        </w:rPr>
        <w:t xml:space="preserve">locatie: alle componenten (applicatie, database, GPU-transcriptiewerker, zelf-gehost AI-model) draaien in de infrastructuur van de klant. Voor nominaal bedrijf is geen uitgaand debiet vereist; er vindt geen overdracht buiten de EER plaats.</w:t>
      </w:r>
    </w:p>
    <w:p>
      <w:pPr>
        <w:pStyle w:val="FirstParagraph"/>
      </w:pPr>
      <w:r>
        <w:rPr>
          <w:lang w:val="nl-NL"/>
        </w:rPr>
        <w:t xml:space="preserve">Sinds </w:t>
      </w:r>
      <w:r>
        <w:rPr>
          <w:lang w:val="nl-NL"/>
        </w:rPr>
        <w:t xml:space="preserve"/>
      </w:r>
      <w:r>
        <w:rPr>
          <w:b/>
          <w:bCs/>
          <w:lang w:val="nl-NL"/>
        </w:rPr>
        <w:t xml:space="preserve">versie 1.7.0 is </w:t>
      </w:r>
      <w:r>
        <w:rPr>
          <w:lang w:val="nl-NL"/>
        </w:rPr>
        <w:t xml:space="preserve">per </w:t>
      </w:r>
      <w:r>
        <w:rPr>
          <w:lang w:val="nl-NL"/>
        </w:rPr>
        <w:t xml:space="preserve">organisatie een ‘strikt EU’-profiel configureerbaar: het beperkt de AI-verwerking tot modellen die in de EU worden gehost of zelf worden gehost en selecteert GPU-bronnen in de EU. Dit profiel maakt het bij Optie A mogelijk om verwerking buiten de EER uit te sluiten.</w:t>
      </w:r>
    </w:p>
    <w:bookmarkEnd w:id="37"/>
    <w:bookmarkStart w:id="38" w:name="X96da756acd02bde6da646a8600b582f53862e83"/>
    <w:p>
      <w:pPr>
        <w:pStyle w:val="Heading2"/>
        <w:keepNext/>
        <w:keepLines/>
      </w:pPr>
      <w:r>
        <w:rPr>
          <w:color w:val="000000"/>
          <w:lang w:val="nl-NL"/>
        </w:rPr>
        <w:t xml:space="preserve">3. Locatie per gegevenscategorie en implementatiemodus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nl-NL"/>
              </w:rPr>
              <w:t xml:space="preserve">Gegevenscategorie</w:t>
            </w:r>
          </w:p>
        </w:tc>
        <w:tc>
          <w:tcPr>
            <w:tcW w:type="dxa" w:w="2340"/>
            <w:tcMar>
              <w:left w:type="dxa" w:w="80"/>
              <w:right w:type="dxa" w:w="80"/>
            </w:tcMar>
          </w:tcPr>
          <w:p>
            <w:pPr>
              <w:pStyle w:val="Compact"/>
            </w:pPr>
            <w:r>
              <w:rPr>
                <w:sz w:val="19"/>
                <w:szCs w:val="19"/>
                <w:lang w:val="nl-NL"/>
              </w:rPr>
              <w:t xml:space="preserve">Optie A — SaaS (standaard)</w:t>
            </w:r>
          </w:p>
        </w:tc>
        <w:tc>
          <w:tcPr>
            <w:tcW w:type="dxa" w:w="2340"/>
            <w:tcMar>
              <w:left w:type="dxa" w:w="80"/>
              <w:right w:type="dxa" w:w="80"/>
            </w:tcMar>
          </w:tcPr>
          <w:p>
            <w:pPr>
              <w:pStyle w:val="Compact"/>
            </w:pPr>
            <w:r>
              <w:rPr>
                <w:sz w:val="19"/>
                <w:szCs w:val="19"/>
                <w:lang w:val="nl-NL"/>
              </w:rPr>
              <w:t xml:space="preserve">Optie A — “strikt EU”-profiel</w:t>
            </w:r>
          </w:p>
        </w:tc>
        <w:tc>
          <w:tcPr>
            <w:tcW w:type="dxa" w:w="2340"/>
            <w:tcMar>
              <w:left w:type="dxa" w:w="80"/>
              <w:right w:type="dxa" w:w="80"/>
            </w:tcMar>
          </w:tcPr>
          <w:p>
            <w:pPr>
              <w:pStyle w:val="Compact"/>
            </w:pPr>
            <w:r>
              <w:rPr>
                <w:sz w:val="19"/>
                <w:szCs w:val="19"/>
                <w:lang w:val="nl-NL"/>
              </w:rPr>
              <w:t xml:space="preserve">Optie B — geïsoleerd op locatie</w:t>
            </w:r>
          </w:p>
        </w:tc>
      </w:tr>
      <w:tr>
        <w:trPr>
          <w:cantSplit/>
        </w:trPr>
        <w:tc>
          <w:tcPr>
            <w:tcW w:type="dxa" w:w="2340"/>
            <w:tcMar>
              <w:left w:type="dxa" w:w="80"/>
              <w:right w:type="dxa" w:w="80"/>
            </w:tcMar>
          </w:tcPr>
          <w:p>
            <w:pPr>
              <w:pStyle w:val="Compact"/>
            </w:pPr>
            <w:r>
              <w:rPr>
                <w:sz w:val="19"/>
                <w:szCs w:val="19"/>
                <w:lang w:val="nl-NL"/>
              </w:rPr>
              <w:t xml:space="preserve">Audio- en videobestanden</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Klantinfrastructuur</w:t>
            </w:r>
          </w:p>
        </w:tc>
      </w:tr>
      <w:tr>
        <w:trPr>
          <w:cantSplit/>
        </w:trPr>
        <w:tc>
          <w:tcPr>
            <w:tcW w:type="dxa" w:w="2340"/>
            <w:tcMar>
              <w:left w:type="dxa" w:w="80"/>
              <w:right w:type="dxa" w:w="80"/>
            </w:tcMar>
          </w:tcPr>
          <w:p>
            <w:pPr>
              <w:pStyle w:val="Compact"/>
            </w:pPr>
            <w:r>
              <w:rPr>
                <w:sz w:val="19"/>
                <w:szCs w:val="19"/>
                <w:lang w:val="nl-NL"/>
              </w:rPr>
              <w:t xml:space="preserve">Transcripties en versies</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Klantinfrastructuur</w:t>
            </w:r>
          </w:p>
        </w:tc>
      </w:tr>
      <w:tr>
        <w:trPr>
          <w:cantSplit/>
        </w:trPr>
        <w:tc>
          <w:tcPr>
            <w:tcW w:type="dxa" w:w="2340"/>
            <w:tcMar>
              <w:left w:type="dxa" w:w="80"/>
              <w:right w:type="dxa" w:w="80"/>
            </w:tcMar>
          </w:tcPr>
          <w:p>
            <w:pPr>
              <w:pStyle w:val="Compact"/>
            </w:pPr>
            <w:r>
              <w:rPr>
                <w:sz w:val="19"/>
                <w:szCs w:val="19"/>
                <w:lang w:val="nl-NL"/>
              </w:rPr>
              <w:t xml:space="preserve">Voorbereidende documenten</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Klantinfrastructuur</w:t>
            </w:r>
          </w:p>
        </w:tc>
      </w:tr>
      <w:tr>
        <w:trPr>
          <w:cantSplit/>
        </w:trPr>
        <w:tc>
          <w:tcPr>
            <w:tcW w:type="dxa" w:w="2340"/>
            <w:tcMar>
              <w:left w:type="dxa" w:w="80"/>
              <w:right w:type="dxa" w:w="80"/>
            </w:tcMar>
          </w:tcPr>
          <w:p>
            <w:pPr>
              <w:pStyle w:val="Compact"/>
            </w:pPr>
            <w:r>
              <w:rPr>
                <w:sz w:val="19"/>
                <w:szCs w:val="19"/>
                <w:lang w:val="nl-NL"/>
              </w:rPr>
              <w:t xml:space="preserve">Metagegevens van sessie</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Klantinfrastructuur</w:t>
            </w:r>
          </w:p>
        </w:tc>
      </w:tr>
      <w:tr>
        <w:trPr>
          <w:cantSplit/>
        </w:trPr>
        <w:tc>
          <w:tcPr>
            <w:tcW w:type="dxa" w:w="2340"/>
            <w:tcMar>
              <w:left w:type="dxa" w:w="80"/>
              <w:right w:type="dxa" w:w="80"/>
            </w:tcMar>
          </w:tcPr>
          <w:p>
            <w:pPr>
              <w:pStyle w:val="Compact"/>
            </w:pPr>
            <w:r>
              <w:rPr>
                <w:sz w:val="19"/>
                <w:szCs w:val="19"/>
                <w:lang w:val="nl-NL"/>
              </w:rPr>
              <w:t xml:space="preserve">Gebruikersaccounts</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Klantinfrastructuur</w:t>
            </w:r>
          </w:p>
        </w:tc>
      </w:tr>
      <w:tr>
        <w:trPr>
          <w:cantSplit/>
        </w:trPr>
        <w:tc>
          <w:tcPr>
            <w:tcW w:type="dxa" w:w="2340"/>
            <w:tcMar>
              <w:left w:type="dxa" w:w="80"/>
              <w:right w:type="dxa" w:w="80"/>
            </w:tcMar>
          </w:tcPr>
          <w:p>
            <w:pPr>
              <w:pStyle w:val="Compact"/>
            </w:pPr>
            <w:r>
              <w:rPr>
                <w:sz w:val="19"/>
                <w:szCs w:val="19"/>
                <w:lang w:val="nl-NL"/>
              </w:rPr>
              <w:t xml:space="preserve">Auditlogboeken en technische sporen</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Frankrijk (Straatsburg)</w:t>
            </w:r>
          </w:p>
        </w:tc>
        <w:tc>
          <w:tcPr>
            <w:tcW w:type="dxa" w:w="2340"/>
            <w:tcMar>
              <w:left w:type="dxa" w:w="80"/>
              <w:right w:type="dxa" w:w="80"/>
            </w:tcMar>
          </w:tcPr>
          <w:p>
            <w:pPr>
              <w:pStyle w:val="Compact"/>
            </w:pPr>
            <w:r>
              <w:rPr>
                <w:sz w:val="19"/>
                <w:szCs w:val="19"/>
                <w:lang w:val="nl-NL"/>
              </w:rPr>
              <w:t xml:space="preserve">Klantinfrastructuur</w:t>
            </w:r>
          </w:p>
        </w:tc>
      </w:tr>
      <w:tr>
        <w:trPr>
          <w:cantSplit/>
        </w:trPr>
        <w:tc>
          <w:tcPr>
            <w:tcW w:type="dxa" w:w="2340"/>
            <w:tcMar>
              <w:left w:type="dxa" w:w="80"/>
              <w:right w:type="dxa" w:w="80"/>
            </w:tcMar>
          </w:tcPr>
          <w:p>
            <w:pPr>
              <w:pStyle w:val="Compact"/>
            </w:pPr>
            <w:r>
              <w:rPr>
                <w:sz w:val="19"/>
                <w:szCs w:val="19"/>
                <w:lang w:val="nl-NL"/>
              </w:rPr>
              <w:t xml:space="preserve">Back-ups (gecodeerd vóór uitbesteding)</w:t>
            </w:r>
          </w:p>
        </w:tc>
        <w:tc>
          <w:tcPr>
            <w:tcW w:type="dxa" w:w="2340"/>
            <w:tcMar>
              <w:left w:type="dxa" w:w="80"/>
              <w:right w:type="dxa" w:w="80"/>
            </w:tcMar>
          </w:tcPr>
          <w:p>
            <w:pPr>
              <w:pStyle w:val="Compact"/>
            </w:pPr>
            <w:r>
              <w:rPr>
                <w:sz w:val="19"/>
                <w:szCs w:val="19"/>
                <w:lang w:val="nl-NL"/>
              </w:rPr>
              <w:t xml:space="preserve">Frankrijk (Scaleway)</w:t>
            </w:r>
          </w:p>
        </w:tc>
        <w:tc>
          <w:tcPr>
            <w:tcW w:type="dxa" w:w="2340"/>
            <w:tcMar>
              <w:left w:type="dxa" w:w="80"/>
              <w:right w:type="dxa" w:w="80"/>
            </w:tcMar>
          </w:tcPr>
          <w:p>
            <w:pPr>
              <w:pStyle w:val="Compact"/>
            </w:pPr>
            <w:r>
              <w:rPr>
                <w:sz w:val="19"/>
                <w:szCs w:val="19"/>
                <w:lang w:val="nl-NL"/>
              </w:rPr>
              <w:t xml:space="preserve">Frankrijk (Scaleway)</w:t>
            </w:r>
          </w:p>
        </w:tc>
        <w:tc>
          <w:tcPr>
            <w:tcW w:type="dxa" w:w="2340"/>
            <w:tcMar>
              <w:left w:type="dxa" w:w="80"/>
              <w:right w:type="dxa" w:w="80"/>
            </w:tcMar>
          </w:tcPr>
          <w:p>
            <w:pPr>
              <w:pStyle w:val="Compact"/>
            </w:pPr>
            <w:r>
              <w:rPr>
                <w:sz w:val="19"/>
                <w:szCs w:val="19"/>
                <w:lang w:val="nl-NL"/>
              </w:rPr>
              <w:t xml:space="preserve">Op kosten van de klant</w:t>
            </w:r>
          </w:p>
        </w:tc>
      </w:tr>
      <w:tr>
        <w:trPr>
          <w:cantSplit/>
        </w:trPr>
        <w:tc>
          <w:tcPr>
            <w:tcW w:type="dxa" w:w="2340"/>
            <w:tcMar>
              <w:left w:type="dxa" w:w="80"/>
              <w:right w:type="dxa" w:w="80"/>
            </w:tcMar>
          </w:tcPr>
          <w:p>
            <w:pPr>
              <w:pStyle w:val="Compact"/>
            </w:pPr>
            <w:r>
              <w:rPr>
                <w:sz w:val="19"/>
                <w:szCs w:val="19"/>
                <w:lang w:val="nl-NL"/>
              </w:rPr>
              <w:t xml:space="preserve">Transcriptieverwerking (GPU)</w:t>
            </w:r>
          </w:p>
        </w:tc>
        <w:tc>
          <w:tcPr>
            <w:tcW w:type="dxa" w:w="2340"/>
            <w:tcMar>
              <w:left w:type="dxa" w:w="80"/>
              <w:right w:type="dxa" w:w="80"/>
            </w:tcMar>
          </w:tcPr>
          <w:p>
            <w:pPr>
              <w:pStyle w:val="Compact"/>
            </w:pPr>
            <w:r>
              <w:rPr>
                <w:sz w:val="19"/>
                <w:szCs w:val="19"/>
                <w:lang w:val="nl-NL"/>
              </w:rPr>
              <w:t xml:space="preserve">Speciale GPU; EU-middelen indien nodig; </w:t>
            </w:r>
            <w:r>
              <w:rPr>
                <w:sz w:val="19"/>
                <w:szCs w:val="19"/>
                <w:lang w:val="nl-NL"/>
              </w:rPr>
              <w:t xml:space="preserve"/>
            </w:r>
            <w:r>
              <w:rPr>
                <w:b/>
                <w:bCs/>
                <w:sz w:val="19"/>
                <w:szCs w:val="19"/>
                <w:lang w:val="nl-NL"/>
              </w:rPr>
              <w:t xml:space="preserve">buiten de EER mogelijk </w:t>
            </w:r>
            <w:r>
              <w:rPr>
                <w:sz w:val="19"/>
                <w:szCs w:val="19"/>
                <w:lang w:val="nl-NL"/>
              </w:rPr>
              <w:t xml:space="preserve"/>
            </w:r>
            <w:r>
              <w:rPr>
                <w:sz w:val="19"/>
                <w:szCs w:val="19"/>
                <w:lang w:val="nl-NL"/>
              </w:rPr>
              <w:t xml:space="preserve">via marktplaats indien niet beperkt</w:t>
            </w:r>
          </w:p>
        </w:tc>
        <w:tc>
          <w:tcPr>
            <w:tcW w:type="dxa" w:w="2340"/>
            <w:tcMar>
              <w:left w:type="dxa" w:w="80"/>
              <w:right w:type="dxa" w:w="80"/>
            </w:tcMar>
          </w:tcPr>
          <w:p>
            <w:pPr>
              <w:pStyle w:val="Compact"/>
            </w:pPr>
            <w:r>
              <w:rPr>
                <w:sz w:val="19"/>
                <w:szCs w:val="19"/>
                <w:lang w:val="nl-NL"/>
              </w:rPr>
              <w:t xml:space="preserve">Alleen EU</w:t>
            </w:r>
          </w:p>
        </w:tc>
        <w:tc>
          <w:tcPr>
            <w:tcW w:type="dxa" w:w="2340"/>
            <w:tcMar>
              <w:left w:type="dxa" w:w="80"/>
              <w:right w:type="dxa" w:w="80"/>
            </w:tcMar>
          </w:tcPr>
          <w:p>
            <w:pPr>
              <w:pStyle w:val="Compact"/>
            </w:pPr>
            <w:r>
              <w:rPr>
                <w:sz w:val="19"/>
                <w:szCs w:val="19"/>
                <w:lang w:val="nl-NL"/>
              </w:rPr>
              <w:t xml:space="preserve">Lokale GPU-worker van de client</w:t>
            </w:r>
          </w:p>
        </w:tc>
      </w:tr>
      <w:tr>
        <w:trPr>
          <w:cantSplit/>
        </w:trPr>
        <w:tc>
          <w:tcPr>
            <w:tcW w:type="dxa" w:w="2340"/>
            <w:tcMar>
              <w:left w:type="dxa" w:w="80"/>
              <w:right w:type="dxa" w:w="80"/>
            </w:tcMar>
          </w:tcPr>
          <w:p>
            <w:pPr>
              <w:pStyle w:val="Compact"/>
            </w:pPr>
            <w:r>
              <w:rPr>
                <w:sz w:val="19"/>
                <w:szCs w:val="19"/>
                <w:lang w:val="nl-NL"/>
              </w:rPr>
              <w:t xml:space="preserve">AI-behandeling (LLM) – primaire route</w:t>
            </w:r>
          </w:p>
        </w:tc>
        <w:tc>
          <w:tcPr>
            <w:tcW w:type="dxa" w:w="2340"/>
            <w:tcMar>
              <w:left w:type="dxa" w:w="80"/>
              <w:right w:type="dxa" w:w="80"/>
            </w:tcMar>
          </w:tcPr>
          <w:p>
            <w:pPr>
              <w:pStyle w:val="Compact"/>
            </w:pPr>
            <w:r>
              <w:rPr>
                <w:sz w:val="19"/>
                <w:szCs w:val="19"/>
                <w:lang w:val="nl-NL"/>
              </w:rPr>
              <w:t xml:space="preserve">vLLM open-weights op GPU's beheerst in Europa (Straatsburg / Parijs); geen gegevens buiten de EER</w:t>
            </w:r>
          </w:p>
        </w:tc>
        <w:tc>
          <w:tcPr>
            <w:tcW w:type="dxa" w:w="2340"/>
            <w:tcMar>
              <w:left w:type="dxa" w:w="80"/>
              <w:right w:type="dxa" w:w="80"/>
            </w:tcMar>
          </w:tcPr>
          <w:p>
            <w:pPr>
              <w:pStyle w:val="Compact"/>
            </w:pPr>
            <w:r>
              <w:rPr>
                <w:sz w:val="19"/>
                <w:szCs w:val="19"/>
                <w:lang w:val="nl-NL"/>
              </w:rPr>
              <w:t xml:space="preserve">EU vLLM of zelfgehost model; geen gegevens buiten de EER</w:t>
            </w:r>
          </w:p>
        </w:tc>
        <w:tc>
          <w:tcPr>
            <w:tcW w:type="dxa" w:w="2340"/>
            <w:tcMar>
              <w:left w:type="dxa" w:w="80"/>
              <w:right w:type="dxa" w:w="80"/>
            </w:tcMar>
          </w:tcPr>
          <w:p>
            <w:pPr>
              <w:pStyle w:val="Compact"/>
            </w:pPr>
            <w:r>
              <w:rPr>
                <w:sz w:val="19"/>
                <w:szCs w:val="19"/>
                <w:lang w:val="nl-NL"/>
              </w:rPr>
              <w:t xml:space="preserve">Lokaal, zelfgehost model; geen uitgaande stroom</w:t>
            </w:r>
          </w:p>
        </w:tc>
      </w:tr>
      <w:tr>
        <w:trPr>
          <w:cantSplit/>
        </w:trPr>
        <w:tc>
          <w:tcPr>
            <w:tcW w:type="dxa" w:w="2340"/>
            <w:tcMar>
              <w:left w:type="dxa" w:w="80"/>
              <w:right w:type="dxa" w:w="80"/>
            </w:tcMar>
          </w:tcPr>
          <w:p>
            <w:pPr>
              <w:pStyle w:val="Compact"/>
            </w:pPr>
            <w:r>
              <w:rPr>
                <w:sz w:val="19"/>
                <w:szCs w:val="19"/>
                <w:lang w:val="nl-NL"/>
              </w:rPr>
              <w:t xml:space="preserve">AI-behandeling (LLM) – verlichting</w:t>
            </w:r>
          </w:p>
        </w:tc>
        <w:tc>
          <w:tcPr>
            <w:tcW w:type="dxa" w:w="2340"/>
            <w:tcMar>
              <w:left w:type="dxa" w:w="80"/>
              <w:right w:type="dxa" w:w="80"/>
            </w:tcMar>
          </w:tcPr>
          <w:p>
            <w:pPr>
              <w:pStyle w:val="Compact"/>
            </w:pPr>
            <w:r>
              <w:rPr>
                <w:sz w:val="19"/>
                <w:szCs w:val="19"/>
                <w:lang w:val="nl-NL"/>
              </w:rPr>
              <w:t xml:space="preserve">OpenRouter (Claude, GPT etc.), </w:t>
            </w:r>
            <w:r>
              <w:rPr>
                <w:sz w:val="19"/>
                <w:szCs w:val="19"/>
                <w:lang w:val="nl-NL"/>
              </w:rPr>
              <w:t xml:space="preserve"/>
            </w:r>
            <w:r>
              <w:rPr>
                <w:b/>
                <w:bCs/>
                <w:sz w:val="19"/>
                <w:szCs w:val="19"/>
                <w:lang w:val="nl-NL"/>
              </w:rPr>
              <w:t xml:space="preserve">buiten de EER </w:t>
            </w:r>
            <w:r>
              <w:rPr>
                <w:sz w:val="19"/>
                <w:szCs w:val="19"/>
                <w:lang w:val="nl-NL"/>
              </w:rPr>
              <w:t xml:space="preserve">mogelijk, alleen aangevraagd als de primaire route niet beschikbaar is en niet gedeactiveerd</w:t>
            </w:r>
          </w:p>
        </w:tc>
        <w:tc>
          <w:tcPr>
            <w:tcW w:type="dxa" w:w="2340"/>
            <w:tcMar>
              <w:left w:type="dxa" w:w="80"/>
              <w:right w:type="dxa" w:w="80"/>
            </w:tcMar>
          </w:tcPr>
          <w:p>
            <w:pPr>
              <w:pStyle w:val="Compact"/>
            </w:pPr>
            <w:r>
              <w:rPr>
                <w:sz w:val="19"/>
                <w:szCs w:val="19"/>
                <w:lang w:val="nl-NL"/>
              </w:rPr>
              <w:t xml:space="preserve">Noodgeval uitgeschakeld</w:t>
            </w:r>
          </w:p>
        </w:tc>
        <w:tc>
          <w:tcPr>
            <w:tcW w:type="dxa" w:w="2340"/>
            <w:tcMar>
              <w:left w:type="dxa" w:w="80"/>
              <w:right w:type="dxa" w:w="80"/>
            </w:tcMar>
          </w:tcPr>
          <w:p>
            <w:pPr>
              <w:pStyle w:val="Compact"/>
            </w:pPr>
            <w:r>
              <w:rPr>
                <w:sz w:val="19"/>
                <w:szCs w:val="19"/>
                <w:lang w:val="nl-NL"/>
              </w:rPr>
              <w:t xml:space="preserve">Niet van toepassing (geen externe hulp)</w:t>
            </w:r>
          </w:p>
        </w:tc>
      </w:tr>
      <w:tr>
        <w:trPr>
          <w:cantSplit/>
        </w:trPr>
        <w:tc>
          <w:tcPr>
            <w:tcW w:type="dxa" w:w="2340"/>
            <w:tcMar>
              <w:left w:type="dxa" w:w="80"/>
              <w:right w:type="dxa" w:w="80"/>
            </w:tcMar>
          </w:tcPr>
          <w:p>
            <w:pPr>
              <w:pStyle w:val="Compact"/>
            </w:pPr>
            <w:r>
              <w:rPr>
                <w:sz w:val="19"/>
                <w:szCs w:val="19"/>
                <w:lang w:val="nl-NL"/>
              </w:rPr>
              <w:t xml:space="preserve">Tijdelijke spraakrepresentaties (spraakcorrelatie)</w:t>
            </w:r>
          </w:p>
        </w:tc>
        <w:tc>
          <w:tcPr>
            <w:tcW w:type="dxa" w:w="2340"/>
            <w:tcMar>
              <w:left w:type="dxa" w:w="80"/>
              <w:right w:type="dxa" w:w="80"/>
            </w:tcMar>
          </w:tcPr>
          <w:p>
            <w:pPr>
              <w:pStyle w:val="Compact"/>
            </w:pPr>
            <w:r>
              <w:rPr>
                <w:sz w:val="19"/>
                <w:szCs w:val="19"/>
                <w:lang w:val="nl-NL"/>
              </w:rPr>
              <w:t xml:space="preserve">Kortstondig, in RAM, vernietigd aan het einde van het verzoek; EU-middelen indien nodig</w:t>
            </w:r>
          </w:p>
        </w:tc>
        <w:tc>
          <w:tcPr>
            <w:tcW w:type="dxa" w:w="2340"/>
            <w:tcMar>
              <w:left w:type="dxa" w:w="80"/>
              <w:right w:type="dxa" w:w="80"/>
            </w:tcMar>
          </w:tcPr>
          <w:p>
            <w:pPr>
              <w:pStyle w:val="Compact"/>
            </w:pPr>
            <w:r>
              <w:rPr>
                <w:sz w:val="19"/>
                <w:szCs w:val="19"/>
                <w:lang w:val="nl-NL"/>
              </w:rPr>
              <w:t xml:space="preserve">Kortstondig, RAM, EU</w:t>
            </w:r>
          </w:p>
        </w:tc>
        <w:tc>
          <w:tcPr>
            <w:tcW w:type="dxa" w:w="2340"/>
            <w:tcMar>
              <w:left w:type="dxa" w:w="80"/>
              <w:right w:type="dxa" w:w="80"/>
            </w:tcMar>
          </w:tcPr>
          <w:p>
            <w:pPr>
              <w:pStyle w:val="Compact"/>
            </w:pPr>
            <w:r>
              <w:rPr>
                <w:sz w:val="19"/>
                <w:szCs w:val="19"/>
                <w:lang w:val="nl-NL"/>
              </w:rPr>
              <w:t xml:space="preserve">Kortstondige, in-memory, clientinfrastructuur</w:t>
            </w:r>
          </w:p>
        </w:tc>
      </w:tr>
      <w:tr>
        <w:trPr>
          <w:cantSplit/>
        </w:trPr>
        <w:tc>
          <w:tcPr>
            <w:tcW w:type="dxa" w:w="2340"/>
            <w:tcMar>
              <w:left w:type="dxa" w:w="80"/>
              <w:right w:type="dxa" w:w="80"/>
            </w:tcMar>
          </w:tcPr>
          <w:p>
            <w:pPr>
              <w:pStyle w:val="Compact"/>
            </w:pPr>
            <w:r>
              <w:rPr>
                <w:sz w:val="19"/>
                <w:szCs w:val="19"/>
                <w:lang w:val="nl-NL"/>
              </w:rPr>
              <w:t xml:space="preserve">Transactionele e-mails (indien ingeschakeld)</w:t>
            </w:r>
          </w:p>
        </w:tc>
        <w:tc>
          <w:tcPr>
            <w:tcW w:type="dxa" w:w="2340"/>
            <w:tcMar>
              <w:left w:type="dxa" w:w="80"/>
              <w:right w:type="dxa" w:w="80"/>
            </w:tcMar>
          </w:tcPr>
          <w:p>
            <w:pPr>
              <w:pStyle w:val="Compact"/>
            </w:pPr>
            <w:r>
              <w:rPr>
                <w:sz w:val="19"/>
                <w:szCs w:val="19"/>
                <w:lang w:val="nl-NL"/>
              </w:rPr>
              <w:t xml:space="preserve">UE indien geconfigureerd</w:t>
            </w:r>
          </w:p>
        </w:tc>
        <w:tc>
          <w:tcPr>
            <w:tcW w:type="dxa" w:w="2340"/>
            <w:tcMar>
              <w:left w:type="dxa" w:w="80"/>
              <w:right w:type="dxa" w:w="80"/>
            </w:tcMar>
          </w:tcPr>
          <w:p>
            <w:pPr>
              <w:pStyle w:val="Compact"/>
            </w:pPr>
            <w:r>
              <w:rPr>
                <w:sz w:val="19"/>
                <w:szCs w:val="19"/>
                <w:lang w:val="nl-NL"/>
              </w:rPr>
              <w:t xml:space="preserve">EU</w:t>
            </w:r>
          </w:p>
        </w:tc>
        <w:tc>
          <w:tcPr>
            <w:tcW w:type="dxa" w:w="2340"/>
            <w:tcMar>
              <w:left w:type="dxa" w:w="80"/>
              <w:right w:type="dxa" w:w="80"/>
            </w:tcMar>
          </w:tcPr>
          <w:p>
            <w:pPr>
              <w:pStyle w:val="Compact"/>
            </w:pPr>
            <w:r>
              <w:rPr>
                <w:sz w:val="19"/>
                <w:szCs w:val="19"/>
                <w:lang w:val="nl-NL"/>
              </w:rPr>
              <w:t xml:space="preserve">Volgens klantconfiguratie</w:t>
            </w:r>
          </w:p>
        </w:tc>
      </w:tr>
    </w:tbl>
    <w:p>
      <w:pPr>
        <w:pStyle w:val="BodyText"/>
      </w:pPr>
      <w:r>
        <w:rPr>
          <w:lang w:val="nl-NL"/>
        </w:rPr>
        <w:t xml:space="preserve">Opmerking: back-ups worden gecodeerd met age (X25519 + ChaCha20-Poly1305) </w:t>
      </w:r>
      <w:r>
        <w:rPr>
          <w:lang w:val="nl-NL"/>
        </w:rPr>
        <w:t xml:space="preserve"/>
      </w:r>
      <w:r>
        <w:rPr>
          <w:b/>
          <w:bCs/>
          <w:lang w:val="nl-NL"/>
        </w:rPr>
        <w:t xml:space="preserve"/>
      </w:r>
      <w:r>
        <w:rPr>
          <w:lang w:val="nl-NL"/>
        </w:rPr>
        <w:t xml:space="preserve"/>
      </w:r>
      <w:r>
        <w:rPr>
          <w:lang w:val="nl-NL"/>
        </w:rPr>
        <w:t xml:space="preserve">vóór enige uitbesteding; decoderingssleutels worden bewaard door OHADJA. De back-upopslaghost heeft daarom alleen toegang tot gecodeerde gegevens.</w:t>
      </w:r>
    </w:p>
    <w:bookmarkEnd w:id="38"/>
    <w:bookmarkStart w:id="39" w:name="Xf11282247053c32d741cabaa3f1d559af0fa28a"/>
    <w:p>
      <w:pPr>
        <w:pStyle w:val="Heading2"/>
        <w:keepNext/>
        <w:keepLines/>
      </w:pPr>
      <w:r>
        <w:rPr>
          <w:color w:val="000000"/>
          <w:lang w:val="nl-NL"/>
        </w:rPr>
        <w:t xml:space="preserve">4. Productie-infrastructuur (optie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Gastheer</w:t>
            </w:r>
          </w:p>
        </w:tc>
        <w:tc>
          <w:tcPr/>
          <w:p>
            <w:pPr>
              <w:pStyle w:val="Compact"/>
            </w:pPr>
            <w:r>
              <w:rPr>
                <w:lang w:val="nl-NL"/>
              </w:rPr>
              <w:t xml:space="preserve">Hostinger (EU-operaties)</w:t>
            </w:r>
          </w:p>
        </w:tc>
      </w:tr>
      <w:tr>
        <w:trPr>
          <w:cantSplit/>
        </w:trPr>
        <w:tc>
          <w:tcPr/>
          <w:p>
            <w:pPr>
              <w:pStyle w:val="Compact"/>
            </w:pPr>
            <w:r>
              <w:rPr>
                <w:lang w:val="nl-NL"/>
              </w:rPr>
              <w:t xml:space="preserve">Locatie van de productieserver</w:t>
            </w:r>
          </w:p>
        </w:tc>
        <w:tc>
          <w:tcPr/>
          <w:p>
            <w:pPr>
              <w:pStyle w:val="Compact"/>
            </w:pPr>
            <w:r>
              <w:rPr>
                <w:lang w:val="nl-NL"/>
              </w:rPr>
              <w:t xml:space="preserve">Datacenter in Straatsburg, Frankrijk</w:t>
            </w:r>
          </w:p>
        </w:tc>
      </w:tr>
      <w:tr>
        <w:trPr>
          <w:cantSplit/>
        </w:trPr>
        <w:tc>
          <w:tcPr/>
          <w:p>
            <w:pPr>
              <w:pStyle w:val="Compact"/>
            </w:pPr>
            <w:r>
              <w:rPr>
                <w:lang w:val="nl-NL"/>
              </w:rPr>
              <w:t xml:space="preserve">Primaire opslag</w:t>
            </w:r>
          </w:p>
        </w:tc>
        <w:tc>
          <w:tcPr/>
          <w:p>
            <w:pPr>
              <w:pStyle w:val="Compact"/>
            </w:pPr>
            <w:r>
              <w:rPr>
                <w:lang w:val="nl-NL"/>
              </w:rPr>
              <w:t xml:space="preserve">Lokale NVMe-schijf, Franse server</w:t>
            </w:r>
          </w:p>
        </w:tc>
      </w:tr>
      <w:tr>
        <w:trPr>
          <w:cantSplit/>
        </w:trPr>
        <w:tc>
          <w:tcPr/>
          <w:p>
            <w:pPr>
              <w:pStyle w:val="Compact"/>
            </w:pPr>
            <w:r>
              <w:rPr>
                <w:lang w:val="nl-NL"/>
              </w:rPr>
              <w:t xml:space="preserve">Opslag van back-ups</w:t>
            </w:r>
          </w:p>
        </w:tc>
        <w:tc>
          <w:tcPr/>
          <w:p>
            <w:pPr>
              <w:pStyle w:val="Compact"/>
            </w:pPr>
            <w:r>
              <w:rPr>
                <w:lang w:val="nl-NL"/>
              </w:rPr>
              <w:t xml:space="preserve">Frankrijk (Scaleway)</w:t>
            </w:r>
          </w:p>
        </w:tc>
      </w:tr>
      <w:tr>
        <w:trPr>
          <w:cantSplit/>
        </w:trPr>
        <w:tc>
          <w:tcPr/>
          <w:p>
            <w:pPr>
              <w:pStyle w:val="Compact"/>
            </w:pPr>
            <w:r>
              <w:rPr>
                <w:lang w:val="nl-NL"/>
              </w:rPr>
              <w:t xml:space="preserve">Back-up-encryptie</w:t>
            </w:r>
          </w:p>
        </w:tc>
        <w:tc>
          <w:tcPr/>
          <w:p>
            <w:pPr>
              <w:pStyle w:val="Compact"/>
            </w:pPr>
            <w:r>
              <w:rPr>
                <w:lang w:val="nl-NL"/>
              </w:rPr>
              <w:t xml:space="preserve">age (X25519 + ChaCha20-Poly1305), vóór uitbesteding</w:t>
            </w:r>
          </w:p>
        </w:tc>
      </w:tr>
      <w:tr>
        <w:trPr>
          <w:cantSplit/>
        </w:trPr>
        <w:tc>
          <w:tcPr/>
          <w:p>
            <w:pPr>
              <w:pStyle w:val="Compact"/>
            </w:pPr>
            <w:r>
              <w:rPr>
                <w:lang w:val="nl-NL"/>
              </w:rPr>
              <w:t xml:space="preserve">Encryptie van systeemschijven</w:t>
            </w:r>
          </w:p>
        </w:tc>
        <w:tc>
          <w:tcPr/>
          <w:p>
            <w:pPr>
              <w:pStyle w:val="Compact"/>
            </w:pPr>
            <w:r>
              <w:rPr>
                <w:lang w:val="nl-NL"/>
              </w:rPr>
              <w:t xml:space="preserve">Afhankelijk van het aanbod van het datacenter; geplande upgrade (LUKS/gocryptfs)</w:t>
            </w:r>
          </w:p>
        </w:tc>
      </w:tr>
      <w:tr>
        <w:trPr>
          <w:cantSplit/>
        </w:trPr>
        <w:tc>
          <w:tcPr/>
          <w:p>
            <w:pPr>
              <w:pStyle w:val="Compact"/>
            </w:pPr>
            <w:r>
              <w:rPr>
                <w:lang w:val="nl-NL"/>
              </w:rPr>
              <w:t xml:space="preserve">AI-inferentieservers (primair pad)</w:t>
            </w:r>
          </w:p>
        </w:tc>
        <w:tc>
          <w:tcPr/>
          <w:p>
            <w:pPr>
              <w:pStyle w:val="Compact"/>
            </w:pPr>
            <w:r>
              <w:rPr>
                <w:lang w:val="nl-NL"/>
              </w:rPr>
              <w:t xml:space="preserve">GPU's gemasterd door OHADJA, gehost in Europa (voornamelijk Straatsburg en Parijs), met vLLM met modellen met open gewicht</w:t>
            </w:r>
          </w:p>
        </w:tc>
      </w:tr>
      <w:tr>
        <w:trPr>
          <w:cantSplit/>
        </w:trPr>
        <w:tc>
          <w:tcPr/>
          <w:p>
            <w:pPr>
              <w:pStyle w:val="Compact"/>
            </w:pPr>
            <w:r>
              <w:rPr>
                <w:lang w:val="nl-NL"/>
              </w:rPr>
              <w:t xml:space="preserve">Fysieke toegang tot het datacenter</w:t>
            </w:r>
          </w:p>
        </w:tc>
        <w:tc>
          <w:tcPr/>
          <w:p>
            <w:pPr>
              <w:pStyle w:val="Compact"/>
            </w:pPr>
            <w:r>
              <w:rPr>
                <w:lang w:val="nl-NL"/>
              </w:rPr>
              <w:t xml:space="preserve">Hostinger; geen menselijke toegang tot applicatiegegevens</w:t>
            </w:r>
          </w:p>
        </w:tc>
      </w:tr>
    </w:tbl>
    <w:bookmarkEnd w:id="39"/>
    <w:bookmarkStart w:id="43" w:name="X700250886d055f58feeb2a5500db370e2d232dd"/>
    <w:p>
      <w:pPr>
        <w:pStyle w:val="Heading2"/>
        <w:keepNext/>
        <w:keepLines/>
      </w:pPr>
      <w:r>
        <w:rPr>
          <w:color w:val="000000"/>
          <w:lang w:val="nl-NL"/>
        </w:rPr>
        <w:t xml:space="preserve">5. Stromen en verwerking buiten de EER mogelijk in Optie A – eerlijke vermelding</w:t>
      </w:r>
    </w:p>
    <w:p>
      <w:pPr>
        <w:pStyle w:val="FirstParagraph"/>
      </w:pPr>
      <w:r>
        <w:rPr>
          <w:lang w:val="nl-NL"/>
        </w:rPr>
        <w:t xml:space="preserve">Omwille van de transparantie over uw complianceanalyses worden de volgende gevallen expliciet gemarkeerd.</w:t>
      </w:r>
    </w:p>
    <w:bookmarkStart w:id="40" w:name="X5b78bac1412b7cfd1ffb7b51c9d8c6cc21919c5"/>
    <w:p>
      <w:pPr>
        <w:pStyle w:val="Heading3"/>
        <w:keepNext/>
        <w:keepLines/>
      </w:pPr>
      <w:r>
        <w:rPr>
          <w:color w:val="000000"/>
          <w:lang w:val="nl-NL"/>
        </w:rPr>
        <w:t xml:space="preserve">5.1 Functies van kunstmatige intelligentie</w:t>
      </w:r>
    </w:p>
    <w:p>
      <w:pPr>
        <w:pStyle w:val="FirstParagraph"/>
      </w:pPr>
      <w:r>
        <w:rPr>
          <w:b/>
          <w:bCs/>
          <w:lang w:val="nl-NL"/>
        </w:rPr>
        <w:t xml:space="preserve">Primaire route — geen overdracht buiten de </w:t>
      </w:r>
      <w:r>
        <w:rPr>
          <w:lang w:val="nl-NL"/>
        </w:rPr>
        <w:t xml:space="preserve"/>
      </w:r>
      <w:r>
        <w:rPr>
          <w:lang w:val="nl-NL"/>
        </w:rPr>
        <w:t xml:space="preserve">EER. Standaard worden de AI-functies (correctie, samenvatting, notulen, hoofdstukken, identificatiesuggestie) uitgevoerd op GPU-servers die worden beheerd door OHADJA waarop vLLM draait met open-weights-modellen ([TO BE COMPLETED: exacte versies – Qwen 3.6 of Mistral]), gehost in Europa (voornamelijk Straatsburg en Parijs) – of, in Optie B, in de infrastructuur van de klant. Op deze route worden geen gegevens doorgegeven aan een externe modelaanbieder en vindt er geen verwerking buiten de EER plaats.</w:t>
      </w:r>
    </w:p>
    <w:p>
      <w:pPr>
        <w:pStyle w:val="BodyText"/>
      </w:pPr>
      <w:r>
        <w:rPr>
          <w:b/>
          <w:bCs/>
          <w:lang w:val="nl-NL"/>
        </w:rPr>
        <w:t xml:space="preserve">Noodroute – overdracht buiten de EER mogelijk. In </w:t>
      </w:r>
      <w:r>
        <w:rPr>
          <w:lang w:val="nl-NL"/>
        </w:rPr>
        <w:t xml:space="preserve"/>
      </w:r>
      <w:r>
        <w:rPr>
          <w:lang w:val="nl-NL"/>
        </w:rPr>
        <w:t xml:space="preserve">het geval dat het primaire kanaal niet beschikbaar is, en tenzij dit door uw organisatie wordt gedeactiveerd, kan voor een failover naar de OpenRouter-gateway </w:t>
      </w:r>
      <w:r>
        <w:rPr>
          <w:lang w:val="nl-NL"/>
        </w:rPr>
        <w:t xml:space="preserve"/>
      </w:r>
      <w:r>
        <w:rPr>
          <w:b/>
          <w:bCs/>
          <w:lang w:val="nl-NL"/>
        </w:rPr>
        <w:t xml:space="preserve"/>
      </w:r>
      <w:r>
        <w:rPr>
          <w:lang w:val="nl-NL"/>
        </w:rPr>
        <w:t xml:space="preserve"/>
      </w:r>
      <w:r>
        <w:rPr>
          <w:lang w:val="nl-NL"/>
        </w:rPr>
        <w:t xml:space="preserve">modelproviders nodig zijn </w:t>
      </w:r>
      <w:r>
        <w:rPr>
          <w:lang w:val="nl-NL"/>
        </w:rPr>
        <w:t xml:space="preserve"/>
      </w:r>
      <w:r>
        <w:rPr>
          <w:b/>
          <w:bCs/>
          <w:lang w:val="nl-NL"/>
        </w:rPr>
        <w:t xml:space="preserve">die in de Verenigde Staten zijn gevestigd (bijvoorbeeld </w:t>
      </w:r>
      <w:r>
        <w:rPr>
          <w:lang w:val="nl-NL"/>
        </w:rPr>
        <w:t xml:space="preserve"/>
      </w:r>
      <w:r>
        <w:rPr>
          <w:lang w:val="nl-NL"/>
        </w:rPr>
        <w:t xml:space="preserve">Anthropic of OpenAI). Deze vrijstelling vormt dan een overdracht buiten de EER, die als volgt is geformuleerd: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Details</w:t>
            </w:r>
          </w:p>
        </w:tc>
      </w:tr>
      <w:tr>
        <w:trPr>
          <w:cantSplit/>
        </w:trPr>
        <w:tc>
          <w:tcPr/>
          <w:p>
            <w:pPr>
              <w:pStyle w:val="Compact"/>
            </w:pPr>
            <w:r>
              <w:rPr>
                <w:lang w:val="nl-NL"/>
              </w:rPr>
              <w:t xml:space="preserve">Verwerkers getroffen</w:t>
            </w:r>
          </w:p>
        </w:tc>
        <w:tc>
          <w:tcPr/>
          <w:p>
            <w:pPr>
              <w:pStyle w:val="Compact"/>
            </w:pPr>
            <w:r>
              <w:rPr>
                <w:lang w:val="nl-NL"/>
              </w:rPr>
              <w:t xml:space="preserve">OpenRouter Inc. (VS); modelaanbieders via OpenRouter (Anthropic, OpenAI…)</w:t>
            </w:r>
          </w:p>
        </w:tc>
      </w:tr>
      <w:tr>
        <w:trPr>
          <w:cantSplit/>
        </w:trPr>
        <w:tc>
          <w:tcPr/>
          <w:p>
            <w:pPr>
              <w:pStyle w:val="Compact"/>
            </w:pPr>
            <w:r>
              <w:rPr>
                <w:lang w:val="nl-NL"/>
              </w:rPr>
              <w:t xml:space="preserve">Triggeren</w:t>
            </w:r>
          </w:p>
        </w:tc>
        <w:tc>
          <w:tcPr/>
          <w:p>
            <w:pPr>
              <w:pStyle w:val="Compact"/>
            </w:pPr>
            <w:r>
              <w:rPr>
                <w:lang w:val="nl-NL"/>
              </w:rPr>
              <w:t xml:space="preserve">Alleen als back-up, als het primaire vLLM UE-kanaal niet beschikbaar is; kan door de organisatie worden gedeactiveerd</w:t>
            </w:r>
          </w:p>
        </w:tc>
      </w:tr>
      <w:tr>
        <w:trPr>
          <w:cantSplit/>
        </w:trPr>
        <w:tc>
          <w:tcPr/>
          <w:p>
            <w:pPr>
              <w:pStyle w:val="Compact"/>
            </w:pPr>
            <w:r>
              <w:rPr>
                <w:lang w:val="nl-NL"/>
              </w:rPr>
              <w:t xml:space="preserve">Land van verwerking</w:t>
            </w:r>
          </w:p>
        </w:tc>
        <w:tc>
          <w:tcPr/>
          <w:p>
            <w:pPr>
              <w:pStyle w:val="Compact"/>
            </w:pPr>
            <w:r>
              <w:rPr>
                <w:lang w:val="nl-NL"/>
              </w:rPr>
              <w:t xml:space="preserve">Verenigde Staten mogelijk afhankelijk van het model</w:t>
            </w:r>
          </w:p>
        </w:tc>
      </w:tr>
      <w:tr>
        <w:trPr>
          <w:cantSplit/>
        </w:trPr>
        <w:tc>
          <w:tcPr/>
          <w:p>
            <w:pPr>
              <w:pStyle w:val="Compact"/>
            </w:pPr>
            <w:r>
              <w:rPr>
                <w:lang w:val="nl-NL"/>
              </w:rPr>
              <w:t xml:space="preserve">Overdrachtsmechanisme (Hoofdstuk V AVG)</w:t>
            </w:r>
          </w:p>
        </w:tc>
        <w:tc>
          <w:tcPr/>
          <w:p>
            <w:pPr>
              <w:pStyle w:val="Compact"/>
            </w:pPr>
            <w:r>
              <w:rPr>
                <w:lang w:val="nl-NL"/>
              </w:rPr>
              <w:t xml:space="preserve">Standaardcontractbepalingen van leveranciers; waar van toepassing Kader voor gegevensprivacy</w:t>
            </w:r>
          </w:p>
        </w:tc>
      </w:tr>
      <w:tr>
        <w:trPr>
          <w:cantSplit/>
        </w:trPr>
        <w:tc>
          <w:tcPr/>
          <w:p>
            <w:pPr>
              <w:pStyle w:val="Compact"/>
            </w:pPr>
            <w:r>
              <w:rPr>
                <w:lang w:val="nl-NL"/>
              </w:rPr>
              <w:t xml:space="preserve">Aanvullende maatregelen</w:t>
            </w:r>
          </w:p>
        </w:tc>
        <w:tc>
          <w:tcPr/>
          <w:p>
            <w:pPr>
              <w:pStyle w:val="Compact"/>
            </w:pPr>
            <w:r>
              <w:rPr>
                <w:lang w:val="nl-NL"/>
              </w:rPr>
              <w:t xml:space="preserve">TLS onderweg, minimalisering van verzonden gegevens, gebrek aan training over uw gegevens (“no-train”), gebrek aan duurzame opslag</w:t>
            </w:r>
          </w:p>
        </w:tc>
      </w:tr>
      <w:tr>
        <w:trPr>
          <w:cantSplit/>
        </w:trPr>
        <w:tc>
          <w:tcPr/>
          <w:p>
            <w:pPr>
              <w:pStyle w:val="Compact"/>
            </w:pPr>
            <w:r>
              <w:rPr>
                <w:lang w:val="nl-NL"/>
              </w:rPr>
              <w:t xml:space="preserve">Verwijdering van reliëf</w:t>
            </w:r>
          </w:p>
        </w:tc>
        <w:tc>
          <w:tcPr/>
          <w:p>
            <w:pPr>
              <w:pStyle w:val="Compact"/>
            </w:pPr>
            <w:r>
              <w:rPr>
                <w:lang w:val="nl-NL"/>
              </w:rPr>
              <w:t xml:space="preserve">“Strikt EU”-profiel (back-up uitgeschakeld) of geïsoleerde optie B</w:t>
            </w:r>
          </w:p>
        </w:tc>
      </w:tr>
    </w:tbl>
    <w:p>
      <w:pPr>
        <w:pStyle w:val="BodyText"/>
      </w:pPr>
      <w:r>
        <w:rPr>
          <w:b/>
          <w:bCs/>
          <w:lang w:val="nl-NL"/>
        </w:rPr>
        <w:t xml:space="preserve">LLM-routes per organisatie. </w:t>
      </w:r>
      <w:r>
        <w:rPr>
          <w:lang w:val="nl-NL"/>
        </w:rPr>
        <w:t xml:space="preserve"/>
      </w:r>
      <w:r>
        <w:rPr>
          <w:lang w:val="nl-NL"/>
        </w:rPr>
        <w:t xml:space="preserve">Sinds versie 1.7.0 kan elke organisatie zijn eigen LLM-routes (provider, model, zelf-gehost eindpunt) definiëren, in fail-closed modus en met anti-SSRF-bescherming, waardoor het volledige controle heeft over waar de AI wordt verwerkt.</w:t>
      </w:r>
    </w:p>
    <w:bookmarkEnd w:id="40"/>
    <w:bookmarkStart w:id="41" w:name="X2285286b7bc0b60388fb6c9db2644919089fce5"/>
    <w:p>
      <w:pPr>
        <w:pStyle w:val="Heading3"/>
        <w:keepNext/>
        <w:keepLines/>
      </w:pPr>
      <w:r>
        <w:rPr>
          <w:color w:val="000000"/>
          <w:lang w:val="nl-NL"/>
        </w:rPr>
        <w:t xml:space="preserve">5.2 GPU-bronnen voor transcriptie</w:t>
      </w:r>
    </w:p>
    <w:p>
      <w:pPr>
        <w:pStyle w:val="FirstParagraph"/>
      </w:pPr>
      <w:r>
        <w:rPr>
          <w:lang w:val="nl-NL"/>
        </w:rPr>
        <w:t xml:space="preserve">Transcriptieverwerking kan GPU-bronnen van een marktplaats (Vast.ai) gebruiken wanneer deze optie is ingeschakeld. OHADJA selecteert machines in de EU wanneer deze locatie vereist is; anders is verwerking buiten de EER mogelijk.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Details</w:t>
            </w:r>
          </w:p>
        </w:tc>
      </w:tr>
      <w:tr>
        <w:trPr>
          <w:cantSplit/>
        </w:trPr>
        <w:tc>
          <w:tcPr/>
          <w:p>
            <w:pPr>
              <w:pStyle w:val="Compact"/>
            </w:pPr>
            <w:r>
              <w:rPr>
                <w:lang w:val="nl-NL"/>
              </w:rPr>
              <w:t xml:space="preserve">Leverancier</w:t>
            </w:r>
          </w:p>
        </w:tc>
        <w:tc>
          <w:tcPr/>
          <w:p>
            <w:pPr>
              <w:pStyle w:val="Compact"/>
            </w:pPr>
            <w:r>
              <w:rPr>
                <w:lang w:val="nl-NL"/>
              </w:rPr>
              <w:t xml:space="preserve">Vast.ai (marktplaats, VS) of speciale GPU</w:t>
            </w:r>
          </w:p>
        </w:tc>
      </w:tr>
      <w:tr>
        <w:trPr>
          <w:cantSplit/>
        </w:trPr>
        <w:tc>
          <w:tcPr/>
          <w:p>
            <w:pPr>
              <w:pStyle w:val="Compact"/>
            </w:pPr>
            <w:r>
              <w:rPr>
                <w:lang w:val="nl-NL"/>
              </w:rPr>
              <w:t xml:space="preserve">Land van verwerking</w:t>
            </w:r>
          </w:p>
        </w:tc>
        <w:tc>
          <w:tcPr/>
          <w:p>
            <w:pPr>
              <w:pStyle w:val="Compact"/>
            </w:pPr>
            <w:r>
              <w:rPr>
                <w:lang w:val="nl-NL"/>
              </w:rPr>
              <w:t xml:space="preserve">EU indien nodig; buiten de EER anders mogelijk</w:t>
            </w:r>
          </w:p>
        </w:tc>
      </w:tr>
      <w:tr>
        <w:trPr>
          <w:cantSplit/>
        </w:trPr>
        <w:tc>
          <w:tcPr/>
          <w:p>
            <w:pPr>
              <w:pStyle w:val="Compact"/>
            </w:pPr>
            <w:r>
              <w:rPr>
                <w:lang w:val="nl-NL"/>
              </w:rPr>
              <w:t xml:space="preserve">Afmetingen</w:t>
            </w:r>
          </w:p>
        </w:tc>
        <w:tc>
          <w:tcPr/>
          <w:p>
            <w:pPr>
              <w:pStyle w:val="Compact"/>
            </w:pPr>
            <w:r>
              <w:rPr>
                <w:lang w:val="nl-NL"/>
              </w:rPr>
              <w:t xml:space="preserve">Geautomatiseerde verwerking, verwijdering van gegevens na de klus</w:t>
            </w:r>
          </w:p>
        </w:tc>
      </w:tr>
      <w:tr>
        <w:trPr>
          <w:cantSplit/>
        </w:trPr>
        <w:tc>
          <w:tcPr/>
          <w:p>
            <w:pPr>
              <w:pStyle w:val="Compact"/>
            </w:pPr>
            <w:r>
              <w:rPr>
                <w:lang w:val="nl-NL"/>
              </w:rPr>
              <w:t xml:space="preserve">Alternatief zonder buiten de EER</w:t>
            </w:r>
          </w:p>
        </w:tc>
        <w:tc>
          <w:tcPr/>
          <w:p>
            <w:pPr>
              <w:pStyle w:val="Compact"/>
            </w:pPr>
            <w:r>
              <w:rPr>
                <w:lang w:val="nl-NL"/>
              </w:rPr>
              <w:t xml:space="preserve">Speciale UE GPU, ‘strikt UE’-profiel of geïsoleerde optie B</w:t>
            </w:r>
          </w:p>
        </w:tc>
      </w:tr>
    </w:tbl>
    <w:bookmarkEnd w:id="41"/>
    <w:bookmarkStart w:id="42" w:name="Xa78361d18e82bf892f473781e2b3906efd4da02"/>
    <w:p>
      <w:pPr>
        <w:pStyle w:val="Heading3"/>
        <w:keepNext/>
        <w:keepLines/>
      </w:pPr>
      <w:r>
        <w:rPr>
          <w:color w:val="000000"/>
          <w:lang w:val="nl-NL"/>
        </w:rPr>
        <w:t xml:space="preserve">5.3 Samenvatting</w:t>
      </w:r>
    </w:p>
    <w:p>
      <w:pPr>
        <w:pStyle w:val="FirstParagraph"/>
      </w:pPr>
      <w:r>
        <w:rPr>
          <w:lang w:val="nl-NL"/>
        </w:rPr>
        <w:t xml:space="preserve">In de standaardconfiguratie omvat de primaire AI-route (vLLM op GPU's die in Europa worden beheerd) geen enkele overdracht buiten de EER. De enige resterende gevallen van verwerking buiten de EER in Optie A zijn de OpenRouter-fallback (als deze is aangevraagd en niet is uitgeschakeld) en bepaalde GPU-transcriptiebronnen. Om deze resterende gevallen volledig uit te sluiten, garanderen twee routes de afwezigheid van enige verwerking buiten de EER:</w:t>
      </w:r>
    </w:p>
    <w:p>
      <w:pPr>
        <w:pStyle w:val="Compact"/>
        <w:numPr>
          <w:ilvl w:val="0"/>
          <w:numId w:val="1008"/>
        </w:numPr>
      </w:pPr>
      <w:r>
        <w:rPr>
          <w:b/>
          <w:bCs/>
          <w:lang w:val="nl-NL"/>
        </w:rPr>
        <w:t xml:space="preserve">Optie A met “Strict UE”-profiel: </w:t>
      </w:r>
      <w:r>
        <w:rPr>
          <w:lang w:val="nl-NL"/>
        </w:rPr>
        <w:t xml:space="preserve"/>
      </w:r>
      <w:r>
        <w:rPr>
          <w:lang w:val="nl-NL"/>
        </w:rPr>
        <w:t xml:space="preserve">UE vLLM primair pad of zelf-gehost model, OpenRouter fallback uitgeschakeld, UE transcriptie GPU-bronnen;</w:t>
      </w:r>
    </w:p>
    <w:p>
      <w:pPr>
        <w:pStyle w:val="Compact"/>
        <w:numPr>
          <w:ilvl w:val="0"/>
          <w:numId w:val="1008"/>
        </w:numPr>
      </w:pPr>
      <w:r>
        <w:rPr>
          <w:b/>
          <w:bCs/>
          <w:lang w:val="nl-NL"/>
        </w:rPr>
        <w:t xml:space="preserve">Geïsoleerde optie B op </w:t>
      </w:r>
      <w:r>
        <w:rPr>
          <w:lang w:val="nl-NL"/>
        </w:rPr>
        <w:t xml:space="preserve">locatie: </w:t>
      </w:r>
      <w:r>
        <w:rPr>
          <w:lang w:val="nl-NL"/>
        </w:rPr>
        <w:t xml:space="preserve">geen uitgaande stroom, alle verwerking in de infrastructuur van de klant.</w:t>
      </w:r>
    </w:p>
    <w:bookmarkEnd w:id="42"/>
    <w:bookmarkEnd w:id="43"/>
    <w:bookmarkStart w:id="44" w:name="Xf27fc752bd766297e25b0fbec12501eb2c919fc"/>
    <w:p>
      <w:pPr>
        <w:pStyle w:val="Heading2"/>
        <w:keepNext/>
        <w:keepLines/>
      </w:pPr>
      <w:r>
        <w:rPr>
          <w:color w:val="000000"/>
          <w:lang w:val="nl-NL"/>
        </w:rPr>
        <w:t xml:space="preserve">6. Administratie en ondersteuning vanuit Frankrijk/EU</w:t>
      </w:r>
    </w:p>
    <w:p>
      <w:pPr>
        <w:pStyle w:val="FirstParagraph"/>
      </w:pPr>
      <w:r>
        <w:rPr>
          <w:lang w:val="nl-NL"/>
        </w:rPr>
        <w:t xml:space="preserve">OHADJA verbindt zich er contractueel toe om het beheer en de ondersteuning van de oplossing </w:t>
      </w:r>
      <w:r>
        <w:rPr>
          <w:lang w:val="nl-NL"/>
        </w:rPr>
        <w:t xml:space="preserve"/>
      </w:r>
      <w:r>
        <w:rPr>
          <w:b/>
          <w:bCs/>
          <w:lang w:val="nl-NL"/>
        </w:rPr>
        <w:t xml:space="preserve">uitsluitend vanuit Frankrijk of de Europese Unie uit te voeren. </w:t>
      </w:r>
      <w:r>
        <w:rPr>
          <w:lang w:val="nl-NL"/>
        </w:rPr>
        <w:t xml:space="preserve">Er vindt geen administratieve toegang tot productiegegevens plaats vanuit een derde land, en er wordt geen gegevensoverdracht naar een derde land veroorzaakt door administratieve of ondersteunende activiteiten.</w:t>
      </w:r>
    </w:p>
    <w:p>
      <w:pPr>
        <w:pStyle w:val="BodyText"/>
      </w:pPr>
      <w:r>
        <w:rPr>
          <w:b/>
          <w:bCs/>
          <w:lang w:val="nl-NL"/>
        </w:rPr>
        <w:t xml:space="preserve">Raamwerk geïmplementeerd:</w:t>
      </w:r>
    </w:p>
    <w:p>
      <w:pPr>
        <w:pStyle w:val="Compact"/>
        <w:numPr>
          <w:ilvl w:val="0"/>
          <w:numId w:val="1009"/>
        </w:numPr>
      </w:pPr>
      <w:r>
        <w:rPr>
          <w:lang w:val="nl-NL"/>
        </w:rPr>
        <w:t xml:space="preserve">administratie en ondersteuning uitsluitend vanuit Frankrijk of de Europese Unie;</w:t>
      </w:r>
    </w:p>
    <w:p>
      <w:pPr>
        <w:pStyle w:val="Compact"/>
        <w:numPr>
          <w:ilvl w:val="0"/>
          <w:numId w:val="1009"/>
        </w:numPr>
      </w:pPr>
      <w:r>
        <w:rPr>
          <w:lang w:val="nl-NL"/>
        </w:rPr>
        <w:t xml:space="preserve">nominatieve toegang, gereserveerd voor bevoegde personen;</w:t>
      </w:r>
    </w:p>
    <w:p>
      <w:pPr>
        <w:pStyle w:val="Compact"/>
        <w:numPr>
          <w:ilvl w:val="0"/>
          <w:numId w:val="1009"/>
        </w:numPr>
      </w:pPr>
      <w:r>
        <w:rPr>
          <w:lang w:val="nl-NL"/>
        </w:rPr>
        <w:t xml:space="preserve">SSH-login met alleen sleutel, tweefactorauthenticatie, TLS;</w:t>
      </w:r>
    </w:p>
    <w:p>
      <w:pPr>
        <w:pStyle w:val="Compact"/>
        <w:numPr>
          <w:ilvl w:val="0"/>
          <w:numId w:val="1009"/>
        </w:numPr>
      </w:pPr>
      <w:r>
        <w:rPr>
          <w:lang w:val="nl-NL"/>
        </w:rPr>
        <w:t xml:space="preserve">loggen van administratieve toegang;</w:t>
      </w:r>
    </w:p>
    <w:p>
      <w:pPr>
        <w:pStyle w:val="Compact"/>
        <w:numPr>
          <w:ilvl w:val="0"/>
          <w:numId w:val="1009"/>
        </w:numPr>
      </w:pPr>
      <w:r>
        <w:rPr>
          <w:lang w:val="nl-NL"/>
        </w:rPr>
        <w:t xml:space="preserve">geen lokale kopie van productiegegevens op het werkstation van de beheerder;</w:t>
      </w:r>
    </w:p>
    <w:p>
      <w:pPr>
        <w:pStyle w:val="Compact"/>
        <w:numPr>
          <w:ilvl w:val="0"/>
          <w:numId w:val="1009"/>
        </w:numPr>
      </w:pPr>
      <w:r>
        <w:rPr>
          <w:lang w:val="nl-NL"/>
        </w:rPr>
        <w:t xml:space="preserve">gecodeerd werkstation.</w:t>
      </w:r>
    </w:p>
    <w:p>
      <w:pPr>
        <w:pStyle w:val="FirstParagraph"/>
      </w:pPr>
      <w:r>
        <w:rPr>
          <w:lang w:val="nl-NL"/>
        </w:rPr>
        <w:t xml:space="preserve">Deze toezegging sluit aan bij de hoedanigheid van OHADJA als in Frankrijk gevestigde uitgever (statutaire zetel in Parijs).</w:t>
      </w:r>
    </w:p>
    <w:bookmarkEnd w:id="44"/>
    <w:bookmarkStart w:id="45" w:name="X8b67c202385f36df7b88c0ca51f80bcd914f097"/>
    <w:p>
      <w:pPr>
        <w:pStyle w:val="Heading2"/>
        <w:keepNext/>
        <w:keepLines/>
      </w:pPr>
      <w:r>
        <w:rPr>
          <w:color w:val="000000"/>
          <w:lang w:val="nl-NL"/>
        </w:rPr>
        <w:t xml:space="preserve">7. Stroomoverzicht</w:t>
      </w:r>
    </w:p>
    <w:p>
      <w:pPr>
        <w:pStyle w:val="FirstParagraph"/>
      </w:pPr>
      <w:r>
        <w:rPr>
          <w:lang w:val="nl-NL"/>
        </w:rPr>
        <w:t xml:space="preserve">Het gegevensstroomdiagram (upload, transcriptie, AI, back-up) wordt tijdens de implementatiefase teruggezet naar Visio-formaat (.vsdx), op basis van de beschrijving in document TRB-CONF-01.03.</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45"/>
    <w:bookmarkEnd w:id="46"/>
    <w:bookmarkStart w:id="60" w:name="X086e6a2779536af984993aabbd9c9a847a687e2"/>
    <w:p>
      <w:pPr>
        <w:pStyle w:val="Heading1"/>
        <w:keepNext/>
        <w:keepLines/>
      </w:pPr>
      <w:r>
        <w:rPr>
          <w:color w:val="000000"/>
          <w:lang w:val="nl-NL"/>
        </w:rPr>
        <w:t xml:space="preserve">Identificatie van acteurs en rollen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OHA-RGPD-01</w:t>
            </w:r>
          </w:p>
        </w:tc>
      </w:tr>
      <w:tr>
        <w:trPr>
          <w:cantSplit/>
        </w:trPr>
        <w:tc>
          <w:tcPr/>
          <w:p>
            <w:pPr>
              <w:pStyle w:val="Compact"/>
            </w:pPr>
            <w:r>
              <w:rPr>
                <w:lang w:val="nl-NL"/>
              </w:rPr>
              <w:t xml:space="preserve">Doel</w:t>
            </w:r>
          </w:p>
        </w:tc>
        <w:tc>
          <w:tcPr/>
          <w:p>
            <w:pPr>
              <w:pStyle w:val="Compact"/>
            </w:pPr>
            <w:r>
              <w:rPr>
                <w:lang w:val="nl-NL"/>
              </w:rPr>
              <w:t xml:space="preserve">Identificatie van actoren en hun rollen in de zin van AVG</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47" w:name="X4c77b53808a8ef02d48fd63b082b5729319d6d1"/>
    <w:p>
      <w:pPr>
        <w:pStyle w:val="Heading2"/>
        <w:keepNext/>
        <w:keepLines/>
      </w:pPr>
      <w:r>
        <w:rPr>
          <w:color w:val="000000"/>
          <w:lang w:val="nl-NL"/>
        </w:rPr>
        <w:t xml:space="preserve">1. Doel van het document</w:t>
      </w:r>
    </w:p>
    <w:p>
      <w:pPr>
        <w:pStyle w:val="FirstParagraph"/>
      </w:pPr>
      <w:r>
        <w:rPr>
          <w:lang w:val="nl-NL"/>
        </w:rPr>
        <w:t xml:space="preserve">Dit document identificeert nauwkeurig alle spelers die betrokken zijn bij het aanbieden en exploiteren van de TranscribIA-oplossing, en kwalificeert de rol van elk in de zin van Verordening (EU) 2016/679 (hierna “AVG”). Het specificeert voor elke actor de feitelijk uitgevoerde handelingen en de voorwaarden voor toegang tot persoonsgegevens.</w:t>
      </w:r>
    </w:p>
    <w:p>
      <w:pPr>
        <w:pStyle w:val="BodyText"/>
      </w:pPr>
      <w:r>
        <w:rPr>
          <w:lang w:val="nl-NL"/>
        </w:rPr>
        <w:t xml:space="preserve">Het vormt het eerste deel van het uitgebreide AVG-bestand dat aan de Klant wordt verstrekt. Technische subverwerkers worden hier alleen vermeld; ze worden gedetailleerd beschreven in document OHA-RGPD-03 (“Lijst van subverwerkers”). Gegevensstromen en menselijke toegang worden gedetailleerd beschreven in document OHA-RGPD-02 (“Data Flow Matrix”).</w:t>
      </w:r>
    </w:p>
    <w:p>
      <w:pPr>
        <w:pStyle w:val="BodyText"/>
      </w:pPr>
      <w:r>
        <w:rPr>
          <w:lang w:val="nl-NL"/>
        </w:rPr>
        <w:t xml:space="preserve">Terminologisch aandachtspunt: in de aanvraag van de Klant wordt specifiek </w:t>
      </w:r>
      <w:r>
        <w:rPr>
          <w:lang w:val="nl-NL"/>
        </w:rPr>
        <w:t xml:space="preserve"/>
      </w:r>
      <w:r>
        <w:rPr>
          <w:b/>
          <w:bCs/>
          <w:lang w:val="nl-NL"/>
        </w:rPr>
        <w:t xml:space="preserve">AMBASSADIA </w:t>
      </w:r>
      <w:r>
        <w:rPr>
          <w:lang w:val="nl-NL"/>
        </w:rPr>
        <w:t xml:space="preserve">vermeld. Het is passend om twee entiteiten van dezelfde oprichtende groep te </w:t>
      </w:r>
      <w:r>
        <w:rPr>
          <w:lang w:val="nl-NL"/>
        </w:rPr>
        <w:t xml:space="preserve"/>
      </w:r>
      <w:r>
        <w:rPr>
          <w:b/>
          <w:bCs/>
          <w:lang w:val="nl-NL"/>
        </w:rPr>
        <w:t xml:space="preserve">onderscheiden: </w:t>
      </w:r>
      <w:r>
        <w:rPr>
          <w:lang w:val="nl-NL"/>
        </w:rPr>
        <w:t xml:space="preserve">OHADJA, uitgever van de software en verwerker in de zin van artikel </w:t>
      </w:r>
      <w:r>
        <w:rPr>
          <w:lang w:val="nl-NL"/>
        </w:rPr>
        <w:t xml:space="preserve"/>
      </w:r>
      <w:r>
        <w:rPr>
          <w:b/>
          <w:bCs/>
          <w:lang w:val="nl-NL"/>
        </w:rPr>
        <w:t xml:space="preserve">28, en AMBASSADIA </w:t>
      </w:r>
      <w:r>
        <w:rPr>
          <w:lang w:val="nl-NL"/>
        </w:rPr>
        <w:t xml:space="preserve">SARL, commerciële wederverkoper/distributeur </w:t>
      </w:r>
      <w:r>
        <w:rPr>
          <w:lang w:val="nl-NL"/>
        </w:rPr>
        <w:t xml:space="preserve"/>
      </w:r>
      <w:r>
        <w:rPr>
          <w:b/>
          <w:bCs/>
          <w:lang w:val="nl-NL"/>
        </w:rPr>
        <w:t xml:space="preserve">die geen toegang heeft tot productiegegevens. </w:t>
      </w:r>
      <w:r>
        <w:rPr>
          <w:lang w:val="nl-NL"/>
        </w:rPr>
        <w:t xml:space="preserve">In dit document wordt deze rolverdeling toegelicht.</w:t>
      </w:r>
    </w:p>
    <w:p>
      <w:pPr>
        <w:pStyle w:val="BodyText"/>
      </w:pPr>
      <w:r>
        <w:rPr>
          <w:lang w:val="nl-NL"/>
        </w:rPr>
        <w:t xml:space="preserve">Er zijn twee vormen van aanbod mogelijk die de omvang van de rollen bepalen:</w:t>
      </w:r>
    </w:p>
    <w:p>
      <w:pPr>
        <w:pStyle w:val="Compact"/>
        <w:numPr>
          <w:ilvl w:val="0"/>
          <w:numId w:val="1010"/>
        </w:numPr>
      </w:pPr>
      <w:r>
        <w:rPr>
          <w:b/>
          <w:bCs/>
          <w:lang w:val="nl-NL"/>
        </w:rPr>
        <w:t xml:space="preserve">Optie A — Sovereign SaaS: </w:t>
      </w:r>
      <w:r>
        <w:rPr>
          <w:lang w:val="nl-NL"/>
        </w:rPr>
        <w:t xml:space="preserve"/>
      </w:r>
      <w:r>
        <w:rPr>
          <w:lang w:val="nl-NL"/>
        </w:rPr>
        <w:t xml:space="preserve">de oplossing wordt gehost en beheerd door OHADJA (productie: </w:t>
      </w:r>
      <w:r>
        <w:rPr>
          <w:lang w:val="nl-NL"/>
        </w:rPr>
        <w:t xml:space="preserve"/>
      </w:r>
      <w:r>
        <w:rPr>
          <w:rStyle w:val="VerbatimChar"/>
          <w:lang w:val="nl-NL"/>
        </w:rPr>
        <w:t xml:space="preserve">client.transcribia.eu</w:t>
      </w:r>
      <w:r>
        <w:rPr>
          <w:lang w:val="nl-NL"/>
        </w:rPr>
        <w:t xml:space="preserve">, operationeel domein, server in Frankrijk).</w:t>
      </w:r>
    </w:p>
    <w:p>
      <w:pPr>
        <w:pStyle w:val="Compact"/>
        <w:numPr>
          <w:ilvl w:val="0"/>
          <w:numId w:val="1010"/>
        </w:numPr>
      </w:pPr>
      <w:r>
        <w:rPr>
          <w:b/>
          <w:bCs/>
          <w:lang w:val="nl-NL"/>
        </w:rPr>
        <w:t xml:space="preserve">Optie B — On-premise: </w:t>
      </w:r>
      <w:r>
        <w:rPr>
          <w:lang w:val="nl-NL"/>
        </w:rPr>
        <w:t xml:space="preserve"/>
      </w:r>
      <w:r>
        <w:rPr>
          <w:lang w:val="nl-NL"/>
        </w:rPr>
        <w:t xml:space="preserve">de oplossing wordt geïmplementeerd in de infrastructuur van de klant. In de ‘geïsoleerde’ variant (geen uitgaande stroom) draaien alle componenten op de client, inclusief de transcriptie-engine en een zelf-gehost taalmodel.</w:t>
      </w:r>
    </w:p>
    <w:bookmarkEnd w:id="47"/>
    <w:bookmarkStart w:id="54" w:name="X3505121eb9afb15f1ae15e1ef82d98b9e19d5cc"/>
    <w:p>
      <w:pPr>
        <w:pStyle w:val="Heading2"/>
        <w:keepNext/>
        <w:keepLines/>
      </w:pPr>
      <w:r>
        <w:rPr>
          <w:color w:val="000000"/>
          <w:lang w:val="nl-NL"/>
        </w:rPr>
        <w:t xml:space="preserve">2. Acteurbladen</w:t>
      </w:r>
    </w:p>
    <w:bookmarkStart w:id="48" w:name="X817a89d71e32c8dcf2c17305e31426acdb39f22"/>
    <w:p>
      <w:pPr>
        <w:pStyle w:val="Heading3"/>
        <w:keepNext/>
        <w:keepLines/>
      </w:pPr>
      <w:r>
        <w:rPr>
          <w:color w:val="000000"/>
          <w:lang w:val="nl-NL"/>
        </w:rPr>
        <w:t xml:space="preserve">2.1 OHADJA — editor en verwerker (artikel 28 AVG)</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Naamgeving</w:t>
            </w:r>
          </w:p>
        </w:tc>
        <w:tc>
          <w:tcPr/>
          <w:p>
            <w:pPr>
              <w:pStyle w:val="Compact"/>
            </w:pPr>
            <w:r>
              <w:rPr>
                <w:lang w:val="nl-NL"/>
              </w:rPr>
              <w:t xml:space="preserve">OHADJA</w:t>
            </w:r>
          </w:p>
        </w:tc>
      </w:tr>
      <w:tr>
        <w:trPr>
          <w:cantSplit/>
        </w:trPr>
        <w:tc>
          <w:tcPr/>
          <w:p>
            <w:pPr>
              <w:pStyle w:val="Compact"/>
            </w:pPr>
            <w:r>
              <w:rPr>
                <w:lang w:val="nl-NL"/>
              </w:rPr>
              <w:t xml:space="preserve">Juridische vorm</w:t>
            </w:r>
          </w:p>
        </w:tc>
        <w:tc>
          <w:tcPr/>
          <w:p>
            <w:pPr>
              <w:pStyle w:val="Compact"/>
            </w:pPr>
            <w:r>
              <w:rPr>
                <w:lang w:val="nl-NL"/>
              </w:rPr>
              <w:t xml:space="preserve">Franse société par actions simplifiée (SAS), een vereenvoudigde vennootschap op aandelen</w:t>
            </w:r>
          </w:p>
        </w:tc>
      </w:tr>
      <w:tr>
        <w:trPr>
          <w:cantSplit/>
        </w:trPr>
        <w:tc>
          <w:tcPr/>
          <w:p>
            <w:pPr>
              <w:pStyle w:val="Compact"/>
            </w:pPr>
            <w:r>
              <w:rPr>
                <w:lang w:val="nl-NL"/>
              </w:rPr>
              <w:t xml:space="preserve">Intracommunautair BTW-nummer</w:t>
            </w:r>
          </w:p>
        </w:tc>
        <w:tc>
          <w:tcPr/>
          <w:p>
            <w:pPr>
              <w:pStyle w:val="Compact"/>
            </w:pPr>
            <w:r>
              <w:rPr>
                <w:lang w:val="nl-NL"/>
              </w:rPr>
              <w:t xml:space="preserve">FR78992146480</w:t>
            </w:r>
          </w:p>
        </w:tc>
      </w:tr>
      <w:tr>
        <w:trPr>
          <w:cantSplit/>
        </w:trPr>
        <w:tc>
          <w:tcPr/>
          <w:p>
            <w:pPr>
              <w:pStyle w:val="Compact"/>
            </w:pPr>
            <w:r>
              <w:rPr>
                <w:lang w:val="nl-NL"/>
              </w:rPr>
              <w:t xml:space="preserve">Registratie</w:t>
            </w:r>
          </w:p>
        </w:tc>
        <w:tc>
          <w:tcPr/>
          <w:p>
            <w:pPr>
              <w:pStyle w:val="Compact"/>
            </w:pPr>
            <w:r>
              <w:rPr>
                <w:lang w:val="nl-NL"/>
              </w:rPr>
              <w:t xml:space="preserve">992 146 480 RCS Parijs — SIRET van het hoofdkantoor: 992 146 480 00015</w:t>
            </w:r>
          </w:p>
        </w:tc>
      </w:tr>
      <w:tr>
        <w:trPr>
          <w:cantSplit/>
        </w:trPr>
        <w:tc>
          <w:tcPr/>
          <w:p>
            <w:pPr>
              <w:pStyle w:val="Compact"/>
            </w:pPr>
            <w:r>
              <w:rPr>
                <w:lang w:val="nl-NL"/>
              </w:rPr>
              <w:t xml:space="preserve">Hoofdkantoor</w:t>
            </w:r>
          </w:p>
        </w:tc>
        <w:tc>
          <w:tcPr/>
          <w:p>
            <w:pPr>
              <w:pStyle w:val="Compact"/>
            </w:pPr>
            <w:r>
              <w:rPr>
                <w:lang w:val="nl-NL"/>
              </w:rPr>
              <w:t xml:space="preserve">60 rue François 1er, 75008 Parijs, Frankrijk</w:t>
            </w:r>
          </w:p>
        </w:tc>
      </w:tr>
      <w:tr>
        <w:trPr>
          <w:cantSplit/>
        </w:trPr>
        <w:tc>
          <w:tcPr/>
          <w:p>
            <w:pPr>
              <w:pStyle w:val="Compact"/>
            </w:pPr>
            <w:r>
              <w:rPr>
                <w:lang w:val="nl-NL"/>
              </w:rPr>
              <w:t xml:space="preserve">Land van vestiging</w:t>
            </w:r>
          </w:p>
        </w:tc>
        <w:tc>
          <w:tcPr/>
          <w:p>
            <w:pPr>
              <w:pStyle w:val="Compact"/>
            </w:pPr>
            <w:r>
              <w:rPr>
                <w:lang w:val="nl-NL"/>
              </w:rPr>
              <w:t xml:space="preserve">Frankrijk</w:t>
            </w:r>
          </w:p>
        </w:tc>
      </w:tr>
      <w:tr>
        <w:trPr>
          <w:cantSplit/>
        </w:trPr>
        <w:tc>
          <w:tcPr/>
          <w:p>
            <w:pPr>
              <w:pStyle w:val="Compact"/>
            </w:pPr>
            <w:r>
              <w:rPr>
                <w:lang w:val="nl-NL"/>
              </w:rPr>
              <w:t xml:space="preserve">Mede-oprichters</w:t>
            </w:r>
          </w:p>
        </w:tc>
        <w:tc>
          <w:tcPr/>
          <w:p>
            <w:pPr>
              <w:pStyle w:val="Compact"/>
            </w:pPr>
            <w:r>
              <w:rPr>
                <w:lang w:val="nl-NL"/>
              </w:rPr>
              <w:t xml:space="preserve">Olivier Dupont (CTO) en Philippe Heyraud</w:t>
            </w:r>
          </w:p>
        </w:tc>
      </w:tr>
      <w:tr>
        <w:trPr>
          <w:cantSplit/>
        </w:trPr>
        <w:tc>
          <w:tcPr/>
          <w:p>
            <w:pPr>
              <w:pStyle w:val="Compact"/>
            </w:pPr>
            <w:r>
              <w:rPr>
                <w:lang w:val="nl-NL"/>
              </w:rPr>
              <w:t xml:space="preserve">Ondertekenende wettelijke vertegenwoordiger</w:t>
            </w:r>
          </w:p>
        </w:tc>
        <w:tc>
          <w:tcPr/>
          <w:p>
            <w:pPr>
              <w:pStyle w:val="Compact"/>
            </w:pPr>
            <w:r>
              <w:rPr>
                <w:lang w:val="nl-NL"/>
              </w:rPr>
              <w:t xml:space="preserve">Olivier Dupont, voorzitter</w:t>
            </w:r>
          </w:p>
        </w:tc>
      </w:tr>
      <w:tr>
        <w:trPr>
          <w:cantSplit/>
        </w:trPr>
        <w:tc>
          <w:tcPr/>
          <w:p>
            <w:pPr>
              <w:pStyle w:val="Compact"/>
            </w:pPr>
            <w:r>
              <w:rPr>
                <w:lang w:val="nl-NL"/>
              </w:rPr>
              <w:t xml:space="preserve">Contactpersoon voor gegevensbescherming</w:t>
            </w:r>
          </w:p>
        </w:tc>
        <w:tc>
          <w:tcPr/>
          <w:p>
            <w:pPr>
              <w:pStyle w:val="Compact"/>
            </w:pPr>
            <w:hyperlink r:id="rId9">
              <w:r>
                <w:rPr>
                  <w:rStyle w:val="Hyperlink"/>
                  <w:lang w:val="nl-NL"/>
                </w:rPr>
                <w:t xml:space="preserve">privacy@transcribia.eu</w:t>
              </w:r>
            </w:hyperlink>
          </w:p>
        </w:tc>
      </w:tr>
    </w:tbl>
    <w:p>
      <w:pPr>
        <w:pStyle w:val="BodyText"/>
      </w:pPr>
      <w:r>
        <w:rPr>
          <w:b/>
          <w:bCs/>
          <w:lang w:val="nl-NL"/>
        </w:rPr>
        <w:t xml:space="preserve">Rol AVG. </w:t>
      </w:r>
      <w:r>
        <w:rPr>
          <w:lang w:val="nl-NL"/>
        </w:rPr>
        <w:t xml:space="preserve"/>
      </w:r>
      <w:r>
        <w:rPr>
          <w:lang w:val="nl-NL"/>
        </w:rPr>
        <w:t xml:space="preserve">OHADJA is de uitgever en ontwikkelaar van TranscribIA-software. Aangezien zij persoonsgegevens namens de Klant verwerkt, treedt zij op als verwerker </w:t>
      </w:r>
      <w:r>
        <w:rPr>
          <w:lang w:val="nl-NL"/>
        </w:rPr>
        <w:t xml:space="preserve"/>
      </w:r>
      <w:r>
        <w:rPr>
          <w:b/>
          <w:bCs/>
          <w:lang w:val="nl-NL"/>
        </w:rPr>
        <w:t xml:space="preserve">in de zin </w:t>
      </w:r>
      <w:r>
        <w:rPr>
          <w:lang w:val="nl-NL"/>
        </w:rPr>
        <w:t xml:space="preserve"/>
      </w:r>
      <w:r>
        <w:rPr>
          <w:lang w:val="nl-NL"/>
        </w:rPr>
        <w:t xml:space="preserve">van artikel 4.8 van AVG, in het kader van Verwerkersovereenkomst artikel 28 (“DPA”).</w:t>
      </w:r>
    </w:p>
    <w:p>
      <w:pPr>
        <w:pStyle w:val="BodyText"/>
      </w:pPr>
      <w:r>
        <w:rPr>
          <w:b/>
          <w:bCs/>
          <w:lang w:val="nl-NL"/>
        </w:rPr>
        <w:t xml:space="preserve">Operaties uitgevoerd.</w:t>
      </w:r>
    </w:p>
    <w:p>
      <w:pPr>
        <w:pStyle w:val="Compact"/>
        <w:numPr>
          <w:ilvl w:val="0"/>
          <w:numId w:val="1011"/>
        </w:numPr>
      </w:pPr>
      <w:r>
        <w:rPr>
          <w:lang w:val="nl-NL"/>
        </w:rPr>
        <w:t xml:space="preserve">Ontwikkeling en correctief en evolutionair onderhoud van de software.</w:t>
      </w:r>
    </w:p>
    <w:p>
      <w:pPr>
        <w:pStyle w:val="Compact"/>
        <w:numPr>
          <w:ilvl w:val="0"/>
          <w:numId w:val="1011"/>
        </w:numPr>
      </w:pPr>
      <w:r>
        <w:rPr>
          <w:lang w:val="nl-NL"/>
        </w:rPr>
        <w:t xml:space="preserve">Optie </w:t>
      </w:r>
      <w:r>
        <w:rPr>
          <w:lang w:val="nl-NL"/>
        </w:rPr>
        <w:t xml:space="preserve"/>
      </w:r>
      <w:r>
        <w:rPr>
          <w:b/>
          <w:bCs/>
          <w:lang w:val="nl-NL"/>
        </w:rPr>
        <w:t xml:space="preserve">A: </w:t>
      </w:r>
      <w:r>
        <w:rPr>
          <w:lang w:val="nl-NL"/>
        </w:rPr>
        <w:t xml:space="preserve"/>
      </w:r>
      <w:r>
        <w:rPr>
          <w:lang w:val="nl-NL"/>
        </w:rPr>
        <w:t xml:space="preserve">hosting, applicatiebeheer, toezicht, technische back-ups, updates en operationele veiligheid van de dienst.</w:t>
      </w:r>
    </w:p>
    <w:p>
      <w:pPr>
        <w:pStyle w:val="Compact"/>
        <w:numPr>
          <w:ilvl w:val="0"/>
          <w:numId w:val="1011"/>
        </w:numPr>
      </w:pPr>
      <w:r>
        <w:rPr>
          <w:lang w:val="nl-NL"/>
        </w:rPr>
        <w:t xml:space="preserve">In </w:t>
      </w:r>
      <w:r>
        <w:rPr>
          <w:lang w:val="nl-NL"/>
        </w:rPr>
        <w:t xml:space="preserve"/>
      </w:r>
      <w:r>
        <w:rPr>
          <w:b/>
          <w:bCs/>
          <w:lang w:val="nl-NL"/>
        </w:rPr>
        <w:t xml:space="preserve">Optie B: </w:t>
      </w:r>
      <w:r>
        <w:rPr>
          <w:lang w:val="nl-NL"/>
        </w:rPr>
        <w:t xml:space="preserve"/>
      </w:r>
      <w:r>
        <w:rPr>
          <w:lang w:val="nl-NL"/>
        </w:rPr>
        <w:t xml:space="preserve">enkel de handelingen die daadwerkelijk door de Klant worden toevertrouwd (ondersteuning, onderhoud, applicatie-updates, geautoriseerde toegang op afstand, technische assistentie).</w:t>
      </w:r>
    </w:p>
    <w:p>
      <w:pPr>
        <w:pStyle w:val="Compact"/>
        <w:numPr>
          <w:ilvl w:val="0"/>
          <w:numId w:val="1011"/>
        </w:numPr>
      </w:pPr>
      <w:r>
        <w:rPr>
          <w:lang w:val="nl-NL"/>
        </w:rPr>
        <w:t xml:space="preserve">Eerste- en tweedelijnsondersteuning, op verzoek van de Klant.</w:t>
      </w:r>
    </w:p>
    <w:p>
      <w:pPr>
        <w:pStyle w:val="FirstParagraph"/>
      </w:pPr>
      <w:r>
        <w:rPr>
          <w:b/>
          <w:bCs/>
          <w:lang w:val="nl-NL"/>
        </w:rPr>
        <w:t xml:space="preserve">Toegang tot persoonsgegevens: JA, onder waarborgen. </w:t>
      </w:r>
      <w:r>
        <w:rPr>
          <w:lang w:val="nl-NL"/>
        </w:rPr>
        <w:t xml:space="preserve"/>
      </w:r>
      <w:r>
        <w:rPr>
          <w:lang w:val="nl-NL"/>
        </w:rPr>
        <w:t xml:space="preserve">Bevoegde medewerkers van OHADJA mogen uitsluitend productiegegevens raadplegen voor zover nodig voor beheer, ondersteuning en beveiliging. Toegang is persoonsgebonden, verloopt via een SSH-sleutel, is beschermd met tweefactorauthenticatie (TOTP 2FA), tijdens overdracht versleuteld (TLS), gelogd en zonder lokale kopie van productiegegevens. Volgens de contractuele toezegging in document </w:t>
      </w:r>
      <w:r>
        <w:rPr>
          <w:lang w:val="nl-NL"/>
        </w:rPr>
        <w:t xml:space="preserve"/>
      </w:r>
      <w:r>
        <w:rPr>
          <w:b/>
          <w:bCs/>
          <w:lang w:val="nl-NL"/>
        </w:rPr>
        <w:t xml:space="preserve">OHA-RGPD-04 vinden beheer en ondersteuning uitsluitend plaats vanuit Frankrijk/de Europese </w:t>
      </w:r>
      <w:r>
        <w:rPr>
          <w:lang w:val="nl-NL"/>
        </w:rPr>
        <w:t xml:space="preserve">Unie.</w:t>
      </w:r>
    </w:p>
    <w:bookmarkEnd w:id="48"/>
    <w:bookmarkStart w:id="50" w:name="Xea56b233c56268ea1ab7c4ed5a13c76141f74a6"/>
    <w:p>
      <w:pPr>
        <w:pStyle w:val="Heading3"/>
        <w:keepNext/>
        <w:keepLines/>
      </w:pPr>
      <w:r>
        <w:rPr>
          <w:color w:val="000000"/>
          <w:lang w:val="nl-NL"/>
        </w:rPr>
        <w:t xml:space="preserve">2.2 AMBASSADIA SARL — commerciële wederverkoper/distributeur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Naamgeving</w:t>
            </w:r>
          </w:p>
        </w:tc>
        <w:tc>
          <w:tcPr/>
          <w:p>
            <w:pPr>
              <w:pStyle w:val="Compact"/>
            </w:pPr>
            <w:r>
              <w:rPr>
                <w:lang w:val="nl-NL"/>
              </w:rPr>
              <w:t xml:space="preserve">AMBASSADIA SARL</w:t>
            </w:r>
          </w:p>
        </w:tc>
      </w:tr>
      <w:tr>
        <w:trPr>
          <w:cantSplit/>
        </w:trPr>
        <w:tc>
          <w:tcPr/>
          <w:p>
            <w:pPr>
              <w:pStyle w:val="Compact"/>
            </w:pPr>
            <w:r>
              <w:rPr>
                <w:lang w:val="nl-NL"/>
              </w:rPr>
              <w:t xml:space="preserve">Juridische vorm</w:t>
            </w:r>
          </w:p>
        </w:tc>
        <w:tc>
          <w:tcPr/>
          <w:p>
            <w:pPr>
              <w:pStyle w:val="Compact"/>
            </w:pPr>
            <w:r>
              <w:rPr>
                <w:lang w:val="nl-NL"/>
              </w:rPr>
              <w:t xml:space="preserve">Vennootschap met beperkte aansprakelijkheid (SARL) met een kapitaal van € 50.000</w:t>
            </w:r>
          </w:p>
        </w:tc>
      </w:tr>
      <w:tr>
        <w:trPr>
          <w:cantSplit/>
        </w:trPr>
        <w:tc>
          <w:tcPr/>
          <w:p>
            <w:pPr>
              <w:pStyle w:val="Compact"/>
            </w:pPr>
            <w:r>
              <w:rPr>
                <w:lang w:val="nl-NL"/>
              </w:rPr>
              <w:t xml:space="preserve">Beheerder</w:t>
            </w:r>
          </w:p>
        </w:tc>
        <w:tc>
          <w:tcPr/>
          <w:p>
            <w:pPr>
              <w:pStyle w:val="Compact"/>
            </w:pPr>
            <w:r>
              <w:rPr>
                <w:lang w:val="nl-NL"/>
              </w:rPr>
              <w:t xml:space="preserve">Olivier Dupont</w:t>
            </w:r>
          </w:p>
        </w:tc>
      </w:tr>
      <w:tr>
        <w:trPr>
          <w:cantSplit/>
        </w:trPr>
        <w:tc>
          <w:tcPr/>
          <w:p>
            <w:pPr>
              <w:pStyle w:val="Compact"/>
            </w:pPr>
            <w:r>
              <w:rPr>
                <w:lang w:val="nl-NL"/>
              </w:rPr>
              <w:t xml:space="preserve">Rol</w:t>
            </w:r>
          </w:p>
        </w:tc>
        <w:tc>
          <w:tcPr/>
          <w:p>
            <w:pPr>
              <w:pStyle w:val="Compact"/>
            </w:pPr>
            <w:r>
              <w:rPr>
                <w:lang w:val="nl-NL"/>
              </w:rPr>
              <w:t xml:space="preserve">Commerciële wederverkoper / distributeur (Monaco en Frankrijk)</w:t>
            </w:r>
          </w:p>
        </w:tc>
      </w:tr>
      <w:tr>
        <w:trPr>
          <w:cantSplit/>
        </w:trPr>
        <w:tc>
          <w:tcPr/>
          <w:p>
            <w:pPr>
              <w:pStyle w:val="Compact"/>
            </w:pPr>
            <w:r>
              <w:rPr>
                <w:lang w:val="nl-NL"/>
              </w:rPr>
              <w:t xml:space="preserve">Verkoopcontactpersoon</w:t>
            </w:r>
          </w:p>
        </w:tc>
        <w:tc>
          <w:tcPr/>
          <w:p>
            <w:pPr>
              <w:pStyle w:val="Compact"/>
            </w:pPr>
            <w:hyperlink r:id="rId49">
              <w:r>
                <w:rPr>
                  <w:rStyle w:val="Hyperlink"/>
                  <w:lang w:val="nl-NL"/>
                </w:rPr>
                <w:t xml:space="preserve">olivier@ambassadia.com</w:t>
              </w:r>
            </w:hyperlink>
          </w:p>
        </w:tc>
      </w:tr>
    </w:tbl>
    <w:p>
      <w:pPr>
        <w:pStyle w:val="BodyText"/>
      </w:pPr>
      <w:r>
        <w:rPr>
          <w:b/>
          <w:bCs/>
          <w:lang w:val="nl-NL"/>
        </w:rPr>
        <w:t xml:space="preserve">Rol AVG. </w:t>
      </w:r>
      <w:r>
        <w:rPr>
          <w:lang w:val="nl-NL"/>
        </w:rPr>
        <w:t xml:space="preserve"/>
      </w:r>
      <w:r>
        <w:rPr>
          <w:lang w:val="nl-NL"/>
        </w:rPr>
        <w:t xml:space="preserve">AMBASSADIA SARL speelt een </w:t>
      </w:r>
      <w:r>
        <w:rPr>
          <w:lang w:val="nl-NL"/>
        </w:rPr>
        <w:t xml:space="preserve"/>
      </w:r>
      <w:r>
        <w:rPr>
          <w:b/>
          <w:bCs/>
          <w:lang w:val="nl-NL"/>
        </w:rPr>
        <w:t xml:space="preserve">commerciële </w:t>
      </w:r>
      <w:r>
        <w:rPr>
          <w:lang w:val="nl-NL"/>
        </w:rPr>
        <w:t xml:space="preserve">rol </w:t>
      </w:r>
      <w:r>
        <w:rPr>
          <w:lang w:val="nl-NL"/>
        </w:rPr>
        <w:t xml:space="preserve">als reseller/distributeur van de oplossing (Monaco en Frankrijk). </w:t>
      </w:r>
      <w:r>
        <w:rPr>
          <w:lang w:val="nl-NL"/>
        </w:rPr>
        <w:t xml:space="preserve"/>
      </w:r>
      <w:r>
        <w:rPr>
          <w:b/>
          <w:bCs/>
          <w:lang w:val="nl-NL"/>
        </w:rPr>
        <w:t xml:space="preserve">Het verwerkt geen productiegegevens namens klanten en treedt </w:t>
      </w:r>
      <w:r>
        <w:rPr>
          <w:lang w:val="nl-NL"/>
        </w:rPr>
        <w:t xml:space="preserve"/>
      </w:r>
      <w:r>
        <w:rPr>
          <w:lang w:val="nl-NL"/>
        </w:rPr>
        <w:t xml:space="preserve">daarom, in de nominale context, noch </w:t>
      </w:r>
      <w:r>
        <w:rPr>
          <w:lang w:val="nl-NL"/>
        </w:rPr>
        <w:t xml:space="preserve"/>
      </w:r>
      <w:r>
        <w:rPr>
          <w:b/>
          <w:bCs/>
          <w:lang w:val="nl-NL"/>
        </w:rPr>
        <w:t xml:space="preserve">op als verwerker, noch als subverwerker met betrekking </w:t>
      </w:r>
      <w:r>
        <w:rPr>
          <w:lang w:val="nl-NL"/>
        </w:rPr>
        <w:t xml:space="preserve"/>
      </w:r>
      <w:r>
        <w:rPr>
          <w:lang w:val="nl-NL"/>
        </w:rPr>
        <w:t xml:space="preserve">tot klantgegevens [exacte reikwijdte MOET BEVESTIGD worden]. Het productiedomein </w:t>
      </w:r>
      <w:r>
        <w:rPr>
          <w:lang w:val="nl-NL"/>
        </w:rPr>
        <w:t xml:space="preserve"/>
      </w:r>
      <w:r>
        <w:rPr>
          <w:rStyle w:val="VerbatimChar"/>
          <w:lang w:val="nl-NL"/>
        </w:rPr>
        <w:t xml:space="preserve">client.transcribia.eu</w:t>
      </w:r>
      <w:r>
        <w:rPr>
          <w:lang w:val="nl-NL"/>
        </w:rPr>
        <w:t xml:space="preserve"> </w:t>
      </w:r>
      <w:r>
        <w:rPr>
          <w:lang w:val="nl-NL"/>
        </w:rPr>
        <w:t xml:space="preserve">en het adres </w:t>
      </w:r>
      <w:r>
        <w:rPr>
          <w:lang w:val="nl-NL"/>
        </w:rPr>
        <w:t xml:space="preserve"/>
      </w:r>
      <w:r>
        <w:rPr>
          <w:rStyle w:val="VerbatimChar"/>
          <w:lang w:val="nl-NL"/>
        </w:rPr>
        <w:t xml:space="preserve">olivier@ambassadia.com</w:t>
      </w:r>
      <w:r>
        <w:rPr>
          <w:lang w:val="nl-NL"/>
        </w:rPr>
        <w:t xml:space="preserve"> </w:t>
      </w:r>
      <w:r>
        <w:rPr>
          <w:lang w:val="nl-NL"/>
        </w:rPr>
        <w:t xml:space="preserve">blijven geldige operationele elementen.</w:t>
      </w:r>
    </w:p>
    <w:p>
      <w:pPr>
        <w:pStyle w:val="BodyText"/>
      </w:pPr>
      <w:r>
        <w:rPr>
          <w:b/>
          <w:bCs/>
          <w:lang w:val="nl-NL"/>
        </w:rPr>
        <w:t xml:space="preserve">Operaties uitgevoerd.</w:t>
      </w:r>
    </w:p>
    <w:p>
      <w:pPr>
        <w:pStyle w:val="Compact"/>
        <w:numPr>
          <w:ilvl w:val="0"/>
          <w:numId w:val="1012"/>
        </w:numPr>
      </w:pPr>
      <w:r>
        <w:rPr>
          <w:lang w:val="nl-NL"/>
        </w:rPr>
        <w:t xml:space="preserve">Marketing en commerciële relaties (Monaco en Frankrijk).</w:t>
      </w:r>
    </w:p>
    <w:p>
      <w:pPr>
        <w:pStyle w:val="Compact"/>
        <w:numPr>
          <w:ilvl w:val="0"/>
          <w:numId w:val="1012"/>
        </w:numPr>
      </w:pPr>
      <w:r>
        <w:rPr>
          <w:lang w:val="nl-NL"/>
        </w:rPr>
        <w:t xml:space="preserve">Oriëntatie op OHADJA voor de editie, werking en technische ondersteuning van het platform.</w:t>
      </w:r>
    </w:p>
    <w:p>
      <w:pPr>
        <w:pStyle w:val="FirstParagraph"/>
      </w:pPr>
      <w:r>
        <w:rPr>
          <w:b/>
          <w:bCs/>
          <w:lang w:val="nl-NL"/>
        </w:rPr>
        <w:t xml:space="preserve">Toegang tot persoonsgegevens: NEE. AMBASSADIA </w:t>
      </w:r>
      <w:r>
        <w:rPr>
          <w:lang w:val="nl-NL"/>
        </w:rPr>
        <w:t xml:space="preserve"/>
      </w:r>
      <w:r>
        <w:rPr>
          <w:lang w:val="nl-NL"/>
        </w:rPr>
        <w:t xml:space="preserve">SARL heeft geen toegang tot de productiegegevens van de Klant (audio, transcripties, AI-generaties, accounts). Via deze commerciële reselleractiviteit bestaat de link van de groep met Monaco, maar dit brengt </w:t>
      </w:r>
      <w:r>
        <w:rPr>
          <w:lang w:val="nl-NL"/>
        </w:rPr>
        <w:t xml:space="preserve"/>
      </w:r>
      <w:r>
        <w:rPr>
          <w:b/>
          <w:bCs/>
          <w:lang w:val="nl-NL"/>
        </w:rPr>
        <w:t xml:space="preserve">geen toegang tot gegevens met zich </w:t>
      </w:r>
      <w:r>
        <w:rPr>
          <w:lang w:val="nl-NL"/>
        </w:rPr>
        <w:t xml:space="preserve"/>
      </w:r>
      <w:r>
        <w:rPr>
          <w:lang w:val="nl-NL"/>
        </w:rPr>
        <w:t xml:space="preserve">mee: technisch beheer en ondersteuning vallen onder OHADJA en worden uitsluitend vanuit Frankrijk/de EU uitgevoerd (zie OHA-RGPD-04).</w:t>
      </w:r>
    </w:p>
    <w:bookmarkEnd w:id="50"/>
    <w:bookmarkStart w:id="51" w:name="Xbc0907ca7f8d8ad2f042b1a5e018f1b60c3ac13"/>
    <w:p>
      <w:pPr>
        <w:pStyle w:val="Heading3"/>
        <w:keepNext/>
        <w:keepLines/>
      </w:pPr>
      <w:r>
        <w:rPr>
          <w:color w:val="000000"/>
          <w:lang w:val="nl-NL"/>
        </w:rPr>
        <w:t xml:space="preserve">2.3 uw integrator/reseller — distributeur en integrator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Naamgeving</w:t>
            </w:r>
          </w:p>
        </w:tc>
        <w:tc>
          <w:tcPr/>
          <w:p>
            <w:pPr>
              <w:pStyle w:val="Compact"/>
            </w:pPr>
            <w:r>
              <w:rPr>
                <w:lang w:val="nl-NL"/>
              </w:rPr>
              <w:t xml:space="preserve">uw integrator/reseller</w:t>
            </w:r>
          </w:p>
        </w:tc>
      </w:tr>
      <w:tr>
        <w:trPr>
          <w:cantSplit/>
        </w:trPr>
        <w:tc>
          <w:tcPr/>
          <w:p>
            <w:pPr>
              <w:pStyle w:val="Compact"/>
            </w:pPr>
            <w:r>
              <w:rPr>
                <w:lang w:val="nl-NL"/>
              </w:rPr>
              <w:t xml:space="preserve">Zakelijke rol</w:t>
            </w:r>
          </w:p>
        </w:tc>
        <w:tc>
          <w:tcPr/>
          <w:p>
            <w:pPr>
              <w:pStyle w:val="Compact"/>
            </w:pPr>
            <w:r>
              <w:rPr>
                <w:lang w:val="nl-NL"/>
              </w:rPr>
              <w:t xml:space="preserve">Distributeur en integrator van de TranscribIA-oplossing</w:t>
            </w:r>
          </w:p>
        </w:tc>
      </w:tr>
      <w:tr>
        <w:trPr>
          <w:cantSplit/>
        </w:trPr>
        <w:tc>
          <w:tcPr/>
          <w:p>
            <w:pPr>
              <w:pStyle w:val="Compact"/>
            </w:pPr>
            <w:r>
              <w:rPr>
                <w:lang w:val="nl-NL"/>
              </w:rPr>
              <w:t xml:space="preserve">Land van vestiging</w:t>
            </w:r>
          </w:p>
        </w:tc>
        <w:tc>
          <w:tcPr/>
          <w:p>
            <w:pPr>
              <w:pStyle w:val="Compact"/>
            </w:pPr>
            <w:r>
              <w:rPr>
                <w:lang w:val="nl-NL"/>
              </w:rPr>
              <w:t xml:space="preserve">Frankrijk</w:t>
            </w:r>
          </w:p>
        </w:tc>
      </w:tr>
    </w:tbl>
    <w:p>
      <w:pPr>
        <w:pStyle w:val="BodyText"/>
      </w:pPr>
      <w:r>
        <w:rPr>
          <w:b/>
          <w:bCs/>
          <w:lang w:val="nl-NL"/>
        </w:rPr>
        <w:t xml:space="preserve">Rol AVG. </w:t>
      </w:r>
      <w:r>
        <w:rPr>
          <w:lang w:val="nl-NL"/>
        </w:rPr>
        <w:t xml:space="preserve">uw </w:t>
      </w:r>
      <w:r>
        <w:rPr>
          <w:lang w:val="nl-NL"/>
        </w:rPr>
        <w:t xml:space="preserve">integrator/reseller zorgt voor de marketing van de oplossing, de integratie ervan in conferentiesystemen (hardware) en de klantenrelaties op het eerste niveau. In de nominale context treedt de integrator/reseller </w:t>
      </w:r>
      <w:r>
        <w:rPr>
          <w:lang w:val="nl-NL"/>
        </w:rPr>
        <w:t xml:space="preserve"/>
      </w:r>
      <w:r>
        <w:rPr>
          <w:b/>
          <w:bCs/>
          <w:lang w:val="nl-NL"/>
        </w:rPr>
        <w:t xml:space="preserve">noch op als verwerker, noch als subverwerker met betrekking tot de productiegegevens </w:t>
      </w:r>
      <w:r>
        <w:rPr>
          <w:lang w:val="nl-NL"/>
        </w:rPr>
        <w:t xml:space="preserve">van </w:t>
      </w:r>
      <w:r>
        <w:rPr>
          <w:lang w:val="nl-NL"/>
        </w:rPr>
        <w:t xml:space="preserve">de Klant.</w:t>
      </w:r>
    </w:p>
    <w:p>
      <w:pPr>
        <w:pStyle w:val="BodyText"/>
      </w:pPr>
      <w:r>
        <w:rPr>
          <w:b/>
          <w:bCs/>
          <w:lang w:val="nl-NL"/>
        </w:rPr>
        <w:t xml:space="preserve">Operaties uitgevoerd.</w:t>
      </w:r>
    </w:p>
    <w:p>
      <w:pPr>
        <w:pStyle w:val="Compact"/>
        <w:numPr>
          <w:ilvl w:val="0"/>
          <w:numId w:val="1013"/>
        </w:numPr>
      </w:pPr>
      <w:r>
        <w:rPr>
          <w:lang w:val="nl-NL"/>
        </w:rPr>
        <w:t xml:space="preserve">Marketing en commerciële relaties.</w:t>
      </w:r>
    </w:p>
    <w:p>
      <w:pPr>
        <w:pStyle w:val="Compact"/>
        <w:numPr>
          <w:ilvl w:val="0"/>
          <w:numId w:val="1013"/>
        </w:numPr>
      </w:pPr>
      <w:r>
        <w:rPr>
          <w:lang w:val="nl-NL"/>
        </w:rPr>
        <w:t xml:space="preserve">Hardware-integratie met conferentiesystemen.</w:t>
      </w:r>
    </w:p>
    <w:p>
      <w:pPr>
        <w:pStyle w:val="Compact"/>
        <w:numPr>
          <w:ilvl w:val="0"/>
          <w:numId w:val="1013"/>
        </w:numPr>
      </w:pPr>
      <w:r>
        <w:rPr>
          <w:lang w:val="nl-NL"/>
        </w:rPr>
        <w:t xml:space="preserve">Eerstelijnsondersteuning, oriëntatie op OHADJA voor technische ondersteuning van het platform.</w:t>
      </w:r>
    </w:p>
    <w:p>
      <w:pPr>
        <w:pStyle w:val="FirstParagraph"/>
      </w:pPr>
      <w:r>
        <w:rPr>
          <w:b/>
          <w:bCs/>
          <w:lang w:val="nl-NL"/>
        </w:rPr>
        <w:t xml:space="preserve">Toegang tot persoonsgegevens: NEE (in principe).</w:t>
      </w:r>
    </w:p>
    <w:p>
      <w:pPr>
        <w:pStyle w:val="Compact"/>
        <w:numPr>
          <w:ilvl w:val="0"/>
          <w:numId w:val="1014"/>
        </w:numPr>
      </w:pPr>
      <w:r>
        <w:rPr>
          <w:lang w:val="nl-NL"/>
        </w:rPr>
        <w:t xml:space="preserve">de integrator/reseller </w:t>
      </w:r>
      <w:r>
        <w:rPr>
          <w:lang w:val="nl-NL"/>
        </w:rPr>
        <w:t xml:space="preserve">heeft </w:t>
      </w:r>
      <w:r>
        <w:rPr>
          <w:b/>
          <w:bCs/>
          <w:lang w:val="nl-NL"/>
        </w:rPr>
        <w:t xml:space="preserve">geen toegang </w:t>
      </w:r>
      <w:r>
        <w:rPr>
          <w:lang w:val="nl-NL"/>
        </w:rPr>
        <w:t xml:space="preserve"/>
      </w:r>
      <w:r>
        <w:rPr>
          <w:lang w:val="nl-NL"/>
        </w:rPr>
        <w:t xml:space="preserve">tot de productiegegevens van de Klant (audio, transcripties, AI-generaties, accounts).</w:t>
      </w:r>
    </w:p>
    <w:p>
      <w:pPr>
        <w:pStyle w:val="Compact"/>
        <w:numPr>
          <w:ilvl w:val="0"/>
          <w:numId w:val="1014"/>
        </w:numPr>
      </w:pPr>
      <w:r>
        <w:rPr>
          <w:lang w:val="nl-NL"/>
        </w:rPr>
        <w:t xml:space="preserve">Uitzondering gecontroleerd door de Klant: indien de Klant </w:t>
      </w:r>
      <w:r>
        <w:rPr>
          <w:lang w:val="nl-NL"/>
        </w:rPr>
        <w:t xml:space="preserve"/>
      </w:r>
      <w:r>
        <w:rPr>
          <w:b/>
          <w:bCs/>
          <w:lang w:val="nl-NL"/>
        </w:rPr>
        <w:t xml:space="preserve">expliciet </w:t>
      </w:r>
      <w:r>
        <w:rPr>
          <w:lang w:val="nl-NL"/>
        </w:rPr>
        <w:t xml:space="preserve">een </w:t>
      </w:r>
      <w:r>
        <w:rPr>
          <w:lang w:val="nl-NL"/>
        </w:rPr>
        <w:t xml:space="preserve">serviceaccount aanmaakt ten behoeve van de integrator/reseller in zijn organisatie, valt de bijbehorende toegang dan onder de autorisaties die door de Klant zelf zijn bepaald en getraceerd.</w:t>
      </w:r>
    </w:p>
    <w:p>
      <w:pPr>
        <w:pStyle w:val="Compact"/>
        <w:numPr>
          <w:ilvl w:val="0"/>
          <w:numId w:val="1014"/>
        </w:numPr>
      </w:pPr>
      <w:r>
        <w:rPr>
          <w:b/>
          <w:bCs/>
          <w:lang w:val="nl-NL"/>
        </w:rPr>
        <w:t xml:space="preserve">Geval van het demo-account: </w:t>
      </w:r>
      <w:r>
        <w:rPr>
          <w:lang w:val="nl-NL"/>
        </w:rPr>
        <w:t xml:space="preserve"/>
      </w:r>
      <w:r>
        <w:rPr>
          <w:lang w:val="nl-NL"/>
        </w:rPr>
        <w:t xml:space="preserve">een beheerdersrol van integrator/reseller (</w:t>
      </w:r>
      <w:r>
        <w:rPr>
          <w:rStyle w:val="VerbatimChar"/>
          <w:lang w:val="nl-NL"/>
        </w:rPr>
        <w:t xml:space="preserve">super_agent</w:t>
      </w:r>
      <w:r>
        <w:rPr>
          <w:lang w:val="nl-NL"/>
        </w:rPr>
        <w:t xml:space="preserve">) bestaat alleen in de demo-omgeving, </w:t>
      </w:r>
      <w:r>
        <w:rPr>
          <w:lang w:val="nl-NL"/>
        </w:rPr>
        <w:t xml:space="preserve"/>
      </w:r>
      <w:r>
        <w:rPr>
          <w:b/>
          <w:bCs/>
          <w:lang w:val="nl-NL"/>
        </w:rPr>
        <w:t xml:space="preserve">nooit in de </w:t>
      </w:r>
      <w:r>
        <w:rPr>
          <w:lang w:val="nl-NL"/>
        </w:rPr>
        <w:t xml:space="preserve">productie. Met deze rol kunt u structuren en accounts creëren voor commerciële demonstratiedoeleinden; het biedt geen </w:t>
      </w:r>
      <w:r>
        <w:rPr>
          <w:lang w:val="nl-NL"/>
        </w:rPr>
        <w:t xml:space="preserve"/>
      </w:r>
      <w:r>
        <w:rPr>
          <w:b/>
          <w:bCs/>
          <w:lang w:val="nl-NL"/>
        </w:rPr>
        <w:t xml:space="preserve">toegang tot de inhoud van de </w:t>
      </w:r>
      <w:r>
        <w:rPr>
          <w:lang w:val="nl-NL"/>
        </w:rPr>
        <w:t xml:space="preserve"/>
      </w:r>
      <w:r>
        <w:rPr>
          <w:lang w:val="nl-NL"/>
        </w:rPr>
        <w:t xml:space="preserve">organisatie (noch audio, noch transcripties).</w:t>
      </w:r>
    </w:p>
    <w:bookmarkEnd w:id="51"/>
    <w:bookmarkStart w:id="52" w:name="Xa91448aaf16ce566fab1d93587d96bb314a63a9"/>
    <w:p>
      <w:pPr>
        <w:pStyle w:val="Heading3"/>
        <w:keepNext/>
        <w:keepLines/>
      </w:pPr>
      <w:r>
        <w:rPr>
          <w:color w:val="000000"/>
          <w:lang w:val="nl-NL"/>
        </w:rPr>
        <w:t xml:space="preserve">2.4 De klant (klantorganisatie) — verwerkingsverantwoordelijke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Naamgeving</w:t>
            </w:r>
          </w:p>
        </w:tc>
        <w:tc>
          <w:tcPr/>
          <w:p>
            <w:pPr>
              <w:pStyle w:val="Compact"/>
            </w:pPr>
            <w:r>
              <w:rPr>
                <w:lang w:val="nl-NL"/>
              </w:rPr>
              <w:t xml:space="preserve">Klant organisatie</w:t>
            </w:r>
          </w:p>
        </w:tc>
      </w:tr>
      <w:tr>
        <w:trPr>
          <w:cantSplit/>
        </w:trPr>
        <w:tc>
          <w:tcPr/>
          <w:p>
            <w:pPr>
              <w:pStyle w:val="Compact"/>
            </w:pPr>
            <w:r>
              <w:rPr>
                <w:lang w:val="nl-NL"/>
              </w:rPr>
              <w:t xml:space="preserve">Rol AVG</w:t>
            </w:r>
          </w:p>
        </w:tc>
        <w:tc>
          <w:tcPr/>
          <w:p>
            <w:pPr>
              <w:pStyle w:val="Compact"/>
            </w:pPr>
            <w:r>
              <w:rPr>
                <w:lang w:val="nl-NL"/>
              </w:rPr>
              <w:t xml:space="preserve">Verwerkingsverantwoordelijke (artikel 4.7 AVG)</w:t>
            </w:r>
          </w:p>
        </w:tc>
      </w:tr>
      <w:tr>
        <w:trPr>
          <w:cantSplit/>
        </w:trPr>
        <w:tc>
          <w:tcPr/>
          <w:p>
            <w:pPr>
              <w:pStyle w:val="Compact"/>
            </w:pPr>
            <w:r>
              <w:rPr>
                <w:lang w:val="nl-NL"/>
              </w:rPr>
              <w:t xml:space="preserve">Contactgegevens</w:t>
            </w:r>
          </w:p>
        </w:tc>
        <w:tc>
          <w:tcPr/>
          <w:p>
            <w:pPr>
              <w:pStyle w:val="Compact"/>
            </w:pPr>
            <w:r>
              <w:rPr>
                <w:lang w:val="nl-NL"/>
              </w:rPr>
              <w:t xml:space="preserve">[IN TE VULLEN door de klant: wettelijke vertegenwoordiger, DPO-contactpersoon]</w:t>
            </w:r>
          </w:p>
        </w:tc>
      </w:tr>
    </w:tbl>
    <w:p>
      <w:pPr>
        <w:pStyle w:val="BodyText"/>
      </w:pPr>
      <w:r>
        <w:rPr>
          <w:b/>
          <w:bCs/>
          <w:lang w:val="nl-NL"/>
        </w:rPr>
        <w:t xml:space="preserve">Rol AVG. De </w:t>
      </w:r>
      <w:r>
        <w:rPr>
          <w:lang w:val="nl-NL"/>
        </w:rPr>
        <w:t xml:space="preserve"/>
      </w:r>
      <w:r>
        <w:rPr>
          <w:lang w:val="nl-NL"/>
        </w:rPr>
        <w:t xml:space="preserve">Klant bepaalt de doeleinden en essentiële middelen van de verwerking die wordt uitgevoerd met behulp van TranscribIA. Als zodanig is het zijn verantwoordelijkheid om:</w:t>
      </w:r>
    </w:p>
    <w:p>
      <w:pPr>
        <w:pStyle w:val="Compact"/>
        <w:numPr>
          <w:ilvl w:val="0"/>
          <w:numId w:val="1015"/>
        </w:numPr>
      </w:pPr>
      <w:r>
        <w:rPr>
          <w:lang w:val="nl-NL"/>
        </w:rPr>
        <w:t xml:space="preserve">de wettelijke basis voor elke verwerking definiëren (artikel 6, en indien van toepassing artikel 9);</w:t>
      </w:r>
    </w:p>
    <w:p>
      <w:pPr>
        <w:pStyle w:val="Compact"/>
        <w:numPr>
          <w:ilvl w:val="0"/>
          <w:numId w:val="1015"/>
        </w:numPr>
      </w:pPr>
      <w:r>
        <w:rPr>
          <w:lang w:val="nl-NL"/>
        </w:rPr>
        <w:t xml:space="preserve">de betrokkenen informeren (artikelen 12 tot en met 14);</w:t>
      </w:r>
    </w:p>
    <w:p>
      <w:pPr>
        <w:pStyle w:val="Compact"/>
        <w:numPr>
          <w:ilvl w:val="0"/>
          <w:numId w:val="1015"/>
        </w:numPr>
      </w:pPr>
      <w:r>
        <w:rPr>
          <w:lang w:val="nl-NL"/>
        </w:rPr>
        <w:t xml:space="preserve">stel de bewaartermijnen in die van toepassing zijn op de inhoud ervan (configureerbaar per organisatie);</w:t>
      </w:r>
    </w:p>
    <w:p>
      <w:pPr>
        <w:pStyle w:val="Compact"/>
        <w:numPr>
          <w:ilvl w:val="0"/>
          <w:numId w:val="1015"/>
        </w:numPr>
      </w:pPr>
      <w:r>
        <w:rPr>
          <w:lang w:val="nl-NL"/>
        </w:rPr>
        <w:t xml:space="preserve">verzoeken beheren om de rechten van mensen uit te oefenen;</w:t>
      </w:r>
    </w:p>
    <w:p>
      <w:pPr>
        <w:pStyle w:val="Compact"/>
        <w:numPr>
          <w:ilvl w:val="0"/>
          <w:numId w:val="1015"/>
        </w:numPr>
      </w:pPr>
      <w:r>
        <w:rPr>
          <w:lang w:val="nl-NL"/>
        </w:rPr>
        <w:t xml:space="preserve">het bijhouden van het register van verwerkingsactiviteiten (artikel 30.1);</w:t>
      </w:r>
    </w:p>
    <w:p>
      <w:pPr>
        <w:pStyle w:val="Compact"/>
        <w:numPr>
          <w:ilvl w:val="0"/>
          <w:numId w:val="1015"/>
        </w:numPr>
      </w:pPr>
      <w:r>
        <w:rPr>
          <w:lang w:val="nl-NL"/>
        </w:rPr>
        <w:t xml:space="preserve">indien nodig de impactanalyse met betrekking tot gegevensbescherming uitvoeren (artikel 35).</w:t>
      </w:r>
    </w:p>
    <w:p>
      <w:pPr>
        <w:pStyle w:val="FirstParagraph"/>
      </w:pPr>
      <w:r>
        <w:rPr>
          <w:b/>
          <w:bCs/>
          <w:lang w:val="nl-NL"/>
        </w:rPr>
        <w:t xml:space="preserve">Toegang tot gegevens: </w:t>
      </w:r>
      <w:r>
        <w:rPr>
          <w:lang w:val="nl-NL"/>
        </w:rPr>
        <w:t xml:space="preserve">JA, als verwerkingsverantwoordelijke, via de accounts en rollen die hij aanmaakt en beheert binnen zijn organisatie.</w:t>
      </w:r>
    </w:p>
    <w:bookmarkEnd w:id="52"/>
    <w:bookmarkStart w:id="53" w:name="X013e398b6217181d0b11a7c01590f89a86b1984"/>
    <w:p>
      <w:pPr>
        <w:pStyle w:val="Heading3"/>
        <w:keepNext/>
        <w:keepLines/>
      </w:pPr>
      <w:r>
        <w:rPr>
          <w:color w:val="000000"/>
          <w:lang w:val="nl-NL"/>
        </w:rPr>
        <w:t xml:space="preserve">2.5 Subverwerkers technisch (referentie)</w:t>
      </w:r>
    </w:p>
    <w:p>
      <w:pPr>
        <w:pStyle w:val="FirstParagraph"/>
      </w:pPr>
      <w:r>
        <w:rPr>
          <w:lang w:val="nl-NL"/>
        </w:rPr>
        <w:t xml:space="preserve">In </w:t>
      </w:r>
      <w:r>
        <w:rPr>
          <w:lang w:val="nl-NL"/>
        </w:rPr>
        <w:t xml:space="preserve"/>
      </w:r>
      <w:r>
        <w:rPr>
          <w:b/>
          <w:bCs/>
          <w:lang w:val="nl-NL"/>
        </w:rPr>
        <w:t xml:space="preserve">Optie A (SaaS) </w:t>
      </w:r>
      <w:r>
        <w:rPr>
          <w:lang w:val="nl-NL"/>
        </w:rPr>
        <w:t xml:space="preserve">gebruikt OHADJA subverwerkers voor hosting, back-up, GPU-transcriptie en kunstmatige intelligentie-functies. Elk daarvan wordt geïdentificeerd – land van vestiging, rol, verwerkings- en opslaglocaties, menselijke toegang, garanties – in document OHA-RGPD-03. </w:t>
      </w:r>
      <w:r>
        <w:rPr>
          <w:lang w:val="nl-NL"/>
        </w:rPr>
        <w:t xml:space="preserve"/>
      </w:r>
      <w:r>
        <w:rPr>
          <w:b/>
          <w:bCs/>
          <w:lang w:val="nl-NL"/>
        </w:rPr>
        <w:t xml:space="preserve">Eventuele </w:t>
      </w:r>
      <w:r>
        <w:rPr>
          <w:lang w:val="nl-NL"/>
        </w:rPr>
        <w:t xml:space="preserve">overdrachten en toegang buiten de EER worden behandeld in document </w:t>
      </w:r>
      <w:r>
        <w:rPr>
          <w:lang w:val="nl-NL"/>
        </w:rPr>
        <w:t xml:space="preserve"/>
      </w:r>
      <w:r>
        <w:rPr>
          <w:b/>
          <w:bCs/>
          <w:lang w:val="nl-NL"/>
        </w:rPr>
        <w:t xml:space="preserve"/>
      </w:r>
      <w:r>
        <w:rPr>
          <w:lang w:val="nl-NL"/>
        </w:rPr>
        <w:t xml:space="preserve">OHA-RGPD-04.</w:t>
      </w:r>
    </w:p>
    <w:p>
      <w:pPr>
        <w:pStyle w:val="BodyText"/>
      </w:pPr>
      <w:r>
        <w:rPr>
          <w:lang w:val="nl-NL"/>
        </w:rPr>
        <w:t xml:space="preserve">Bij </w:t>
      </w:r>
      <w:r>
        <w:rPr>
          <w:lang w:val="nl-NL"/>
        </w:rPr>
        <w:t xml:space="preserve"/>
      </w:r>
      <w:r>
        <w:rPr>
          <w:b/>
          <w:bCs/>
          <w:lang w:val="nl-NL"/>
        </w:rPr>
        <w:t xml:space="preserve">geïsoleerde </w:t>
      </w:r>
      <w:r>
        <w:rPr>
          <w:lang w:val="nl-NL"/>
        </w:rPr>
        <w:t xml:space="preserve">optie B is </w:t>
      </w:r>
      <w:r>
        <w:rPr>
          <w:lang w:val="nl-NL"/>
        </w:rPr>
        <w:t xml:space="preserve">er </w:t>
      </w:r>
      <w:r>
        <w:rPr>
          <w:b/>
          <w:bCs/>
          <w:lang w:val="nl-NL"/>
        </w:rPr>
        <w:t xml:space="preserve">geen </w:t>
      </w:r>
      <w:r>
        <w:rPr>
          <w:lang w:val="nl-NL"/>
        </w:rPr>
        <w:t xml:space="preserve"/>
      </w:r>
      <w:r>
        <w:rPr>
          <w:lang w:val="nl-NL"/>
        </w:rPr>
        <w:t xml:space="preserve">subverwerker: alle verwerkingen vinden plaats in de infrastructuur van de Klant.</w:t>
      </w:r>
    </w:p>
    <w:bookmarkEnd w:id="53"/>
    <w:bookmarkEnd w:id="54"/>
    <w:bookmarkStart w:id="55" w:name="Xa3b753c59da78167f5a5b09b154b0079cdc206c"/>
    <w:p>
      <w:pPr>
        <w:pStyle w:val="Heading2"/>
        <w:keepNext/>
        <w:keepLines/>
      </w:pPr>
      <w:r>
        <w:rPr>
          <w:color w:val="000000"/>
          <w:lang w:val="nl-NL"/>
        </w:rPr>
        <w:t xml:space="preserve">3. Overzichtstabel met rollen</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nl-NL"/>
              </w:rPr>
              <w:t xml:space="preserve">Acteur</w:t>
            </w:r>
          </w:p>
        </w:tc>
        <w:tc>
          <w:tcPr>
            <w:tcW w:type="dxa" w:w="2340"/>
            <w:tcMar>
              <w:left w:type="dxa" w:w="80"/>
              <w:right w:type="dxa" w:w="80"/>
            </w:tcMar>
          </w:tcPr>
          <w:p>
            <w:pPr>
              <w:pStyle w:val="Compact"/>
            </w:pPr>
            <w:r>
              <w:rPr>
                <w:sz w:val="19"/>
                <w:szCs w:val="19"/>
                <w:lang w:val="nl-NL"/>
              </w:rPr>
              <w:t xml:space="preserve">Rol AVG</w:t>
            </w:r>
          </w:p>
        </w:tc>
        <w:tc>
          <w:tcPr>
            <w:tcW w:type="dxa" w:w="2340"/>
            <w:tcMar>
              <w:left w:type="dxa" w:w="80"/>
              <w:right w:type="dxa" w:w="80"/>
            </w:tcMar>
          </w:tcPr>
          <w:p>
            <w:pPr>
              <w:pStyle w:val="Compact"/>
            </w:pPr>
            <w:r>
              <w:rPr>
                <w:sz w:val="19"/>
                <w:szCs w:val="19"/>
                <w:lang w:val="nl-NL"/>
              </w:rPr>
              <w:t xml:space="preserve">Operaties uitgevoerd</w:t>
            </w:r>
          </w:p>
        </w:tc>
        <w:tc>
          <w:tcPr>
            <w:tcW w:type="dxa" w:w="2340"/>
            <w:tcMar>
              <w:left w:type="dxa" w:w="80"/>
              <w:right w:type="dxa" w:w="80"/>
            </w:tcMar>
          </w:tcPr>
          <w:p>
            <w:pPr>
              <w:pStyle w:val="Compact"/>
            </w:pPr>
            <w:r>
              <w:rPr>
                <w:sz w:val="19"/>
                <w:szCs w:val="19"/>
                <w:lang w:val="nl-NL"/>
              </w:rPr>
              <w:t xml:space="preserve">Toegang tot productiegegevens</w:t>
            </w:r>
          </w:p>
        </w:tc>
      </w:tr>
      <w:tr>
        <w:trPr>
          <w:cantSplit/>
        </w:trPr>
        <w:tc>
          <w:tcPr>
            <w:tcW w:type="dxa" w:w="2340"/>
            <w:tcMar>
              <w:left w:type="dxa" w:w="80"/>
              <w:right w:type="dxa" w:w="80"/>
            </w:tcMar>
          </w:tcPr>
          <w:p>
            <w:pPr>
              <w:pStyle w:val="Compact"/>
            </w:pPr>
            <w:r>
              <w:rPr>
                <w:b/>
                <w:bCs/>
                <w:sz w:val="19"/>
                <w:szCs w:val="19"/>
                <w:lang w:val="nl-NL"/>
              </w:rPr>
              <w:t xml:space="preserve">de Klant</w:t>
            </w:r>
          </w:p>
        </w:tc>
        <w:tc>
          <w:tcPr>
            <w:tcW w:type="dxa" w:w="2340"/>
            <w:tcMar>
              <w:left w:type="dxa" w:w="80"/>
              <w:right w:type="dxa" w:w="80"/>
            </w:tcMar>
          </w:tcPr>
          <w:p>
            <w:pPr>
              <w:pStyle w:val="Compact"/>
            </w:pPr>
            <w:r>
              <w:rPr>
                <w:sz w:val="19"/>
                <w:szCs w:val="19"/>
                <w:lang w:val="nl-NL"/>
              </w:rPr>
              <w:t xml:space="preserve">Verwerkingsverantwoordelijke (art. 4.7)</w:t>
            </w:r>
          </w:p>
        </w:tc>
        <w:tc>
          <w:tcPr>
            <w:tcW w:type="dxa" w:w="2340"/>
            <w:tcMar>
              <w:left w:type="dxa" w:w="80"/>
              <w:right w:type="dxa" w:w="80"/>
            </w:tcMar>
          </w:tcPr>
          <w:p>
            <w:pPr>
              <w:pStyle w:val="Compact"/>
            </w:pPr>
            <w:r>
              <w:rPr>
                <w:sz w:val="19"/>
                <w:szCs w:val="19"/>
                <w:lang w:val="nl-NL"/>
              </w:rPr>
              <w:t xml:space="preserve">Bepaalt doeleinden, rechtsgrondslagen, duur; informeert mensen; beheert de rechten</w:t>
            </w:r>
          </w:p>
        </w:tc>
        <w:tc>
          <w:tcPr>
            <w:tcW w:type="dxa" w:w="2340"/>
            <w:tcMar>
              <w:left w:type="dxa" w:w="80"/>
              <w:right w:type="dxa" w:w="80"/>
            </w:tcMar>
          </w:tcPr>
          <w:p>
            <w:pPr>
              <w:pStyle w:val="Compact"/>
            </w:pPr>
            <w:r>
              <w:rPr>
                <w:sz w:val="19"/>
                <w:szCs w:val="19"/>
                <w:lang w:val="nl-NL"/>
              </w:rPr>
              <w:t xml:space="preserve">Ja (via hun accounts en rollen)</w:t>
            </w:r>
          </w:p>
        </w:tc>
      </w:tr>
      <w:tr>
        <w:trPr>
          <w:cantSplit/>
        </w:trPr>
        <w:tc>
          <w:tcPr>
            <w:tcW w:type="dxa" w:w="2340"/>
            <w:tcMar>
              <w:left w:type="dxa" w:w="80"/>
              <w:right w:type="dxa" w:w="80"/>
            </w:tcMar>
          </w:tcPr>
          <w:p>
            <w:pPr>
              <w:pStyle w:val="Compact"/>
            </w:pPr>
            <w:r>
              <w:rPr>
                <w:b/>
                <w:bCs/>
                <w:sz w:val="19"/>
                <w:szCs w:val="19"/>
                <w:lang w:val="nl-NL"/>
              </w:rPr>
              <w:t xml:space="preserve">OHADJA</w:t>
            </w:r>
          </w:p>
        </w:tc>
        <w:tc>
          <w:tcPr>
            <w:tcW w:type="dxa" w:w="2340"/>
            <w:tcMar>
              <w:left w:type="dxa" w:w="80"/>
              <w:right w:type="dxa" w:w="80"/>
            </w:tcMar>
          </w:tcPr>
          <w:p>
            <w:pPr>
              <w:pStyle w:val="Compact"/>
            </w:pPr>
            <w:r>
              <w:rPr>
                <w:sz w:val="19"/>
                <w:szCs w:val="19"/>
                <w:lang w:val="nl-NL"/>
              </w:rPr>
              <w:t xml:space="preserve">Verwerker (art. 4.8 / art. 28) — redacteur</w:t>
            </w:r>
          </w:p>
        </w:tc>
        <w:tc>
          <w:tcPr>
            <w:tcW w:type="dxa" w:w="2340"/>
            <w:tcMar>
              <w:left w:type="dxa" w:w="80"/>
              <w:right w:type="dxa" w:w="80"/>
            </w:tcMar>
          </w:tcPr>
          <w:p>
            <w:pPr>
              <w:pStyle w:val="Compact"/>
            </w:pPr>
            <w:r>
              <w:rPr>
                <w:sz w:val="19"/>
                <w:szCs w:val="19"/>
                <w:lang w:val="nl-NL"/>
              </w:rPr>
              <w:t xml:space="preserve">Editie, SaaS-gebruik (optie A), ondersteuning, onderhoud</w:t>
            </w:r>
          </w:p>
        </w:tc>
        <w:tc>
          <w:tcPr>
            <w:tcW w:type="dxa" w:w="2340"/>
            <w:tcMar>
              <w:left w:type="dxa" w:w="80"/>
              <w:right w:type="dxa" w:w="80"/>
            </w:tcMar>
          </w:tcPr>
          <w:p>
            <w:pPr>
              <w:pStyle w:val="Compact"/>
            </w:pPr>
            <w:r>
              <w:rPr>
                <w:sz w:val="19"/>
                <w:szCs w:val="19"/>
                <w:lang w:val="nl-NL"/>
              </w:rPr>
              <w:t xml:space="preserve">Ja — ingelijst (nominatief, SSH, 2FA, TLS, gejournaliseerd, geen lokale kopie, uit Frankrijk/EU)</w:t>
            </w:r>
          </w:p>
        </w:tc>
      </w:tr>
      <w:tr>
        <w:trPr>
          <w:cantSplit/>
        </w:trPr>
        <w:tc>
          <w:tcPr>
            <w:tcW w:type="dxa" w:w="2340"/>
            <w:tcMar>
              <w:left w:type="dxa" w:w="80"/>
              <w:right w:type="dxa" w:w="80"/>
            </w:tcMar>
          </w:tcPr>
          <w:p>
            <w:pPr>
              <w:pStyle w:val="Compact"/>
            </w:pPr>
            <w:r>
              <w:rPr>
                <w:b/>
                <w:bCs/>
                <w:sz w:val="19"/>
                <w:szCs w:val="19"/>
                <w:lang w:val="nl-NL"/>
              </w:rPr>
              <w:t xml:space="preserve">AMBASSADIA SARL</w:t>
            </w:r>
          </w:p>
        </w:tc>
        <w:tc>
          <w:tcPr>
            <w:tcW w:type="dxa" w:w="2340"/>
            <w:tcMar>
              <w:left w:type="dxa" w:w="80"/>
              <w:right w:type="dxa" w:w="80"/>
            </w:tcMar>
          </w:tcPr>
          <w:p>
            <w:pPr>
              <w:pStyle w:val="Compact"/>
            </w:pPr>
            <w:r>
              <w:rPr>
                <w:sz w:val="19"/>
                <w:szCs w:val="19"/>
                <w:lang w:val="nl-NL"/>
              </w:rPr>
              <w:t xml:space="preserve">Commerciële wederverkoper/distributeur (Monaco en Frankrijk) — geen gegevensverwerking</w:t>
            </w:r>
          </w:p>
        </w:tc>
        <w:tc>
          <w:tcPr>
            <w:tcW w:type="dxa" w:w="2340"/>
            <w:tcMar>
              <w:left w:type="dxa" w:w="80"/>
              <w:right w:type="dxa" w:w="80"/>
            </w:tcMar>
          </w:tcPr>
          <w:p>
            <w:pPr>
              <w:pStyle w:val="Compact"/>
            </w:pPr>
            <w:r>
              <w:rPr>
                <w:sz w:val="19"/>
                <w:szCs w:val="19"/>
                <w:lang w:val="nl-NL"/>
              </w:rPr>
              <w:t xml:space="preserve">Marketing, commerciële relaties</w:t>
            </w:r>
          </w:p>
        </w:tc>
        <w:tc>
          <w:tcPr>
            <w:tcW w:type="dxa" w:w="2340"/>
            <w:tcMar>
              <w:left w:type="dxa" w:w="80"/>
              <w:right w:type="dxa" w:w="80"/>
            </w:tcMar>
          </w:tcPr>
          <w:p>
            <w:pPr>
              <w:pStyle w:val="Compact"/>
            </w:pPr>
            <w:r>
              <w:rPr>
                <w:sz w:val="19"/>
                <w:szCs w:val="19"/>
                <w:lang w:val="nl-NL"/>
              </w:rPr>
              <w:t xml:space="preserve">Nee</w:t>
            </w:r>
          </w:p>
        </w:tc>
      </w:tr>
      <w:tr>
        <w:trPr>
          <w:cantSplit/>
        </w:trPr>
        <w:tc>
          <w:tcPr>
            <w:tcW w:type="dxa" w:w="2340"/>
            <w:tcMar>
              <w:left w:type="dxa" w:w="80"/>
              <w:right w:type="dxa" w:w="80"/>
            </w:tcMar>
          </w:tcPr>
          <w:p>
            <w:pPr>
              <w:pStyle w:val="Compact"/>
            </w:pPr>
            <w:r>
              <w:rPr>
                <w:b/>
                <w:bCs/>
                <w:sz w:val="19"/>
                <w:szCs w:val="19"/>
                <w:lang w:val="nl-NL"/>
              </w:rPr>
              <w:t xml:space="preserve">uw integrator/reseller</w:t>
            </w:r>
          </w:p>
        </w:tc>
        <w:tc>
          <w:tcPr>
            <w:tcW w:type="dxa" w:w="2340"/>
            <w:tcMar>
              <w:left w:type="dxa" w:w="80"/>
              <w:right w:type="dxa" w:w="80"/>
            </w:tcMar>
          </w:tcPr>
          <w:p>
            <w:pPr>
              <w:pStyle w:val="Compact"/>
            </w:pPr>
            <w:r>
              <w:rPr>
                <w:sz w:val="19"/>
                <w:szCs w:val="19"/>
                <w:lang w:val="nl-NL"/>
              </w:rPr>
              <w:t xml:space="preserve">Distributeur / integrator – geen verwerking van productiegegevens</w:t>
            </w:r>
          </w:p>
        </w:tc>
        <w:tc>
          <w:tcPr>
            <w:tcW w:type="dxa" w:w="2340"/>
            <w:tcMar>
              <w:left w:type="dxa" w:w="80"/>
              <w:right w:type="dxa" w:w="80"/>
            </w:tcMar>
          </w:tcPr>
          <w:p>
            <w:pPr>
              <w:pStyle w:val="Compact"/>
            </w:pPr>
            <w:r>
              <w:rPr>
                <w:sz w:val="19"/>
                <w:szCs w:val="19"/>
                <w:lang w:val="nl-NL"/>
              </w:rPr>
              <w:t xml:space="preserve">Marketing, hardware-integratie, relatie op het eerste niveau</w:t>
            </w:r>
          </w:p>
        </w:tc>
        <w:tc>
          <w:tcPr>
            <w:tcW w:type="dxa" w:w="2340"/>
            <w:tcMar>
              <w:left w:type="dxa" w:w="80"/>
              <w:right w:type="dxa" w:w="80"/>
            </w:tcMar>
          </w:tcPr>
          <w:p>
            <w:pPr>
              <w:pStyle w:val="Compact"/>
            </w:pPr>
            <w:r>
              <w:rPr>
                <w:sz w:val="19"/>
                <w:szCs w:val="19"/>
                <w:lang w:val="nl-NL"/>
              </w:rPr>
              <w:t xml:space="preserve">Nee – behalve een serviceaccount aangemaakt door de klant; beheerdersrol alleen op demo, zonder toegang tot inhoud</w:t>
            </w:r>
          </w:p>
        </w:tc>
      </w:tr>
      <w:tr>
        <w:trPr>
          <w:cantSplit/>
        </w:trPr>
        <w:tc>
          <w:tcPr>
            <w:tcW w:type="dxa" w:w="2340"/>
            <w:tcMar>
              <w:left w:type="dxa" w:w="80"/>
              <w:right w:type="dxa" w:w="80"/>
            </w:tcMar>
          </w:tcPr>
          <w:p>
            <w:pPr>
              <w:pStyle w:val="Compact"/>
            </w:pPr>
            <w:r>
              <w:rPr>
                <w:b/>
                <w:bCs/>
                <w:sz w:val="19"/>
                <w:szCs w:val="19"/>
                <w:lang w:val="nl-NL"/>
              </w:rPr>
              <w:t xml:space="preserve">Subverwerkers technisch</w:t>
            </w:r>
          </w:p>
        </w:tc>
        <w:tc>
          <w:tcPr>
            <w:tcW w:type="dxa" w:w="2340"/>
            <w:tcMar>
              <w:left w:type="dxa" w:w="80"/>
              <w:right w:type="dxa" w:w="80"/>
            </w:tcMar>
          </w:tcPr>
          <w:p>
            <w:pPr>
              <w:pStyle w:val="Compact"/>
            </w:pPr>
            <w:r>
              <w:rPr>
                <w:sz w:val="19"/>
                <w:szCs w:val="19"/>
                <w:lang w:val="nl-NL"/>
              </w:rPr>
              <w:t xml:space="preserve">Subverwerkers (art. 28.2/28.4) — Alleen optie A</w:t>
            </w:r>
          </w:p>
        </w:tc>
        <w:tc>
          <w:tcPr>
            <w:tcW w:type="dxa" w:w="2340"/>
            <w:tcMar>
              <w:left w:type="dxa" w:w="80"/>
              <w:right w:type="dxa" w:w="80"/>
            </w:tcMar>
          </w:tcPr>
          <w:p>
            <w:pPr>
              <w:pStyle w:val="Compact"/>
            </w:pPr>
            <w:r>
              <w:rPr>
                <w:sz w:val="19"/>
                <w:szCs w:val="19"/>
                <w:lang w:val="nl-NL"/>
              </w:rPr>
              <w:t xml:space="preserve">Hosting, back-up, GPU-transcriptie, AI (zie OHA-RGPD-03)</w:t>
            </w:r>
          </w:p>
        </w:tc>
        <w:tc>
          <w:tcPr>
            <w:tcW w:type="dxa" w:w="2340"/>
            <w:tcMar>
              <w:left w:type="dxa" w:w="80"/>
              <w:right w:type="dxa" w:w="80"/>
            </w:tcMar>
          </w:tcPr>
          <w:p>
            <w:pPr>
              <w:pStyle w:val="Compact"/>
            </w:pPr>
            <w:r>
              <w:rPr>
                <w:sz w:val="19"/>
                <w:szCs w:val="19"/>
                <w:lang w:val="nl-NL"/>
              </w:rPr>
              <w:t xml:space="preserve">Zie OHA-RGPD-03 (grotendeels geautomatiseerde verwerking, zonder menselijke toegang tot inhoud)</w:t>
            </w:r>
          </w:p>
        </w:tc>
      </w:tr>
    </w:tbl>
    <w:bookmarkEnd w:id="55"/>
    <w:bookmarkStart w:id="59" w:name="Xaef194183ecdfd08edae724911271a5bfba8a85"/>
    <w:p>
      <w:pPr>
        <w:pStyle w:val="Heading2"/>
        <w:keepNext/>
        <w:keepLines/>
      </w:pPr>
      <w:r>
        <w:rPr>
          <w:color w:val="000000"/>
          <w:lang w:val="nl-NL"/>
        </w:rPr>
        <w:t xml:space="preserve">4. Actorketendiagram (optie A — SaaS)</w:t>
      </w:r>
    </w:p>
    <w:p>
      <w:pPr>
        <w:pStyle w:val="FirstParagraph"/>
        <w:keepNext/>
      </w:pPr>
      <w:r>
        <w:drawing>
          <wp:inline>
            <wp:extent cx="5334000" cy="4960620"/>
            <wp:effectExtent b="0" l="0" r="0" t="0"/>
            <wp:docPr descr="Chaîne d'acteurs" title="" id="57" name="Picture"/>
            <a:graphic>
              <a:graphicData uri="http://schemas.openxmlformats.org/drawingml/2006/picture">
                <pic:pic>
                  <pic:nvPicPr>
                    <pic:cNvPr descr="img/acteurs.png" id="58" name="Picture"/>
                    <pic:cNvPicPr>
                      <a:picLocks noChangeArrowheads="1" noChangeAspect="1"/>
                    </pic:cNvPicPr>
                  </pic:nvPicPr>
                  <pic:blipFill>
                    <a:blip r:embed="rId56"/>
                    <a:stretch>
                      <a:fillRect/>
                    </a:stretch>
                  </pic:blipFill>
                  <pic:spPr bwMode="auto">
                    <a:xfrm>
                      <a:off x="0" y="0"/>
                      <a:ext cx="5334000" cy="4960620"/>
                    </a:xfrm>
                    <a:prstGeom prst="rect">
                      <a:avLst/>
                    </a:prstGeom>
                    <a:noFill/>
                    <a:ln w="9525">
                      <a:noFill/>
                      <a:headEnd/>
                      <a:tailEnd/>
                    </a:ln>
                  </pic:spPr>
                </pic:pic>
              </a:graphicData>
            </a:graphic>
          </wp:inline>
        </w:drawing>
      </w:r>
    </w:p>
    <w:p>
      <w:pPr>
        <w:pStyle w:val="BodyText"/>
        <w:keepLines/>
      </w:pPr>
      <w:r>
        <w:rPr>
          <w:i/>
          <w:iCs/>
          <w:lang w:val="nl-NL"/>
        </w:rPr>
        <w:t xml:space="preserve">Figuur 1 — Keten van actoren AVG van TranscribIA: resellers/distributeurs, klant verwerkingsverantwoordelijke, OHADJA (uitgever en verwerker art. 28) en subverwerkers (Visio .vsdx-versie opnieuw ingesteld in de implementatiefase).</w:t>
      </w:r>
    </w:p>
    <w:p>
      <w:pPr>
        <w:pStyle w:val="BodyText"/>
      </w:pPr>
      <w:r>
        <w:rPr>
          <w:b/>
          <w:bCs/>
          <w:lang w:val="nl-NL"/>
        </w:rPr>
        <w:t xml:space="preserve">Tekstversie:</w:t>
      </w:r>
    </w:p>
    <w:p>
      <w:pPr>
        <w:pStyle w:val="SourceCode"/>
      </w:pPr>
      <w:r>
        <w:rPr>
          <w:rStyle w:val="VerbatimChar"/>
          <w:rFonts w:ascii="Courier New" w:hAnsi="Courier New" w:eastAsia="Courier New" w:cs="Courier New"/>
          <w:sz w:val="18"/>
          <w:szCs w:val="18"/>
        </w:rPr>
        <w:t xml:space="preserve">KLANTORGANISATIE — Verwerkingsverantwoordelijke</w:t>
        <w:br/>
        <w:t xml:space="preserve">  Doeleinden, rechtsgronden, bewaartermijnen, informatie en rechten</w:t>
        <w:br/>
        <w:t xml:space="preserve">  | gebruikt de dienst                   ^ hulp / ondersteuning (2e lijn)</w:t>
        <w:br/>
        <w:t xml:space="preserve">  v                                      |</w:t>
        <w:br/>
        <w:t xml:space="preserve">OHADJA — Uitgever + Verwerker (art. 28)</w:t>
        <w:br/>
        <w:t xml:space="preserve">  SaaS-beheer, ondersteuning, onderhoud</w:t>
        <w:br/>
        <w:t xml:space="preserve">  Gegevenstoegang: uitsluitend Frankrijk / EU</w:t>
        <w:br/>
        <w:t xml:space="preserve">  ^ commerciële relatie via WEDERVERKOPERS / DISTRIBUTEURS:</w:t>
        <w:br/>
        <w:t xml:space="preserve">    - AMBASSADIA SARL (Monaco en Frankrijk)</w:t>
        <w:br/>
        <w:t xml:space="preserve">    - integrator / wederverkoper</w:t>
        <w:br/>
        <w:t xml:space="preserve">    - commerciële rol, GEEN gegevenstoegang</w:t>
        <w:br/>
        <w:t xml:space="preserve">  | schakelt subverwerkers in (Optie A)</w:t>
        <w:br/>
        <w:t xml:space="preserve">  v</w:t>
        <w:br/>
        <w:t xml:space="preserve">Hosting (Frankrijk) · Back-up (EU)</w:t>
        <w:br/>
        <w:t xml:space="preserve">GPU-transcriptie · AI-functies (LLM)</w:t>
        <w:br/>
        <w:t xml:space="preserve">  -&gt; details: documenten OHA-RGPD-03/04</w:t>
      </w:r>
    </w:p>
    <w:p>
      <w:pPr>
        <w:pStyle w:val="FirstParagraph"/>
      </w:pPr>
      <w:r>
        <w:rPr>
          <w:lang w:val="nl-NL"/>
        </w:rPr>
        <w:t xml:space="preserve">Bij </w:t>
      </w:r>
      <w:r>
        <w:rPr>
          <w:lang w:val="nl-NL"/>
        </w:rPr>
        <w:t xml:space="preserve"/>
      </w:r>
      <w:r>
        <w:rPr>
          <w:b/>
          <w:bCs/>
          <w:lang w:val="nl-NL"/>
        </w:rPr>
        <w:t xml:space="preserve">geïsoleerde </w:t>
      </w:r>
      <w:r>
        <w:rPr>
          <w:lang w:val="nl-NL"/>
        </w:rPr>
        <w:t xml:space="preserve">optie B wordt het diagram teruggebracht tot alleen de klant: alle componenten (applicatie, database, GPU-transcriptie, taalmodel) draaien in de infrastructuur ervan; OHADJA komt alleen tussenbeide voor de onderhouds-/ondersteuningswerkzaamheden die haar zijn toevertrouwd, en er is geen subverwerker.</w:t>
      </w:r>
    </w:p>
    <w:p>
      <w:pPr>
        <w:pStyle w:val="BlockText"/>
      </w:pPr>
      <w:r>
        <w:rPr>
          <w:lang w:val="nl-NL"/>
        </w:rPr>
        <w:t xml:space="preserve">Op basis van dit diagram zal tijdens de implementatiefase de definitieve samenvatting in Visio-formaat (.vsdx) worden aangeleverd.</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59"/>
    <w:bookmarkEnd w:id="60"/>
    <w:bookmarkStart w:id="77" w:name="X001a6d632cb4d7312fb50fba4a39a5158970664"/>
    <w:p>
      <w:pPr>
        <w:pStyle w:val="Heading1"/>
        <w:keepNext/>
        <w:keepLines/>
      </w:pPr>
      <w:r>
        <w:rPr>
          <w:color w:val="000000"/>
          <w:lang w:val="nl-NL"/>
        </w:rPr>
        <w:t xml:space="preserve">Gedetailleerde gegevensstroommatrix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OHA-RGPD-02</w:t>
            </w:r>
          </w:p>
        </w:tc>
      </w:tr>
      <w:tr>
        <w:trPr>
          <w:cantSplit/>
        </w:trPr>
        <w:tc>
          <w:tcPr/>
          <w:p>
            <w:pPr>
              <w:pStyle w:val="Compact"/>
            </w:pPr>
            <w:r>
              <w:rPr>
                <w:lang w:val="nl-NL"/>
              </w:rPr>
              <w:t xml:space="preserve">Doel</w:t>
            </w:r>
          </w:p>
        </w:tc>
        <w:tc>
          <w:tcPr/>
          <w:p>
            <w:pPr>
              <w:pStyle w:val="Compact"/>
            </w:pPr>
            <w:r>
              <w:rPr>
                <w:lang w:val="nl-NL"/>
              </w:rPr>
              <w:t xml:space="preserve">Matrix van gegevensstromen, menselijke en technische toegang, navigatie van een audiobestand</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61" w:name="X9d6322e4a9ce86e02c43d63da458956a899a10f"/>
    <w:p>
      <w:pPr>
        <w:pStyle w:val="Heading2"/>
        <w:keepNext/>
        <w:keepLines/>
      </w:pPr>
      <w:r>
        <w:rPr>
          <w:color w:val="000000"/>
          <w:lang w:val="nl-NL"/>
        </w:rPr>
        <w:t xml:space="preserve">1. Doel en methode</w:t>
      </w:r>
    </w:p>
    <w:p>
      <w:pPr>
        <w:pStyle w:val="FirstParagraph"/>
      </w:pPr>
      <w:r>
        <w:rPr>
          <w:lang w:val="nl-NL"/>
        </w:rPr>
        <w:t xml:space="preserve">Dit document beschrijft voor elke categorie gegevens die door TranscribIA wordt verwerkt de oorsprong, het volledige stapsgewijze traject, de gekruiste componenten, de versleutelingsstatus (in transit en in rust), de bestemmingen en de bewaartermijn bij elke stap. Elke stroom wordt beschreven voor de twee leveringswijzen:</w:t>
      </w:r>
    </w:p>
    <w:p>
      <w:pPr>
        <w:pStyle w:val="Compact"/>
        <w:numPr>
          <w:ilvl w:val="0"/>
          <w:numId w:val="1016"/>
        </w:numPr>
      </w:pPr>
      <w:r>
        <w:rPr>
          <w:b/>
          <w:bCs/>
          <w:lang w:val="nl-NL"/>
        </w:rPr>
        <w:t xml:space="preserve">Optie A — Soevereine SaaS </w:t>
      </w:r>
      <w:r>
        <w:rPr>
          <w:lang w:val="nl-NL"/>
        </w:rPr>
        <w:t xml:space="preserve"/>
      </w:r>
      <w:r>
        <w:rPr>
          <w:lang w:val="nl-NL"/>
        </w:rPr>
        <w:t xml:space="preserve">beheerd door OHADJA;</w:t>
      </w:r>
    </w:p>
    <w:p>
      <w:pPr>
        <w:pStyle w:val="Compact"/>
        <w:numPr>
          <w:ilvl w:val="0"/>
          <w:numId w:val="1016"/>
        </w:numPr>
      </w:pPr>
      <w:r>
        <w:rPr>
          <w:b/>
          <w:bCs/>
          <w:lang w:val="nl-NL"/>
        </w:rPr>
        <w:t xml:space="preserve">Optie B — On-premise in </w:t>
      </w:r>
      <w:r>
        <w:rPr>
          <w:lang w:val="nl-NL"/>
        </w:rPr>
        <w:t xml:space="preserve"/>
      </w:r>
      <w:r>
        <w:rPr>
          <w:lang w:val="nl-NL"/>
        </w:rPr>
        <w:t xml:space="preserve">de infrastructuur van de Klant (geïsoleerde variant: geen uitgaande stroom).</w:t>
      </w:r>
    </w:p>
    <w:p>
      <w:pPr>
        <w:pStyle w:val="FirstParagraph"/>
      </w:pPr>
      <w:r>
        <w:rPr>
          <w:lang w:val="nl-NL"/>
        </w:rPr>
        <w:t xml:space="preserve">Vervolgens bevat het een sectie gewijd aan </w:t>
      </w:r>
      <w:r>
        <w:rPr>
          <w:lang w:val="nl-NL"/>
        </w:rPr>
        <w:t xml:space="preserve">menselijke </w:t>
      </w:r>
      <w:r>
        <w:rPr>
          <w:b/>
          <w:bCs/>
          <w:lang w:val="nl-NL"/>
        </w:rPr>
        <w:t xml:space="preserve">en technische toegang, </w:t>
      </w:r>
      <w:r>
        <w:rPr>
          <w:lang w:val="nl-NL"/>
        </w:rPr>
        <w:t xml:space="preserve">inclusief de openhartige behandeling van toegang en stromen buiten de EER die mogelijk zijn in optie A, en </w:t>
      </w:r>
      <w:r>
        <w:rPr>
          <w:lang w:val="nl-NL"/>
        </w:rPr>
        <w:t xml:space="preserve"/>
      </w:r>
      <w:r>
        <w:rPr>
          <w:b/>
          <w:bCs/>
          <w:lang w:val="nl-NL"/>
        </w:rPr>
        <w:t xml:space="preserve">vervolgens de end-to-end-reis van een </w:t>
      </w:r>
      <w:r>
        <w:rPr>
          <w:lang w:val="nl-NL"/>
        </w:rPr>
        <w:t xml:space="preserve">audiobestand.</w:t>
      </w:r>
    </w:p>
    <w:p>
      <w:pPr>
        <w:pStyle w:val="BodyText"/>
      </w:pPr>
      <w:r>
        <w:rPr>
          <w:lang w:val="nl-NL"/>
        </w:rPr>
        <w:t xml:space="preserve">Gebruikte cijferconventies:</w:t>
      </w:r>
    </w:p>
    <w:p>
      <w:pPr>
        <w:pStyle w:val="Compact"/>
        <w:numPr>
          <w:ilvl w:val="0"/>
          <w:numId w:val="1017"/>
        </w:numPr>
      </w:pPr>
      <w:r>
        <w:rPr>
          <w:b/>
          <w:bCs/>
          <w:lang w:val="nl-NL"/>
        </w:rPr>
        <w:t xml:space="preserve">Onderweg: </w:t>
      </w:r>
      <w:r>
        <w:rPr>
          <w:lang w:val="nl-NL"/>
        </w:rPr>
        <w:t xml:space="preserve"/>
      </w:r>
      <w:r>
        <w:rPr>
          <w:lang w:val="nl-NL"/>
        </w:rPr>
        <w:t xml:space="preserve">TLS 1.2+ (Let's Encrypt, strong suites, HSTS) voor alle applicatietoegang, API's en beheerinterfaces.</w:t>
      </w:r>
    </w:p>
    <w:p>
      <w:pPr>
        <w:pStyle w:val="Compact"/>
        <w:numPr>
          <w:ilvl w:val="0"/>
          <w:numId w:val="1017"/>
        </w:numPr>
      </w:pPr>
      <w:r>
        <w:rPr>
          <w:b/>
          <w:bCs/>
          <w:lang w:val="nl-NL"/>
        </w:rPr>
        <w:t xml:space="preserve">In rust: </w:t>
      </w:r>
      <w:r>
        <w:rPr>
          <w:lang w:val="nl-NL"/>
        </w:rPr>
        <w:t xml:space="preserve"/>
      </w:r>
      <w:r>
        <w:rPr>
          <w:lang w:val="nl-NL"/>
        </w:rPr>
        <w:t xml:space="preserve">gecodeerde back-ups </w:t>
      </w:r>
      <w:r>
        <w:rPr>
          <w:lang w:val="nl-NL"/>
        </w:rPr>
        <w:t xml:space="preserve">vóór </w:t>
      </w:r>
      <w:r>
        <w:rPr>
          <w:b/>
          <w:bCs/>
          <w:lang w:val="nl-NL"/>
        </w:rPr>
        <w:t xml:space="preserve"/>
      </w:r>
      <w:r>
        <w:rPr>
          <w:lang w:val="nl-NL"/>
        </w:rPr>
        <w:t xml:space="preserve"/>
      </w:r>
      <w:r>
        <w:rPr>
          <w:lang w:val="nl-NL"/>
        </w:rPr>
        <w:t xml:space="preserve">uitbesteding (age, X25519 + ChaCha20-Poly1305); schijfversleuteling van productieserversysteem: volgens datacenteraanbod - geplande upgrade (LUKS/gocryptfs). De applicatiegegevens en de PostgreSQL-database bevinden zich op de geharde productieserver (SSH per sleutel, firewall, fail2ban). In de onderstaande tabellen verwijst de vermelding “in rust (zie §1)” naar deze verduidelijking.</w:t>
      </w:r>
    </w:p>
    <w:bookmarkEnd w:id="61"/>
    <w:bookmarkStart w:id="69" w:name="Xfb7177fe7e5e1f8db1258879121b148c25ab828"/>
    <w:p>
      <w:pPr>
        <w:pStyle w:val="Heading2"/>
        <w:keepNext/>
        <w:keepLines/>
      </w:pPr>
      <w:r>
        <w:rPr>
          <w:color w:val="000000"/>
          <w:lang w:val="nl-NL"/>
        </w:rPr>
        <w:t xml:space="preserve">2. Stroommatrix per gegevenscategorie</w:t>
      </w:r>
    </w:p>
    <w:bookmarkStart w:id="62" w:name="Xf15a0825ce5467990e6266ab21e1d3cf1a58279"/>
    <w:p>
      <w:pPr>
        <w:pStyle w:val="Heading3"/>
        <w:keepNext/>
        <w:keepLines/>
      </w:pPr>
      <w:r>
        <w:rPr>
          <w:color w:val="000000"/>
          <w:lang w:val="nl-NL"/>
        </w:rPr>
        <w:t xml:space="preserve">2.1 Audiobestanden (en video indien van toepassing)</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Stap</w:t>
            </w:r>
          </w:p>
        </w:tc>
        <w:tc>
          <w:tcPr>
            <w:tcW w:type="dxa" w:w="1872"/>
            <w:tcMar>
              <w:left w:type="dxa" w:w="80"/>
              <w:right w:type="dxa" w:w="80"/>
            </w:tcMar>
          </w:tcPr>
          <w:p>
            <w:pPr>
              <w:pStyle w:val="Compact"/>
            </w:pPr>
            <w:r>
              <w:rPr>
                <w:sz w:val="19"/>
                <w:szCs w:val="19"/>
                <w:lang w:val="nl-NL"/>
              </w:rPr>
              <w:t xml:space="preserve">Acteur/component</w:t>
            </w:r>
          </w:p>
        </w:tc>
        <w:tc>
          <w:tcPr>
            <w:tcW w:type="dxa" w:w="1872"/>
            <w:tcMar>
              <w:left w:type="dxa" w:w="80"/>
              <w:right w:type="dxa" w:w="80"/>
            </w:tcMar>
          </w:tcPr>
          <w:p>
            <w:pPr>
              <w:pStyle w:val="Compact"/>
            </w:pPr>
            <w:r>
              <w:rPr>
                <w:sz w:val="19"/>
                <w:szCs w:val="19"/>
                <w:lang w:val="nl-NL"/>
              </w:rPr>
              <w:t xml:space="preserve">Locatie</w:t>
            </w:r>
          </w:p>
        </w:tc>
        <w:tc>
          <w:tcPr>
            <w:tcW w:type="dxa" w:w="1872"/>
            <w:tcMar>
              <w:left w:type="dxa" w:w="80"/>
              <w:right w:type="dxa" w:w="80"/>
            </w:tcMar>
          </w:tcPr>
          <w:p>
            <w:pPr>
              <w:pStyle w:val="Compact"/>
            </w:pPr>
            <w:r>
              <w:rPr>
                <w:sz w:val="19"/>
                <w:szCs w:val="19"/>
                <w:lang w:val="nl-NL"/>
              </w:rPr>
              <w:t xml:space="preserve">Encryptie</w:t>
            </w:r>
          </w:p>
        </w:tc>
        <w:tc>
          <w:tcPr>
            <w:tcW w:type="dxa" w:w="1872"/>
            <w:tcMar>
              <w:left w:type="dxa" w:w="80"/>
              <w:right w:type="dxa" w:w="80"/>
            </w:tcMar>
          </w:tcPr>
          <w:p>
            <w:pPr>
              <w:pStyle w:val="Compact"/>
            </w:pPr>
            <w:r>
              <w:rPr>
                <w:sz w:val="19"/>
                <w:szCs w:val="19"/>
                <w:lang w:val="nl-NL"/>
              </w:rPr>
              <w:t xml:space="preserve">Duur in fase</w:t>
            </w:r>
          </w:p>
        </w:tc>
      </w:tr>
      <w:tr>
        <w:trPr>
          <w:cantSplit/>
        </w:trPr>
        <w:tc>
          <w:tcPr>
            <w:tcW w:type="dxa" w:w="1872"/>
            <w:tcMar>
              <w:left w:type="dxa" w:w="80"/>
              <w:right w:type="dxa" w:w="80"/>
            </w:tcMar>
          </w:tcPr>
          <w:p>
            <w:pPr>
              <w:pStyle w:val="Compact"/>
            </w:pPr>
            <w:r>
              <w:rPr>
                <w:sz w:val="19"/>
                <w:szCs w:val="19"/>
                <w:lang w:val="nl-NL"/>
              </w:rPr>
              <w:t xml:space="preserve">Oorsprong</w:t>
            </w:r>
          </w:p>
        </w:tc>
        <w:tc>
          <w:tcPr>
            <w:tcW w:type="dxa" w:w="1872"/>
            <w:tcMar>
              <w:left w:type="dxa" w:w="80"/>
              <w:right w:type="dxa" w:w="80"/>
            </w:tcMar>
          </w:tcPr>
          <w:p>
            <w:pPr>
              <w:pStyle w:val="Compact"/>
            </w:pPr>
            <w:r>
              <w:rPr>
                <w:sz w:val="19"/>
                <w:szCs w:val="19"/>
                <w:lang w:val="nl-NL"/>
              </w:rPr>
              <w:t xml:space="preserve">Klantgebruiker (uploaden)</w:t>
            </w:r>
          </w:p>
        </w:tc>
        <w:tc>
          <w:tcPr>
            <w:tcW w:type="dxa" w:w="1872"/>
            <w:tcMar>
              <w:left w:type="dxa" w:w="80"/>
              <w:right w:type="dxa" w:w="80"/>
            </w:tcMar>
          </w:tcPr>
          <w:p>
            <w:pPr>
              <w:pStyle w:val="Compact"/>
            </w:pPr>
            <w:r>
              <w:rPr>
                <w:sz w:val="19"/>
                <w:szCs w:val="19"/>
                <w:lang w:val="nl-NL"/>
              </w:rPr>
              <w:t xml:space="preserve">Werkstation van de klant</w:t>
            </w:r>
          </w:p>
        </w:tc>
        <w:tc>
          <w:tcPr>
            <w:tcW w:type="dxa" w:w="1872"/>
            <w:tcMar>
              <w:left w:type="dxa" w:w="80"/>
              <w:right w:type="dxa" w:w="80"/>
            </w:tcMar>
          </w:tcPr>
          <w:p>
            <w:pPr>
              <w:pStyle w:val="Compact"/>
            </w:pPr>
            <w:r>
              <w:rPr>
                <w:sz w:val="19"/>
                <w:szCs w:val="19"/>
                <w:lang w:val="nl-NL"/>
              </w:rPr>
              <w:t xml:space="preserve">TLS onderweg</w:t>
            </w:r>
          </w:p>
        </w:tc>
        <w:tc>
          <w:tcPr>
            <w:tcW w:type="dxa" w:w="1872"/>
            <w:tcMar>
              <w:left w:type="dxa" w:w="80"/>
              <w:right w:type="dxa" w:w="80"/>
            </w:tcMar>
          </w:tcPr>
          <w:p>
            <w:pPr>
              <w:pStyle w:val="Compact"/>
            </w:pPr>
            <w:r>
              <w:rPr>
                <w:sz w:val="19"/>
                <w:szCs w:val="19"/>
                <w:lang w:val="nl-NL"/>
              </w:rPr>
              <w:t xml:space="preserve">—</w:t>
            </w:r>
          </w:p>
        </w:tc>
      </w:tr>
      <w:tr>
        <w:trPr>
          <w:cantSplit/>
        </w:trPr>
        <w:tc>
          <w:tcPr>
            <w:tcW w:type="dxa" w:w="1872"/>
            <w:tcMar>
              <w:left w:type="dxa" w:w="80"/>
              <w:right w:type="dxa" w:w="80"/>
            </w:tcMar>
          </w:tcPr>
          <w:p>
            <w:pPr>
              <w:pStyle w:val="Compact"/>
            </w:pPr>
            <w:r>
              <w:rPr>
                <w:sz w:val="19"/>
                <w:szCs w:val="19"/>
                <w:lang w:val="nl-NL"/>
              </w:rPr>
              <w:t xml:space="preserve">Receptie</w:t>
            </w:r>
          </w:p>
        </w:tc>
        <w:tc>
          <w:tcPr>
            <w:tcW w:type="dxa" w:w="1872"/>
            <w:tcMar>
              <w:left w:type="dxa" w:w="80"/>
              <w:right w:type="dxa" w:w="80"/>
            </w:tcMar>
          </w:tcPr>
          <w:p>
            <w:pPr>
              <w:pStyle w:val="Compact"/>
            </w:pPr>
            <w:r>
              <w:rPr>
                <w:sz w:val="19"/>
                <w:szCs w:val="19"/>
                <w:lang w:val="nl-NL"/>
              </w:rPr>
              <w:t xml:space="preserve">Nginx → Laravel-applicatie</w:t>
            </w:r>
          </w:p>
        </w:tc>
        <w:tc>
          <w:tcPr>
            <w:tcW w:type="dxa" w:w="1872"/>
            <w:tcMar>
              <w:left w:type="dxa" w:w="80"/>
              <w:right w:type="dxa" w:w="80"/>
            </w:tcMar>
          </w:tcPr>
          <w:p>
            <w:pPr>
              <w:pStyle w:val="Compact"/>
            </w:pPr>
            <w:r>
              <w:rPr>
                <w:sz w:val="19"/>
                <w:szCs w:val="19"/>
                <w:lang w:val="nl-NL"/>
              </w:rPr>
              <w:t xml:space="preserve">Prod-server (Frankrijk, optie A) / clientinfrastructuur (optie B)</w:t>
            </w:r>
          </w:p>
        </w:tc>
        <w:tc>
          <w:tcPr>
            <w:tcW w:type="dxa" w:w="1872"/>
            <w:tcMar>
              <w:left w:type="dxa" w:w="80"/>
              <w:right w:type="dxa" w:w="80"/>
            </w:tcMar>
          </w:tcPr>
          <w:p>
            <w:pPr>
              <w:pStyle w:val="Compact"/>
            </w:pPr>
            <w:r>
              <w:rPr>
                <w:sz w:val="19"/>
                <w:szCs w:val="19"/>
                <w:lang w:val="nl-NL"/>
              </w:rPr>
              <w:t xml:space="preserve">TLS; ClamAV voordat u schrijft</w:t>
            </w:r>
          </w:p>
        </w:tc>
        <w:tc>
          <w:tcPr>
            <w:tcW w:type="dxa" w:w="1872"/>
            <w:tcMar>
              <w:left w:type="dxa" w:w="80"/>
              <w:right w:type="dxa" w:w="80"/>
            </w:tcMar>
          </w:tcPr>
          <w:p>
            <w:pPr>
              <w:pStyle w:val="Compact"/>
            </w:pPr>
            <w:r>
              <w:rPr>
                <w:sz w:val="19"/>
                <w:szCs w:val="19"/>
                <w:lang w:val="nl-NL"/>
              </w:rPr>
              <w:t xml:space="preserve">Van voorbijgaande aard</w:t>
            </w:r>
          </w:p>
        </w:tc>
      </w:tr>
      <w:tr>
        <w:trPr>
          <w:cantSplit/>
        </w:trPr>
        <w:tc>
          <w:tcPr>
            <w:tcW w:type="dxa" w:w="1872"/>
            <w:tcMar>
              <w:left w:type="dxa" w:w="80"/>
              <w:right w:type="dxa" w:w="80"/>
            </w:tcMar>
          </w:tcPr>
          <w:p>
            <w:pPr>
              <w:pStyle w:val="Compact"/>
            </w:pPr>
            <w:r>
              <w:rPr>
                <w:sz w:val="19"/>
                <w:szCs w:val="19"/>
                <w:lang w:val="nl-NL"/>
              </w:rPr>
              <w:t xml:space="preserve">Opslag</w:t>
            </w:r>
          </w:p>
        </w:tc>
        <w:tc>
          <w:tcPr>
            <w:tcW w:type="dxa" w:w="1872"/>
            <w:tcMar>
              <w:left w:type="dxa" w:w="80"/>
              <w:right w:type="dxa" w:w="80"/>
            </w:tcMar>
          </w:tcPr>
          <w:p>
            <w:pPr>
              <w:pStyle w:val="Compact"/>
            </w:pPr>
            <w:r>
              <w:rPr>
                <w:sz w:val="19"/>
                <w:szCs w:val="19"/>
                <w:lang w:val="nl-NL"/>
              </w:rPr>
              <w:t xml:space="preserve">Applicatiebestandssysteem</w:t>
            </w:r>
          </w:p>
        </w:tc>
        <w:tc>
          <w:tcPr>
            <w:tcW w:type="dxa" w:w="1872"/>
            <w:tcMar>
              <w:left w:type="dxa" w:w="80"/>
              <w:right w:type="dxa" w:w="80"/>
            </w:tcMar>
          </w:tcPr>
          <w:p>
            <w:pPr>
              <w:pStyle w:val="Compact"/>
            </w:pPr>
            <w:r>
              <w:rPr>
                <w:sz w:val="19"/>
                <w:szCs w:val="19"/>
                <w:lang w:val="nl-NL"/>
              </w:rPr>
              <w:t xml:space="preserve">Productieserver, Frankrijk (Opt. A) / client-infra</w:t>
            </w:r>
          </w:p>
        </w:tc>
        <w:tc>
          <w:tcPr>
            <w:tcW w:type="dxa" w:w="1872"/>
            <w:tcMar>
              <w:left w:type="dxa" w:w="80"/>
              <w:right w:type="dxa" w:w="80"/>
            </w:tcMar>
          </w:tcPr>
          <w:p>
            <w:pPr>
              <w:pStyle w:val="Compact"/>
            </w:pPr>
            <w:r>
              <w:rPr>
                <w:sz w:val="19"/>
                <w:szCs w:val="19"/>
                <w:lang w:val="nl-NL"/>
              </w:rPr>
              <w:t xml:space="preserve">In rust (zie §1)</w:t>
            </w:r>
          </w:p>
        </w:tc>
        <w:tc>
          <w:tcPr>
            <w:tcW w:type="dxa" w:w="1872"/>
            <w:tcMar>
              <w:left w:type="dxa" w:w="80"/>
              <w:right w:type="dxa" w:w="80"/>
            </w:tcMar>
          </w:tcPr>
          <w:p>
            <w:pPr>
              <w:pStyle w:val="Compact"/>
            </w:pPr>
            <w:r>
              <w:rPr>
                <w:sz w:val="19"/>
                <w:szCs w:val="19"/>
                <w:lang w:val="nl-NL"/>
              </w:rPr>
              <w:t xml:space="preserve">Duur geconfigureerd door de Klant, anders duur van het contract</w:t>
            </w:r>
          </w:p>
        </w:tc>
      </w:tr>
      <w:tr>
        <w:trPr>
          <w:cantSplit/>
        </w:trPr>
        <w:tc>
          <w:tcPr>
            <w:tcW w:type="dxa" w:w="1872"/>
            <w:tcMar>
              <w:left w:type="dxa" w:w="80"/>
              <w:right w:type="dxa" w:w="80"/>
            </w:tcMar>
          </w:tcPr>
          <w:p>
            <w:pPr>
              <w:pStyle w:val="Compact"/>
            </w:pPr>
            <w:r>
              <w:rPr>
                <w:sz w:val="19"/>
                <w:szCs w:val="19"/>
                <w:lang w:val="nl-NL"/>
              </w:rPr>
              <w:t xml:space="preserve">Behandeling</w:t>
            </w:r>
          </w:p>
        </w:tc>
        <w:tc>
          <w:tcPr>
            <w:tcW w:type="dxa" w:w="1872"/>
            <w:tcMar>
              <w:left w:type="dxa" w:w="80"/>
              <w:right w:type="dxa" w:w="80"/>
            </w:tcMar>
          </w:tcPr>
          <w:p>
            <w:pPr>
              <w:pStyle w:val="Compact"/>
            </w:pPr>
            <w:r>
              <w:rPr>
                <w:sz w:val="19"/>
                <w:szCs w:val="19"/>
                <w:lang w:val="nl-NL"/>
              </w:rPr>
              <w:t xml:space="preserve">GPU-transcriptiewerker</w:t>
            </w:r>
          </w:p>
        </w:tc>
        <w:tc>
          <w:tcPr>
            <w:tcW w:type="dxa" w:w="1872"/>
            <w:tcMar>
              <w:left w:type="dxa" w:w="80"/>
              <w:right w:type="dxa" w:w="80"/>
            </w:tcMar>
          </w:tcPr>
          <w:p>
            <w:pPr>
              <w:pStyle w:val="Compact"/>
            </w:pPr>
            <w:r>
              <w:rPr>
                <w:sz w:val="19"/>
                <w:szCs w:val="19"/>
                <w:lang w:val="nl-NL"/>
              </w:rPr>
              <w:t xml:space="preserve">Speciale UE GPU (optie A) / lokale GPU (geïsoleerde optie B)</w:t>
            </w:r>
          </w:p>
        </w:tc>
        <w:tc>
          <w:tcPr>
            <w:tcW w:type="dxa" w:w="1872"/>
            <w:tcMar>
              <w:left w:type="dxa" w:w="80"/>
              <w:right w:type="dxa" w:w="80"/>
            </w:tcMar>
          </w:tcPr>
          <w:p>
            <w:pPr>
              <w:pStyle w:val="Compact"/>
            </w:pPr>
            <w:r>
              <w:rPr>
                <w:sz w:val="19"/>
                <w:szCs w:val="19"/>
                <w:lang w:val="nl-NL"/>
              </w:rPr>
              <w:t xml:space="preserve">TLS tussen componenten; Tijdelijk ondertekende URL (30 min) voor streaming</w:t>
            </w:r>
          </w:p>
        </w:tc>
        <w:tc>
          <w:tcPr>
            <w:tcW w:type="dxa" w:w="1872"/>
            <w:tcMar>
              <w:left w:type="dxa" w:w="80"/>
              <w:right w:type="dxa" w:w="80"/>
            </w:tcMar>
          </w:tcPr>
          <w:p>
            <w:pPr>
              <w:pStyle w:val="Compact"/>
            </w:pPr>
            <w:r>
              <w:rPr>
                <w:sz w:val="19"/>
                <w:szCs w:val="19"/>
                <w:lang w:val="nl-NL"/>
              </w:rPr>
              <w:t xml:space="preserve">Taaktijd; na verwerking aan de workerzijde verwijderd</w:t>
            </w:r>
          </w:p>
        </w:tc>
      </w:tr>
      <w:tr>
        <w:trPr>
          <w:cantSplit/>
        </w:trPr>
        <w:tc>
          <w:tcPr>
            <w:tcW w:type="dxa" w:w="1872"/>
            <w:tcMar>
              <w:left w:type="dxa" w:w="80"/>
              <w:right w:type="dxa" w:w="80"/>
            </w:tcMar>
          </w:tcPr>
          <w:p>
            <w:pPr>
              <w:pStyle w:val="Compact"/>
            </w:pPr>
            <w:r>
              <w:rPr>
                <w:sz w:val="19"/>
                <w:szCs w:val="19"/>
                <w:lang w:val="nl-NL"/>
              </w:rPr>
              <w:t xml:space="preserve">Back-up</w:t>
            </w:r>
          </w:p>
        </w:tc>
        <w:tc>
          <w:tcPr>
            <w:tcW w:type="dxa" w:w="1872"/>
            <w:tcMar>
              <w:left w:type="dxa" w:w="80"/>
              <w:right w:type="dxa" w:w="80"/>
            </w:tcMar>
          </w:tcPr>
          <w:p>
            <w:pPr>
              <w:pStyle w:val="Compact"/>
            </w:pPr>
            <w:r>
              <w:rPr>
                <w:sz w:val="19"/>
                <w:szCs w:val="19"/>
                <w:lang w:val="nl-NL"/>
              </w:rPr>
              <w:t xml:space="preserve">Versleuteling met age → rclone</w:t>
            </w:r>
          </w:p>
        </w:tc>
        <w:tc>
          <w:tcPr>
            <w:tcW w:type="dxa" w:w="1872"/>
            <w:tcMar>
              <w:left w:type="dxa" w:w="80"/>
              <w:right w:type="dxa" w:w="80"/>
            </w:tcMar>
          </w:tcPr>
          <w:p>
            <w:pPr>
              <w:pStyle w:val="Compact"/>
            </w:pPr>
            <w:r>
              <w:rPr>
                <w:sz w:val="19"/>
                <w:szCs w:val="19"/>
                <w:lang w:val="nl-NL"/>
              </w:rPr>
              <w:t xml:space="preserve">Scaleway (Frankrijk, EU) (Opt. A)</w:t>
            </w:r>
          </w:p>
        </w:tc>
        <w:tc>
          <w:tcPr>
            <w:tcW w:type="dxa" w:w="1872"/>
            <w:tcMar>
              <w:left w:type="dxa" w:w="80"/>
              <w:right w:type="dxa" w:w="80"/>
            </w:tcMar>
          </w:tcPr>
          <w:p>
            <w:pPr>
              <w:pStyle w:val="Compact"/>
            </w:pPr>
            <w:r>
              <w:rPr>
                <w:sz w:val="19"/>
                <w:szCs w:val="19"/>
                <w:lang w:val="nl-NL"/>
              </w:rPr>
              <w:t xml:space="preserve">age (vóór verzending)</w:t>
            </w:r>
          </w:p>
        </w:tc>
        <w:tc>
          <w:tcPr>
            <w:tcW w:type="dxa" w:w="1872"/>
            <w:tcMar>
              <w:left w:type="dxa" w:w="80"/>
              <w:right w:type="dxa" w:w="80"/>
            </w:tcMar>
          </w:tcPr>
          <w:p>
            <w:pPr>
              <w:pStyle w:val="Compact"/>
            </w:pPr>
            <w:r>
              <w:rPr>
                <w:sz w:val="19"/>
                <w:szCs w:val="19"/>
                <w:lang w:val="nl-NL"/>
              </w:rPr>
              <w:t xml:space="preserve">≤ 90 dagen (rotatie)</w:t>
            </w:r>
          </w:p>
        </w:tc>
      </w:tr>
      <w:tr>
        <w:trPr>
          <w:cantSplit/>
        </w:trPr>
        <w:tc>
          <w:tcPr>
            <w:tcW w:type="dxa" w:w="1872"/>
            <w:tcMar>
              <w:left w:type="dxa" w:w="80"/>
              <w:right w:type="dxa" w:w="80"/>
            </w:tcMar>
          </w:tcPr>
          <w:p>
            <w:pPr>
              <w:pStyle w:val="Compact"/>
            </w:pPr>
            <w:r>
              <w:rPr>
                <w:sz w:val="19"/>
                <w:szCs w:val="19"/>
                <w:lang w:val="nl-NL"/>
              </w:rPr>
              <w:t xml:space="preserve">Eindbestemming</w:t>
            </w:r>
          </w:p>
        </w:tc>
        <w:tc>
          <w:tcPr>
            <w:tcW w:type="dxa" w:w="1872"/>
            <w:tcMar>
              <w:left w:type="dxa" w:w="80"/>
              <w:right w:type="dxa" w:w="80"/>
            </w:tcMar>
          </w:tcPr>
          <w:p>
            <w:pPr>
              <w:pStyle w:val="Compact"/>
            </w:pPr>
            <w:r>
              <w:rPr>
                <w:sz w:val="19"/>
                <w:szCs w:val="19"/>
                <w:lang w:val="nl-NL"/>
              </w:rPr>
              <w:t xml:space="preserve">Verwijdering op aanvraag / vervaldatum</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Volgens het bewaarbeleid (zie OHA-RGPD-05)</w:t>
            </w:r>
          </w:p>
        </w:tc>
      </w:tr>
    </w:tbl>
    <w:bookmarkEnd w:id="62"/>
    <w:bookmarkStart w:id="63" w:name="X150edd64680ffa97c3c8f0861456ba0cfb19877"/>
    <w:p>
      <w:pPr>
        <w:pStyle w:val="Heading3"/>
        <w:keepNext/>
        <w:keepLines/>
      </w:pPr>
      <w:r>
        <w:rPr>
          <w:color w:val="000000"/>
          <w:lang w:val="nl-NL"/>
        </w:rPr>
        <w:t xml:space="preserve">2.2 Transcripties (segmenten, versies, correcties, hoofdstukken, sprekerdiarisatie)</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Stap</w:t>
            </w:r>
          </w:p>
        </w:tc>
        <w:tc>
          <w:tcPr>
            <w:tcW w:type="dxa" w:w="1872"/>
            <w:tcMar>
              <w:left w:type="dxa" w:w="80"/>
              <w:right w:type="dxa" w:w="80"/>
            </w:tcMar>
          </w:tcPr>
          <w:p>
            <w:pPr>
              <w:pStyle w:val="Compact"/>
            </w:pPr>
            <w:r>
              <w:rPr>
                <w:sz w:val="19"/>
                <w:szCs w:val="19"/>
                <w:lang w:val="nl-NL"/>
              </w:rPr>
              <w:t xml:space="preserve">Acteur/component</w:t>
            </w:r>
          </w:p>
        </w:tc>
        <w:tc>
          <w:tcPr>
            <w:tcW w:type="dxa" w:w="1872"/>
            <w:tcMar>
              <w:left w:type="dxa" w:w="80"/>
              <w:right w:type="dxa" w:w="80"/>
            </w:tcMar>
          </w:tcPr>
          <w:p>
            <w:pPr>
              <w:pStyle w:val="Compact"/>
            </w:pPr>
            <w:r>
              <w:rPr>
                <w:sz w:val="19"/>
                <w:szCs w:val="19"/>
                <w:lang w:val="nl-NL"/>
              </w:rPr>
              <w:t xml:space="preserve">Locatie</w:t>
            </w:r>
          </w:p>
        </w:tc>
        <w:tc>
          <w:tcPr>
            <w:tcW w:type="dxa" w:w="1872"/>
            <w:tcMar>
              <w:left w:type="dxa" w:w="80"/>
              <w:right w:type="dxa" w:w="80"/>
            </w:tcMar>
          </w:tcPr>
          <w:p>
            <w:pPr>
              <w:pStyle w:val="Compact"/>
            </w:pPr>
            <w:r>
              <w:rPr>
                <w:sz w:val="19"/>
                <w:szCs w:val="19"/>
                <w:lang w:val="nl-NL"/>
              </w:rPr>
              <w:t xml:space="preserve">Encryptie</w:t>
            </w:r>
          </w:p>
        </w:tc>
        <w:tc>
          <w:tcPr>
            <w:tcW w:type="dxa" w:w="1872"/>
            <w:tcMar>
              <w:left w:type="dxa" w:w="80"/>
              <w:right w:type="dxa" w:w="80"/>
            </w:tcMar>
          </w:tcPr>
          <w:p>
            <w:pPr>
              <w:pStyle w:val="Compact"/>
            </w:pPr>
            <w:r>
              <w:rPr>
                <w:sz w:val="19"/>
                <w:szCs w:val="19"/>
                <w:lang w:val="nl-NL"/>
              </w:rPr>
              <w:t xml:space="preserve">Duur in fase</w:t>
            </w:r>
          </w:p>
        </w:tc>
      </w:tr>
      <w:tr>
        <w:trPr>
          <w:cantSplit/>
        </w:trPr>
        <w:tc>
          <w:tcPr>
            <w:tcW w:type="dxa" w:w="1872"/>
            <w:tcMar>
              <w:left w:type="dxa" w:w="80"/>
              <w:right w:type="dxa" w:w="80"/>
            </w:tcMar>
          </w:tcPr>
          <w:p>
            <w:pPr>
              <w:pStyle w:val="Compact"/>
            </w:pPr>
            <w:r>
              <w:rPr>
                <w:sz w:val="19"/>
                <w:szCs w:val="19"/>
                <w:lang w:val="nl-NL"/>
              </w:rPr>
              <w:t xml:space="preserve">Generatie</w:t>
            </w:r>
          </w:p>
        </w:tc>
        <w:tc>
          <w:tcPr>
            <w:tcW w:type="dxa" w:w="1872"/>
            <w:tcMar>
              <w:left w:type="dxa" w:w="80"/>
              <w:right w:type="dxa" w:w="80"/>
            </w:tcMar>
          </w:tcPr>
          <w:p>
            <w:pPr>
              <w:pStyle w:val="Compact"/>
            </w:pPr>
            <w:r>
              <w:rPr>
                <w:sz w:val="19"/>
                <w:szCs w:val="19"/>
                <w:lang w:val="nl-NL"/>
              </w:rPr>
              <w:t xml:space="preserve">Transcriptiewerker (whisperX + pyannote)</w:t>
            </w:r>
          </w:p>
        </w:tc>
        <w:tc>
          <w:tcPr>
            <w:tcW w:type="dxa" w:w="1872"/>
            <w:tcMar>
              <w:left w:type="dxa" w:w="80"/>
              <w:right w:type="dxa" w:w="80"/>
            </w:tcMar>
          </w:tcPr>
          <w:p>
            <w:pPr>
              <w:pStyle w:val="Compact"/>
            </w:pPr>
            <w:r>
              <w:rPr>
                <w:sz w:val="19"/>
                <w:szCs w:val="19"/>
                <w:lang w:val="nl-NL"/>
              </w:rPr>
              <w:t xml:space="preserve">Toegewijde UE GPU (Opt. A) / Lokale GPU (Opt. B)</w:t>
            </w:r>
          </w:p>
        </w:tc>
        <w:tc>
          <w:tcPr>
            <w:tcW w:type="dxa" w:w="1872"/>
            <w:tcMar>
              <w:left w:type="dxa" w:w="80"/>
              <w:right w:type="dxa" w:w="80"/>
            </w:tcMar>
          </w:tcPr>
          <w:p>
            <w:pPr>
              <w:pStyle w:val="Compact"/>
            </w:pPr>
            <w:r>
              <w:rPr>
                <w:sz w:val="19"/>
                <w:szCs w:val="19"/>
                <w:lang w:val="nl-NL"/>
              </w:rPr>
              <w:t xml:space="preserve">TLS tussen componenten</w:t>
            </w:r>
          </w:p>
        </w:tc>
        <w:tc>
          <w:tcPr>
            <w:tcW w:type="dxa" w:w="1872"/>
            <w:tcMar>
              <w:left w:type="dxa" w:w="80"/>
              <w:right w:type="dxa" w:w="80"/>
            </w:tcMar>
          </w:tcPr>
          <w:p>
            <w:pPr>
              <w:pStyle w:val="Compact"/>
            </w:pPr>
            <w:r>
              <w:rPr>
                <w:sz w:val="19"/>
                <w:szCs w:val="19"/>
                <w:lang w:val="nl-NL"/>
              </w:rPr>
              <w:t xml:space="preserve">Taak tijd</w:t>
            </w:r>
          </w:p>
        </w:tc>
      </w:tr>
      <w:tr>
        <w:trPr>
          <w:cantSplit/>
        </w:trPr>
        <w:tc>
          <w:tcPr>
            <w:tcW w:type="dxa" w:w="1872"/>
            <w:tcMar>
              <w:left w:type="dxa" w:w="80"/>
              <w:right w:type="dxa" w:w="80"/>
            </w:tcMar>
          </w:tcPr>
          <w:p>
            <w:pPr>
              <w:pStyle w:val="Compact"/>
            </w:pPr>
            <w:r>
              <w:rPr>
                <w:sz w:val="19"/>
                <w:szCs w:val="19"/>
                <w:lang w:val="nl-NL"/>
              </w:rPr>
              <w:t xml:space="preserve">Keer terug</w:t>
            </w:r>
          </w:p>
        </w:tc>
        <w:tc>
          <w:tcPr>
            <w:tcW w:type="dxa" w:w="1872"/>
            <w:tcMar>
              <w:left w:type="dxa" w:w="80"/>
              <w:right w:type="dxa" w:w="80"/>
            </w:tcMar>
          </w:tcPr>
          <w:p>
            <w:pPr>
              <w:pStyle w:val="Compact"/>
            </w:pPr>
            <w:r>
              <w:rPr>
                <w:rStyle w:val="VerbatimChar"/>
                <w:sz w:val="19"/>
                <w:szCs w:val="19"/>
                <w:lang w:val="nl-NL"/>
              </w:rPr>
              <w:t xml:space="preserve">POST /complete</w:t>
            </w:r>
            <w:r>
              <w:rPr>
                <w:sz w:val="19"/>
                <w:szCs w:val="19"/>
                <w:lang w:val="nl-NL"/>
              </w:rPr>
              <w:t xml:space="preserve"> </w:t>
            </w:r>
            <w:r>
              <w:rPr>
                <w:sz w:val="19"/>
                <w:szCs w:val="19"/>
                <w:lang w:val="nl-NL"/>
              </w:rPr>
              <w:t xml:space="preserve">(JSON-segmenten) → applicatie</w:t>
            </w:r>
          </w:p>
        </w:tc>
        <w:tc>
          <w:tcPr>
            <w:tcW w:type="dxa" w:w="1872"/>
            <w:tcMar>
              <w:left w:type="dxa" w:w="80"/>
              <w:right w:type="dxa" w:w="80"/>
            </w:tcMar>
          </w:tcPr>
          <w:p>
            <w:pPr>
              <w:pStyle w:val="Compact"/>
            </w:pPr>
            <w:r>
              <w:rPr>
                <w:sz w:val="19"/>
                <w:szCs w:val="19"/>
                <w:lang w:val="nl-NL"/>
              </w:rPr>
              <w:t xml:space="preserve">Prod-server/client-infrastructuur</w:t>
            </w:r>
          </w:p>
        </w:tc>
        <w:tc>
          <w:tcPr>
            <w:tcW w:type="dxa" w:w="1872"/>
            <w:tcMar>
              <w:left w:type="dxa" w:w="80"/>
              <w:right w:type="dxa" w:w="80"/>
            </w:tcMar>
          </w:tcPr>
          <w:p>
            <w:pPr>
              <w:pStyle w:val="Compact"/>
            </w:pPr>
            <w:r>
              <w:rPr>
                <w:sz w:val="19"/>
                <w:szCs w:val="19"/>
                <w:lang w:val="nl-NL"/>
              </w:rPr>
              <w:t xml:space="preserve">TLS</w:t>
            </w:r>
          </w:p>
        </w:tc>
        <w:tc>
          <w:tcPr>
            <w:tcW w:type="dxa" w:w="1872"/>
            <w:tcMar>
              <w:left w:type="dxa" w:w="80"/>
              <w:right w:type="dxa" w:w="80"/>
            </w:tcMar>
          </w:tcPr>
          <w:p>
            <w:pPr>
              <w:pStyle w:val="Compact"/>
            </w:pPr>
            <w:r>
              <w:rPr>
                <w:sz w:val="19"/>
                <w:szCs w:val="19"/>
                <w:lang w:val="nl-NL"/>
              </w:rPr>
              <w:t xml:space="preserve">Van voorbijgaande aard</w:t>
            </w:r>
          </w:p>
        </w:tc>
      </w:tr>
      <w:tr>
        <w:trPr>
          <w:cantSplit/>
        </w:trPr>
        <w:tc>
          <w:tcPr>
            <w:tcW w:type="dxa" w:w="1872"/>
            <w:tcMar>
              <w:left w:type="dxa" w:w="80"/>
              <w:right w:type="dxa" w:w="80"/>
            </w:tcMar>
          </w:tcPr>
          <w:p>
            <w:pPr>
              <w:pStyle w:val="Compact"/>
            </w:pPr>
            <w:r>
              <w:rPr>
                <w:sz w:val="19"/>
                <w:szCs w:val="19"/>
                <w:lang w:val="nl-NL"/>
              </w:rPr>
              <w:t xml:space="preserve">Opslag</w:t>
            </w:r>
          </w:p>
        </w:tc>
        <w:tc>
          <w:tcPr>
            <w:tcW w:type="dxa" w:w="1872"/>
            <w:tcMar>
              <w:left w:type="dxa" w:w="80"/>
              <w:right w:type="dxa" w:w="80"/>
            </w:tcMar>
          </w:tcPr>
          <w:p>
            <w:pPr>
              <w:pStyle w:val="Compact"/>
            </w:pPr>
            <w:r>
              <w:rPr>
                <w:sz w:val="19"/>
                <w:szCs w:val="19"/>
                <w:lang w:val="nl-NL"/>
              </w:rPr>
              <w:t xml:space="preserve">PostgreSQL (schema speciaal voor de organisatie)</w:t>
            </w:r>
          </w:p>
        </w:tc>
        <w:tc>
          <w:tcPr>
            <w:tcW w:type="dxa" w:w="1872"/>
            <w:tcMar>
              <w:left w:type="dxa" w:w="80"/>
              <w:right w:type="dxa" w:w="80"/>
            </w:tcMar>
          </w:tcPr>
          <w:p>
            <w:pPr>
              <w:pStyle w:val="Compact"/>
            </w:pPr>
            <w:r>
              <w:rPr>
                <w:sz w:val="19"/>
                <w:szCs w:val="19"/>
                <w:lang w:val="nl-NL"/>
              </w:rPr>
              <w:t xml:space="preserve">Productieserver, Frankrijk</w:t>
            </w:r>
          </w:p>
        </w:tc>
        <w:tc>
          <w:tcPr>
            <w:tcW w:type="dxa" w:w="1872"/>
            <w:tcMar>
              <w:left w:type="dxa" w:w="80"/>
              <w:right w:type="dxa" w:w="80"/>
            </w:tcMar>
          </w:tcPr>
          <w:p>
            <w:pPr>
              <w:pStyle w:val="Compact"/>
            </w:pPr>
            <w:r>
              <w:rPr>
                <w:sz w:val="19"/>
                <w:szCs w:val="19"/>
                <w:lang w:val="nl-NL"/>
              </w:rPr>
              <w:t xml:space="preserve">In rust (zie §1)</w:t>
            </w:r>
          </w:p>
        </w:tc>
        <w:tc>
          <w:tcPr>
            <w:tcW w:type="dxa" w:w="1872"/>
            <w:tcMar>
              <w:left w:type="dxa" w:w="80"/>
              <w:right w:type="dxa" w:w="80"/>
            </w:tcMar>
          </w:tcPr>
          <w:p>
            <w:pPr>
              <w:pStyle w:val="Compact"/>
            </w:pPr>
            <w:r>
              <w:rPr>
                <w:sz w:val="19"/>
                <w:szCs w:val="19"/>
                <w:lang w:val="nl-NL"/>
              </w:rPr>
              <w:t xml:space="preserve">Stel duur/contractduur in</w:t>
            </w:r>
          </w:p>
        </w:tc>
      </w:tr>
      <w:tr>
        <w:trPr>
          <w:cantSplit/>
        </w:trPr>
        <w:tc>
          <w:tcPr>
            <w:tcW w:type="dxa" w:w="1872"/>
            <w:tcMar>
              <w:left w:type="dxa" w:w="80"/>
              <w:right w:type="dxa" w:w="80"/>
            </w:tcMar>
          </w:tcPr>
          <w:p>
            <w:pPr>
              <w:pStyle w:val="Compact"/>
            </w:pPr>
            <w:r>
              <w:rPr>
                <w:sz w:val="19"/>
                <w:szCs w:val="19"/>
                <w:lang w:val="nl-NL"/>
              </w:rPr>
              <w:t xml:space="preserve">Operatie</w:t>
            </w:r>
          </w:p>
        </w:tc>
        <w:tc>
          <w:tcPr>
            <w:tcW w:type="dxa" w:w="1872"/>
            <w:tcMar>
              <w:left w:type="dxa" w:w="80"/>
              <w:right w:type="dxa" w:w="80"/>
            </w:tcMar>
          </w:tcPr>
          <w:p>
            <w:pPr>
              <w:pStyle w:val="Compact"/>
            </w:pPr>
            <w:r>
              <w:rPr>
                <w:sz w:val="19"/>
                <w:szCs w:val="19"/>
                <w:lang w:val="nl-NL"/>
              </w:rPr>
              <w:t xml:space="preserve">Bewerken, corrigeren, versiebeheer door de gebruiker</w:t>
            </w:r>
          </w:p>
        </w:tc>
        <w:tc>
          <w:tcPr>
            <w:tcW w:type="dxa" w:w="1872"/>
            <w:tcMar>
              <w:left w:type="dxa" w:w="80"/>
              <w:right w:type="dxa" w:w="80"/>
            </w:tcMar>
          </w:tcPr>
          <w:p>
            <w:pPr>
              <w:pStyle w:val="Compact"/>
            </w:pPr>
            <w:r>
              <w:rPr>
                <w:sz w:val="19"/>
                <w:szCs w:val="19"/>
                <w:lang w:val="nl-NL"/>
              </w:rPr>
              <w:t xml:space="preserve">Prod-server/client-infrastructuur</w:t>
            </w:r>
          </w:p>
        </w:tc>
        <w:tc>
          <w:tcPr>
            <w:tcW w:type="dxa" w:w="1872"/>
            <w:tcMar>
              <w:left w:type="dxa" w:w="80"/>
              <w:right w:type="dxa" w:w="80"/>
            </w:tcMar>
          </w:tcPr>
          <w:p>
            <w:pPr>
              <w:pStyle w:val="Compact"/>
            </w:pPr>
            <w:r>
              <w:rPr>
                <w:sz w:val="19"/>
                <w:szCs w:val="19"/>
                <w:lang w:val="nl-NL"/>
              </w:rPr>
              <w:t xml:space="preserve">TLS</w:t>
            </w:r>
          </w:p>
        </w:tc>
        <w:tc>
          <w:tcPr>
            <w:tcW w:type="dxa" w:w="1872"/>
            <w:tcMar>
              <w:left w:type="dxa" w:w="80"/>
              <w:right w:type="dxa" w:w="80"/>
            </w:tcMar>
          </w:tcPr>
          <w:p>
            <w:pPr>
              <w:pStyle w:val="Compact"/>
            </w:pPr>
            <w:r>
              <w:rPr>
                <w:sz w:val="19"/>
                <w:szCs w:val="19"/>
                <w:lang w:val="nl-NL"/>
              </w:rPr>
              <w:t xml:space="preserve">Hetzelfde</w:t>
            </w:r>
          </w:p>
        </w:tc>
      </w:tr>
      <w:tr>
        <w:trPr>
          <w:cantSplit/>
        </w:trPr>
        <w:tc>
          <w:tcPr>
            <w:tcW w:type="dxa" w:w="1872"/>
            <w:tcMar>
              <w:left w:type="dxa" w:w="80"/>
              <w:right w:type="dxa" w:w="80"/>
            </w:tcMar>
          </w:tcPr>
          <w:p>
            <w:pPr>
              <w:pStyle w:val="Compact"/>
            </w:pPr>
            <w:r>
              <w:rPr>
                <w:sz w:val="19"/>
                <w:szCs w:val="19"/>
                <w:lang w:val="nl-NL"/>
              </w:rPr>
              <w:t xml:space="preserve">Back-up</w:t>
            </w:r>
          </w:p>
        </w:tc>
        <w:tc>
          <w:tcPr>
            <w:tcW w:type="dxa" w:w="1872"/>
            <w:tcMar>
              <w:left w:type="dxa" w:w="80"/>
              <w:right w:type="dxa" w:w="80"/>
            </w:tcMar>
          </w:tcPr>
          <w:p>
            <w:pPr>
              <w:pStyle w:val="Compact"/>
            </w:pPr>
            <w:r>
              <w:rPr>
                <w:sz w:val="19"/>
                <w:szCs w:val="19"/>
                <w:lang w:val="nl-NL"/>
              </w:rPr>
              <w:t xml:space="preserve">age → rclone</w:t>
            </w:r>
          </w:p>
        </w:tc>
        <w:tc>
          <w:tcPr>
            <w:tcW w:type="dxa" w:w="1872"/>
            <w:tcMar>
              <w:left w:type="dxa" w:w="80"/>
              <w:right w:type="dxa" w:w="80"/>
            </w:tcMar>
          </w:tcPr>
          <w:p>
            <w:pPr>
              <w:pStyle w:val="Compact"/>
            </w:pPr>
            <w:r>
              <w:rPr>
                <w:sz w:val="19"/>
                <w:szCs w:val="19"/>
                <w:lang w:val="nl-NL"/>
              </w:rPr>
              <w:t xml:space="preserve">Scaleway (Frankrijk, EU) (Opt. A)</w:t>
            </w:r>
          </w:p>
        </w:tc>
        <w:tc>
          <w:tcPr>
            <w:tcW w:type="dxa" w:w="1872"/>
            <w:tcMar>
              <w:left w:type="dxa" w:w="80"/>
              <w:right w:type="dxa" w:w="80"/>
            </w:tcMar>
          </w:tcPr>
          <w:p>
            <w:pPr>
              <w:pStyle w:val="Compact"/>
            </w:pPr>
            <w:r>
              <w:rPr>
                <w:sz w:val="19"/>
                <w:szCs w:val="19"/>
                <w:lang w:val="nl-NL"/>
              </w:rPr>
              <w:t xml:space="preserve">age</w:t>
            </w:r>
          </w:p>
        </w:tc>
        <w:tc>
          <w:tcPr>
            <w:tcW w:type="dxa" w:w="1872"/>
            <w:tcMar>
              <w:left w:type="dxa" w:w="80"/>
              <w:right w:type="dxa" w:w="80"/>
            </w:tcMar>
          </w:tcPr>
          <w:p>
            <w:pPr>
              <w:pStyle w:val="Compact"/>
            </w:pPr>
            <w:r>
              <w:rPr>
                <w:sz w:val="19"/>
                <w:szCs w:val="19"/>
                <w:lang w:val="nl-NL"/>
              </w:rPr>
              <w:t xml:space="preserve">≤ 90 j</w:t>
            </w:r>
          </w:p>
        </w:tc>
      </w:tr>
    </w:tbl>
    <w:bookmarkEnd w:id="63"/>
    <w:bookmarkStart w:id="64" w:name="Xae01f554397da6c2da74971edeb9ac8502cc0e8"/>
    <w:p>
      <w:pPr>
        <w:pStyle w:val="Heading3"/>
        <w:keepNext/>
        <w:keepLines/>
      </w:pPr>
      <w:r>
        <w:rPr>
          <w:color w:val="000000"/>
          <w:lang w:val="nl-NL"/>
        </w:rPr>
        <w:t xml:space="preserve">2.3 Samenvattingen en AI-generaties (notulen, hoofdstukken, analyses)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Stap</w:t>
            </w:r>
          </w:p>
        </w:tc>
        <w:tc>
          <w:tcPr>
            <w:tcW w:type="dxa" w:w="1872"/>
            <w:tcMar>
              <w:left w:type="dxa" w:w="80"/>
              <w:right w:type="dxa" w:w="80"/>
            </w:tcMar>
          </w:tcPr>
          <w:p>
            <w:pPr>
              <w:pStyle w:val="Compact"/>
            </w:pPr>
            <w:r>
              <w:rPr>
                <w:sz w:val="19"/>
                <w:szCs w:val="19"/>
                <w:lang w:val="nl-NL"/>
              </w:rPr>
              <w:t xml:space="preserve">Acteur/component</w:t>
            </w:r>
          </w:p>
        </w:tc>
        <w:tc>
          <w:tcPr>
            <w:tcW w:type="dxa" w:w="1872"/>
            <w:tcMar>
              <w:left w:type="dxa" w:w="80"/>
              <w:right w:type="dxa" w:w="80"/>
            </w:tcMar>
          </w:tcPr>
          <w:p>
            <w:pPr>
              <w:pStyle w:val="Compact"/>
            </w:pPr>
            <w:r>
              <w:rPr>
                <w:sz w:val="19"/>
                <w:szCs w:val="19"/>
                <w:lang w:val="nl-NL"/>
              </w:rPr>
              <w:t xml:space="preserve">Locatie</w:t>
            </w:r>
          </w:p>
        </w:tc>
        <w:tc>
          <w:tcPr>
            <w:tcW w:type="dxa" w:w="1872"/>
            <w:tcMar>
              <w:left w:type="dxa" w:w="80"/>
              <w:right w:type="dxa" w:w="80"/>
            </w:tcMar>
          </w:tcPr>
          <w:p>
            <w:pPr>
              <w:pStyle w:val="Compact"/>
            </w:pPr>
            <w:r>
              <w:rPr>
                <w:sz w:val="19"/>
                <w:szCs w:val="19"/>
                <w:lang w:val="nl-NL"/>
              </w:rPr>
              <w:t xml:space="preserve">Encryptie</w:t>
            </w:r>
          </w:p>
        </w:tc>
        <w:tc>
          <w:tcPr>
            <w:tcW w:type="dxa" w:w="1872"/>
            <w:tcMar>
              <w:left w:type="dxa" w:w="80"/>
              <w:right w:type="dxa" w:w="80"/>
            </w:tcMar>
          </w:tcPr>
          <w:p>
            <w:pPr>
              <w:pStyle w:val="Compact"/>
            </w:pPr>
            <w:r>
              <w:rPr>
                <w:sz w:val="19"/>
                <w:szCs w:val="19"/>
                <w:lang w:val="nl-NL"/>
              </w:rPr>
              <w:t xml:space="preserve">Duur in fase</w:t>
            </w:r>
          </w:p>
        </w:tc>
      </w:tr>
      <w:tr>
        <w:trPr>
          <w:cantSplit/>
        </w:trPr>
        <w:tc>
          <w:tcPr>
            <w:tcW w:type="dxa" w:w="1872"/>
            <w:tcMar>
              <w:left w:type="dxa" w:w="80"/>
              <w:right w:type="dxa" w:w="80"/>
            </w:tcMar>
          </w:tcPr>
          <w:p>
            <w:pPr>
              <w:pStyle w:val="Compact"/>
            </w:pPr>
            <w:r>
              <w:rPr>
                <w:sz w:val="19"/>
                <w:szCs w:val="19"/>
                <w:lang w:val="nl-NL"/>
              </w:rPr>
              <w:t xml:space="preserve">Triggeren</w:t>
            </w:r>
          </w:p>
        </w:tc>
        <w:tc>
          <w:tcPr>
            <w:tcW w:type="dxa" w:w="1872"/>
            <w:tcMar>
              <w:left w:type="dxa" w:w="80"/>
              <w:right w:type="dxa" w:w="80"/>
            </w:tcMar>
          </w:tcPr>
          <w:p>
            <w:pPr>
              <w:pStyle w:val="Compact"/>
            </w:pPr>
            <w:r>
              <w:rPr>
                <w:sz w:val="19"/>
                <w:szCs w:val="19"/>
                <w:lang w:val="nl-NL"/>
              </w:rPr>
              <w:t xml:space="preserve">Gebruiker selecteert bronnen</w:t>
            </w:r>
          </w:p>
        </w:tc>
        <w:tc>
          <w:tcPr>
            <w:tcW w:type="dxa" w:w="1872"/>
            <w:tcMar>
              <w:left w:type="dxa" w:w="80"/>
              <w:right w:type="dxa" w:w="80"/>
            </w:tcMar>
          </w:tcPr>
          <w:p>
            <w:pPr>
              <w:pStyle w:val="Compact"/>
            </w:pPr>
            <w:r>
              <w:rPr>
                <w:sz w:val="19"/>
                <w:szCs w:val="19"/>
                <w:lang w:val="nl-NL"/>
              </w:rPr>
              <w:t xml:space="preserve">Prod-server/client-infrastructuur</w:t>
            </w:r>
          </w:p>
        </w:tc>
        <w:tc>
          <w:tcPr>
            <w:tcW w:type="dxa" w:w="1872"/>
            <w:tcMar>
              <w:left w:type="dxa" w:w="80"/>
              <w:right w:type="dxa" w:w="80"/>
            </w:tcMar>
          </w:tcPr>
          <w:p>
            <w:pPr>
              <w:pStyle w:val="Compact"/>
            </w:pPr>
            <w:r>
              <w:rPr>
                <w:sz w:val="19"/>
                <w:szCs w:val="19"/>
                <w:lang w:val="nl-NL"/>
              </w:rPr>
              <w:t xml:space="preserve">TLS</w:t>
            </w:r>
          </w:p>
        </w:tc>
        <w:tc>
          <w:tcPr>
            <w:tcW w:type="dxa" w:w="1872"/>
            <w:tcMar>
              <w:left w:type="dxa" w:w="80"/>
              <w:right w:type="dxa" w:w="80"/>
            </w:tcMar>
          </w:tcPr>
          <w:p>
            <w:pPr>
              <w:pStyle w:val="Compact"/>
            </w:pPr>
            <w:r>
              <w:rPr>
                <w:sz w:val="19"/>
                <w:szCs w:val="19"/>
                <w:lang w:val="nl-NL"/>
              </w:rPr>
              <w:t xml:space="preserve">—</w:t>
            </w:r>
          </w:p>
        </w:tc>
      </w:tr>
      <w:tr>
        <w:trPr>
          <w:cantSplit/>
        </w:trPr>
        <w:tc>
          <w:tcPr>
            <w:tcW w:type="dxa" w:w="1872"/>
            <w:tcMar>
              <w:left w:type="dxa" w:w="80"/>
              <w:right w:type="dxa" w:w="80"/>
            </w:tcMar>
          </w:tcPr>
          <w:p>
            <w:pPr>
              <w:pStyle w:val="Compact"/>
            </w:pPr>
            <w:r>
              <w:rPr>
                <w:sz w:val="19"/>
                <w:szCs w:val="19"/>
                <w:lang w:val="nl-NL"/>
              </w:rPr>
              <w:t xml:space="preserve">Verzenden naar model</w:t>
            </w:r>
          </w:p>
        </w:tc>
        <w:tc>
          <w:tcPr>
            <w:tcW w:type="dxa" w:w="1872"/>
            <w:tcMar>
              <w:left w:type="dxa" w:w="80"/>
              <w:right w:type="dxa" w:w="80"/>
            </w:tcMar>
          </w:tcPr>
          <w:p>
            <w:pPr>
              <w:pStyle w:val="Compact"/>
            </w:pPr>
            <w:r>
              <w:rPr>
                <w:b/>
                <w:bCs/>
                <w:sz w:val="19"/>
                <w:szCs w:val="19"/>
                <w:lang w:val="nl-NL"/>
              </w:rPr>
              <w:t xml:space="preserve">Primaire route: beheerde vLLM-servers (EU); </w:t>
            </w:r>
            <w:r>
              <w:rPr>
                <w:sz w:val="19"/>
                <w:szCs w:val="19"/>
                <w:lang w:val="nl-NL"/>
              </w:rPr>
              <w:t xml:space="preserve"/>
            </w:r>
            <w:r>
              <w:rPr>
                <w:sz w:val="19"/>
                <w:szCs w:val="19"/>
                <w:lang w:val="nl-NL"/>
              </w:rPr>
              <w:t xml:space="preserve">uitschakelbare terugvalroute: OpenRouter → modelaanbieder; of zelfgehost LLM (optie B)</w:t>
            </w:r>
          </w:p>
        </w:tc>
        <w:tc>
          <w:tcPr>
            <w:tcW w:type="dxa" w:w="1872"/>
            <w:tcMar>
              <w:left w:type="dxa" w:w="80"/>
              <w:right w:type="dxa" w:w="80"/>
            </w:tcMar>
          </w:tcPr>
          <w:p>
            <w:pPr>
              <w:pStyle w:val="Compact"/>
            </w:pPr>
            <w:r>
              <w:rPr>
                <w:sz w:val="19"/>
                <w:szCs w:val="19"/>
                <w:lang w:val="nl-NL"/>
              </w:rPr>
              <w:t xml:space="preserve">EU (Straatsburg / Parijs) op de primaire route; VS </w:t>
            </w:r>
            <w:r>
              <w:rPr>
                <w:sz w:val="19"/>
                <w:szCs w:val="19"/>
                <w:lang w:val="nl-NL"/>
              </w:rPr>
              <w:t xml:space="preserve"/>
            </w:r>
            <w:r>
              <w:rPr>
                <w:b/>
                <w:bCs/>
                <w:sz w:val="19"/>
                <w:szCs w:val="19"/>
                <w:lang w:val="nl-NL"/>
              </w:rPr>
              <w:t xml:space="preserve">alleen </w:t>
            </w:r>
            <w:r>
              <w:rPr>
                <w:sz w:val="19"/>
                <w:szCs w:val="19"/>
                <w:lang w:val="nl-NL"/>
              </w:rPr>
              <w:t xml:space="preserve">mogelijk </w:t>
            </w:r>
            <w:r>
              <w:rPr>
                <w:sz w:val="19"/>
                <w:szCs w:val="19"/>
                <w:lang w:val="nl-NL"/>
              </w:rPr>
              <w:t xml:space="preserve">via OpenRouter-fallback</w:t>
            </w:r>
          </w:p>
        </w:tc>
        <w:tc>
          <w:tcPr>
            <w:tcW w:type="dxa" w:w="1872"/>
            <w:tcMar>
              <w:left w:type="dxa" w:w="80"/>
              <w:right w:type="dxa" w:w="80"/>
            </w:tcMar>
          </w:tcPr>
          <w:p>
            <w:pPr>
              <w:pStyle w:val="Compact"/>
            </w:pPr>
            <w:r>
              <w:rPr>
                <w:sz w:val="19"/>
                <w:szCs w:val="19"/>
                <w:lang w:val="nl-NL"/>
              </w:rPr>
              <w:t xml:space="preserve">TLS; no-train; minimalisering</w:t>
            </w:r>
          </w:p>
        </w:tc>
        <w:tc>
          <w:tcPr>
            <w:tcW w:type="dxa" w:w="1872"/>
            <w:tcMar>
              <w:left w:type="dxa" w:w="80"/>
              <w:right w:type="dxa" w:w="80"/>
            </w:tcMar>
          </w:tcPr>
          <w:p>
            <w:pPr>
              <w:pStyle w:val="Compact"/>
            </w:pPr>
            <w:r>
              <w:rPr>
                <w:sz w:val="19"/>
                <w:szCs w:val="19"/>
                <w:lang w:val="nl-NL"/>
              </w:rPr>
              <w:t xml:space="preserve">Het tijdstip van gevolgtrekking; geen duurzame opslag aan de leverancierskant</w:t>
            </w:r>
          </w:p>
        </w:tc>
      </w:tr>
      <w:tr>
        <w:trPr>
          <w:cantSplit/>
        </w:trPr>
        <w:tc>
          <w:tcPr>
            <w:tcW w:type="dxa" w:w="1872"/>
            <w:tcMar>
              <w:left w:type="dxa" w:w="80"/>
              <w:right w:type="dxa" w:w="80"/>
            </w:tcMar>
          </w:tcPr>
          <w:p>
            <w:pPr>
              <w:pStyle w:val="Compact"/>
            </w:pPr>
            <w:r>
              <w:rPr>
                <w:sz w:val="19"/>
                <w:szCs w:val="19"/>
                <w:lang w:val="nl-NL"/>
              </w:rPr>
              <w:t xml:space="preserve">Keer terug</w:t>
            </w:r>
          </w:p>
        </w:tc>
        <w:tc>
          <w:tcPr>
            <w:tcW w:type="dxa" w:w="1872"/>
            <w:tcMar>
              <w:left w:type="dxa" w:w="80"/>
              <w:right w:type="dxa" w:w="80"/>
            </w:tcMar>
          </w:tcPr>
          <w:p>
            <w:pPr>
              <w:pStyle w:val="Compact"/>
            </w:pPr>
            <w:r>
              <w:rPr>
                <w:sz w:val="19"/>
                <w:szCs w:val="19"/>
                <w:lang w:val="nl-NL"/>
              </w:rPr>
              <w:t xml:space="preserve">Gegenereerd antwoord → toepassing</w:t>
            </w:r>
          </w:p>
        </w:tc>
        <w:tc>
          <w:tcPr>
            <w:tcW w:type="dxa" w:w="1872"/>
            <w:tcMar>
              <w:left w:type="dxa" w:w="80"/>
              <w:right w:type="dxa" w:w="80"/>
            </w:tcMar>
          </w:tcPr>
          <w:p>
            <w:pPr>
              <w:pStyle w:val="Compact"/>
            </w:pPr>
            <w:r>
              <w:rPr>
                <w:sz w:val="19"/>
                <w:szCs w:val="19"/>
                <w:lang w:val="nl-NL"/>
              </w:rPr>
              <w:t xml:space="preserve">Prod-server/client-infrastructuur</w:t>
            </w:r>
          </w:p>
        </w:tc>
        <w:tc>
          <w:tcPr>
            <w:tcW w:type="dxa" w:w="1872"/>
            <w:tcMar>
              <w:left w:type="dxa" w:w="80"/>
              <w:right w:type="dxa" w:w="80"/>
            </w:tcMar>
          </w:tcPr>
          <w:p>
            <w:pPr>
              <w:pStyle w:val="Compact"/>
            </w:pPr>
            <w:r>
              <w:rPr>
                <w:sz w:val="19"/>
                <w:szCs w:val="19"/>
                <w:lang w:val="nl-NL"/>
              </w:rPr>
              <w:t xml:space="preserve">TLS</w:t>
            </w:r>
          </w:p>
        </w:tc>
        <w:tc>
          <w:tcPr>
            <w:tcW w:type="dxa" w:w="1872"/>
            <w:tcMar>
              <w:left w:type="dxa" w:w="80"/>
              <w:right w:type="dxa" w:w="80"/>
            </w:tcMar>
          </w:tcPr>
          <w:p>
            <w:pPr>
              <w:pStyle w:val="Compact"/>
            </w:pPr>
            <w:r>
              <w:rPr>
                <w:sz w:val="19"/>
                <w:szCs w:val="19"/>
                <w:lang w:val="nl-NL"/>
              </w:rPr>
              <w:t xml:space="preserve">Van voorbijgaande aard</w:t>
            </w:r>
          </w:p>
        </w:tc>
      </w:tr>
      <w:tr>
        <w:trPr>
          <w:cantSplit/>
        </w:trPr>
        <w:tc>
          <w:tcPr>
            <w:tcW w:type="dxa" w:w="1872"/>
            <w:tcMar>
              <w:left w:type="dxa" w:w="80"/>
              <w:right w:type="dxa" w:w="80"/>
            </w:tcMar>
          </w:tcPr>
          <w:p>
            <w:pPr>
              <w:pStyle w:val="Compact"/>
            </w:pPr>
            <w:r>
              <w:rPr>
                <w:sz w:val="19"/>
                <w:szCs w:val="19"/>
                <w:lang w:val="nl-NL"/>
              </w:rPr>
              <w:t xml:space="preserve">Opslag</w:t>
            </w:r>
          </w:p>
        </w:tc>
        <w:tc>
          <w:tcPr>
            <w:tcW w:type="dxa" w:w="1872"/>
            <w:tcMar>
              <w:left w:type="dxa" w:w="80"/>
              <w:right w:type="dxa" w:w="80"/>
            </w:tcMar>
          </w:tcPr>
          <w:p>
            <w:pPr>
              <w:pStyle w:val="Compact"/>
            </w:pPr>
            <w:r>
              <w:rPr>
                <w:sz w:val="19"/>
                <w:szCs w:val="19"/>
                <w:lang w:val="nl-NL"/>
              </w:rPr>
              <w:t xml:space="preserve"/>
            </w:r>
            <w:r>
              <w:rPr>
                <w:sz w:val="19"/>
                <w:szCs w:val="19"/>
                <w:lang w:val="nl-NL"/>
              </w:rPr>
              <w:t xml:space="preserve"/>
            </w:r>
            <w:r>
              <w:rPr>
                <w:rStyle w:val="VerbatimChar"/>
                <w:sz w:val="19"/>
                <w:szCs w:val="19"/>
                <w:lang w:val="nl-NL"/>
              </w:rPr>
              <w:t xml:space="preserve">ai_generations</w:t>
            </w:r>
            <w:r>
              <w:rPr>
                <w:sz w:val="19"/>
                <w:szCs w:val="19"/>
                <w:lang w:val="nl-NL"/>
              </w:rPr>
              <w:t xml:space="preserve"> </w:t>
            </w:r>
            <w:r>
              <w:rPr>
                <w:sz w:val="19"/>
                <w:szCs w:val="19"/>
                <w:lang w:val="nl-NL"/>
              </w:rPr>
              <w:t xml:space="preserve">tabel (tenant)</w:t>
            </w:r>
          </w:p>
        </w:tc>
        <w:tc>
          <w:tcPr>
            <w:tcW w:type="dxa" w:w="1872"/>
            <w:tcMar>
              <w:left w:type="dxa" w:w="80"/>
              <w:right w:type="dxa" w:w="80"/>
            </w:tcMar>
          </w:tcPr>
          <w:p>
            <w:pPr>
              <w:pStyle w:val="Compact"/>
            </w:pPr>
            <w:r>
              <w:rPr>
                <w:sz w:val="19"/>
                <w:szCs w:val="19"/>
                <w:lang w:val="nl-NL"/>
              </w:rPr>
              <w:t xml:space="preserve">PostgreSQL, productieserver Frankrijk</w:t>
            </w:r>
          </w:p>
        </w:tc>
        <w:tc>
          <w:tcPr>
            <w:tcW w:type="dxa" w:w="1872"/>
            <w:tcMar>
              <w:left w:type="dxa" w:w="80"/>
              <w:right w:type="dxa" w:w="80"/>
            </w:tcMar>
          </w:tcPr>
          <w:p>
            <w:pPr>
              <w:pStyle w:val="Compact"/>
            </w:pPr>
            <w:r>
              <w:rPr>
                <w:sz w:val="19"/>
                <w:szCs w:val="19"/>
                <w:lang w:val="nl-NL"/>
              </w:rPr>
              <w:t xml:space="preserve">In rust (zie §1)</w:t>
            </w:r>
          </w:p>
        </w:tc>
        <w:tc>
          <w:tcPr>
            <w:tcW w:type="dxa" w:w="1872"/>
            <w:tcMar>
              <w:left w:type="dxa" w:w="80"/>
              <w:right w:type="dxa" w:w="80"/>
            </w:tcMar>
          </w:tcPr>
          <w:p>
            <w:pPr>
              <w:pStyle w:val="Compact"/>
            </w:pPr>
            <w:r>
              <w:rPr>
                <w:sz w:val="19"/>
                <w:szCs w:val="19"/>
                <w:lang w:val="nl-NL"/>
              </w:rPr>
              <w:t xml:space="preserve">Stel duur/contractduur in</w:t>
            </w:r>
          </w:p>
        </w:tc>
      </w:tr>
      <w:tr>
        <w:trPr>
          <w:cantSplit/>
        </w:trPr>
        <w:tc>
          <w:tcPr>
            <w:tcW w:type="dxa" w:w="1872"/>
            <w:tcMar>
              <w:left w:type="dxa" w:w="80"/>
              <w:right w:type="dxa" w:w="80"/>
            </w:tcMar>
          </w:tcPr>
          <w:p>
            <w:pPr>
              <w:pStyle w:val="Compact"/>
            </w:pPr>
            <w:r>
              <w:rPr>
                <w:sz w:val="19"/>
                <w:szCs w:val="19"/>
                <w:lang w:val="nl-NL"/>
              </w:rPr>
              <w:t xml:space="preserve">Back-up</w:t>
            </w:r>
          </w:p>
        </w:tc>
        <w:tc>
          <w:tcPr>
            <w:tcW w:type="dxa" w:w="1872"/>
            <w:tcMar>
              <w:left w:type="dxa" w:w="80"/>
              <w:right w:type="dxa" w:w="80"/>
            </w:tcMar>
          </w:tcPr>
          <w:p>
            <w:pPr>
              <w:pStyle w:val="Compact"/>
            </w:pPr>
            <w:r>
              <w:rPr>
                <w:sz w:val="19"/>
                <w:szCs w:val="19"/>
                <w:lang w:val="nl-NL"/>
              </w:rPr>
              <w:t xml:space="preserve">age → rclone</w:t>
            </w:r>
          </w:p>
        </w:tc>
        <w:tc>
          <w:tcPr>
            <w:tcW w:type="dxa" w:w="1872"/>
            <w:tcMar>
              <w:left w:type="dxa" w:w="80"/>
              <w:right w:type="dxa" w:w="80"/>
            </w:tcMar>
          </w:tcPr>
          <w:p>
            <w:pPr>
              <w:pStyle w:val="Compact"/>
            </w:pPr>
            <w:r>
              <w:rPr>
                <w:sz w:val="19"/>
                <w:szCs w:val="19"/>
                <w:lang w:val="nl-NL"/>
              </w:rPr>
              <w:t xml:space="preserve">Scaleway (Frankrijk, EU)</w:t>
            </w:r>
          </w:p>
        </w:tc>
        <w:tc>
          <w:tcPr>
            <w:tcW w:type="dxa" w:w="1872"/>
            <w:tcMar>
              <w:left w:type="dxa" w:w="80"/>
              <w:right w:type="dxa" w:w="80"/>
            </w:tcMar>
          </w:tcPr>
          <w:p>
            <w:pPr>
              <w:pStyle w:val="Compact"/>
            </w:pPr>
            <w:r>
              <w:rPr>
                <w:sz w:val="19"/>
                <w:szCs w:val="19"/>
                <w:lang w:val="nl-NL"/>
              </w:rPr>
              <w:t xml:space="preserve">age</w:t>
            </w:r>
          </w:p>
        </w:tc>
        <w:tc>
          <w:tcPr>
            <w:tcW w:type="dxa" w:w="1872"/>
            <w:tcMar>
              <w:left w:type="dxa" w:w="80"/>
              <w:right w:type="dxa" w:w="80"/>
            </w:tcMar>
          </w:tcPr>
          <w:p>
            <w:pPr>
              <w:pStyle w:val="Compact"/>
            </w:pPr>
            <w:r>
              <w:rPr>
                <w:sz w:val="19"/>
                <w:szCs w:val="19"/>
                <w:lang w:val="nl-NL"/>
              </w:rPr>
              <w:t xml:space="preserve">≤ 90 j</w:t>
            </w:r>
          </w:p>
        </w:tc>
      </w:tr>
    </w:tbl>
    <w:bookmarkEnd w:id="64"/>
    <w:bookmarkStart w:id="65" w:name="Xf33d00c3bf24ebe4aaf41272309e8f487b00b12"/>
    <w:p>
      <w:pPr>
        <w:pStyle w:val="Heading3"/>
        <w:keepNext/>
        <w:keepLines/>
      </w:pPr>
      <w:r>
        <w:rPr>
          <w:color w:val="000000"/>
          <w:lang w:val="nl-NL"/>
        </w:rPr>
        <w:t xml:space="preserve">2.4 Modelprompts en -uitvoer</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Stap</w:t>
            </w:r>
          </w:p>
        </w:tc>
        <w:tc>
          <w:tcPr>
            <w:tcW w:type="dxa" w:w="1872"/>
            <w:tcMar>
              <w:left w:type="dxa" w:w="80"/>
              <w:right w:type="dxa" w:w="80"/>
            </w:tcMar>
          </w:tcPr>
          <w:p>
            <w:pPr>
              <w:pStyle w:val="Compact"/>
            </w:pPr>
            <w:r>
              <w:rPr>
                <w:sz w:val="19"/>
                <w:szCs w:val="19"/>
                <w:lang w:val="nl-NL"/>
              </w:rPr>
              <w:t xml:space="preserve">Acteur/component</w:t>
            </w:r>
          </w:p>
        </w:tc>
        <w:tc>
          <w:tcPr>
            <w:tcW w:type="dxa" w:w="1872"/>
            <w:tcMar>
              <w:left w:type="dxa" w:w="80"/>
              <w:right w:type="dxa" w:w="80"/>
            </w:tcMar>
          </w:tcPr>
          <w:p>
            <w:pPr>
              <w:pStyle w:val="Compact"/>
            </w:pPr>
            <w:r>
              <w:rPr>
                <w:sz w:val="19"/>
                <w:szCs w:val="19"/>
                <w:lang w:val="nl-NL"/>
              </w:rPr>
              <w:t xml:space="preserve">Locatie</w:t>
            </w:r>
          </w:p>
        </w:tc>
        <w:tc>
          <w:tcPr>
            <w:tcW w:type="dxa" w:w="1872"/>
            <w:tcMar>
              <w:left w:type="dxa" w:w="80"/>
              <w:right w:type="dxa" w:w="80"/>
            </w:tcMar>
          </w:tcPr>
          <w:p>
            <w:pPr>
              <w:pStyle w:val="Compact"/>
            </w:pPr>
            <w:r>
              <w:rPr>
                <w:sz w:val="19"/>
                <w:szCs w:val="19"/>
                <w:lang w:val="nl-NL"/>
              </w:rPr>
              <w:t xml:space="preserve">Encryptie</w:t>
            </w:r>
          </w:p>
        </w:tc>
        <w:tc>
          <w:tcPr>
            <w:tcW w:type="dxa" w:w="1872"/>
            <w:tcMar>
              <w:left w:type="dxa" w:w="80"/>
              <w:right w:type="dxa" w:w="80"/>
            </w:tcMar>
          </w:tcPr>
          <w:p>
            <w:pPr>
              <w:pStyle w:val="Compact"/>
            </w:pPr>
            <w:r>
              <w:rPr>
                <w:sz w:val="19"/>
                <w:szCs w:val="19"/>
                <w:lang w:val="nl-NL"/>
              </w:rPr>
              <w:t xml:space="preserve">Duur in fase</w:t>
            </w:r>
          </w:p>
        </w:tc>
      </w:tr>
      <w:tr>
        <w:trPr>
          <w:cantSplit/>
        </w:trPr>
        <w:tc>
          <w:tcPr>
            <w:tcW w:type="dxa" w:w="1872"/>
            <w:tcMar>
              <w:left w:type="dxa" w:w="80"/>
              <w:right w:type="dxa" w:w="80"/>
            </w:tcMar>
          </w:tcPr>
          <w:p>
            <w:pPr>
              <w:pStyle w:val="Compact"/>
            </w:pPr>
            <w:r>
              <w:rPr>
                <w:sz w:val="19"/>
                <w:szCs w:val="19"/>
                <w:lang w:val="nl-NL"/>
              </w:rPr>
              <w:t xml:space="preserve">Samenstelling van de prompt</w:t>
            </w:r>
          </w:p>
        </w:tc>
        <w:tc>
          <w:tcPr>
            <w:tcW w:type="dxa" w:w="1872"/>
            <w:tcMar>
              <w:left w:type="dxa" w:w="80"/>
              <w:right w:type="dxa" w:w="80"/>
            </w:tcMar>
          </w:tcPr>
          <w:p>
            <w:pPr>
              <w:pStyle w:val="Compact"/>
            </w:pPr>
            <w:r>
              <w:rPr>
                <w:sz w:val="19"/>
                <w:szCs w:val="19"/>
                <w:lang w:val="nl-NL"/>
              </w:rPr>
              <w:t xml:space="preserve">Toepassing (door gebruiker geselecteerde bronnen, minimalisatie)</w:t>
            </w:r>
          </w:p>
        </w:tc>
        <w:tc>
          <w:tcPr>
            <w:tcW w:type="dxa" w:w="1872"/>
            <w:tcMar>
              <w:left w:type="dxa" w:w="80"/>
              <w:right w:type="dxa" w:w="80"/>
            </w:tcMar>
          </w:tcPr>
          <w:p>
            <w:pPr>
              <w:pStyle w:val="Compact"/>
            </w:pPr>
            <w:r>
              <w:rPr>
                <w:sz w:val="19"/>
                <w:szCs w:val="19"/>
                <w:lang w:val="nl-NL"/>
              </w:rPr>
              <w:t xml:space="preserve">Prod-server/client-infrastructuur</w:t>
            </w:r>
          </w:p>
        </w:tc>
        <w:tc>
          <w:tcPr>
            <w:tcW w:type="dxa" w:w="1872"/>
            <w:tcMar>
              <w:left w:type="dxa" w:w="80"/>
              <w:right w:type="dxa" w:w="80"/>
            </w:tcMar>
          </w:tcPr>
          <w:p>
            <w:pPr>
              <w:pStyle w:val="Compact"/>
            </w:pPr>
            <w:r>
              <w:rPr>
                <w:sz w:val="19"/>
                <w:szCs w:val="19"/>
                <w:lang w:val="nl-NL"/>
              </w:rPr>
              <w:t xml:space="preserve">TLS</w:t>
            </w:r>
          </w:p>
        </w:tc>
        <w:tc>
          <w:tcPr>
            <w:tcW w:type="dxa" w:w="1872"/>
            <w:tcMar>
              <w:left w:type="dxa" w:w="80"/>
              <w:right w:type="dxa" w:w="80"/>
            </w:tcMar>
          </w:tcPr>
          <w:p>
            <w:pPr>
              <w:pStyle w:val="Compact"/>
            </w:pPr>
            <w:r>
              <w:rPr>
                <w:sz w:val="19"/>
                <w:szCs w:val="19"/>
                <w:lang w:val="nl-NL"/>
              </w:rPr>
              <w:t xml:space="preserve">Van voorbijgaande aard</w:t>
            </w:r>
          </w:p>
        </w:tc>
      </w:tr>
      <w:tr>
        <w:trPr>
          <w:cantSplit/>
        </w:trPr>
        <w:tc>
          <w:tcPr>
            <w:tcW w:type="dxa" w:w="1872"/>
            <w:tcMar>
              <w:left w:type="dxa" w:w="80"/>
              <w:right w:type="dxa" w:w="80"/>
            </w:tcMar>
          </w:tcPr>
          <w:p>
            <w:pPr>
              <w:pStyle w:val="Compact"/>
            </w:pPr>
            <w:r>
              <w:rPr>
                <w:sz w:val="19"/>
                <w:szCs w:val="19"/>
                <w:lang w:val="nl-NL"/>
              </w:rPr>
              <w:t xml:space="preserve">Transmissie</w:t>
            </w:r>
          </w:p>
        </w:tc>
        <w:tc>
          <w:tcPr>
            <w:tcW w:type="dxa" w:w="1872"/>
            <w:tcMar>
              <w:left w:type="dxa" w:w="80"/>
              <w:right w:type="dxa" w:w="80"/>
            </w:tcMar>
          </w:tcPr>
          <w:p>
            <w:pPr>
              <w:pStyle w:val="Compact"/>
            </w:pPr>
            <w:r>
              <w:rPr>
                <w:b/>
                <w:bCs/>
                <w:sz w:val="19"/>
                <w:szCs w:val="19"/>
                <w:lang w:val="nl-NL"/>
              </w:rPr>
              <w:t xml:space="preserve">Primair kanaal: EU vLLM-servers (gecontroleerd); </w:t>
            </w:r>
            <w:r>
              <w:rPr>
                <w:sz w:val="19"/>
                <w:szCs w:val="19"/>
                <w:lang w:val="nl-NL"/>
              </w:rPr>
              <w:t xml:space="preserve"/>
            </w:r>
            <w:r>
              <w:rPr>
                <w:sz w:val="19"/>
                <w:szCs w:val="19"/>
                <w:lang w:val="nl-NL"/>
              </w:rPr>
              <w:t xml:space="preserve">deactiveerbare fallback: OpenRouter → provider; of lokaal eindpunt (Opt. B)</w:t>
            </w:r>
          </w:p>
        </w:tc>
        <w:tc>
          <w:tcPr>
            <w:tcW w:type="dxa" w:w="1872"/>
            <w:tcMar>
              <w:left w:type="dxa" w:w="80"/>
              <w:right w:type="dxa" w:w="80"/>
            </w:tcMar>
          </w:tcPr>
          <w:p>
            <w:pPr>
              <w:pStyle w:val="Compact"/>
            </w:pPr>
            <w:r>
              <w:rPr>
                <w:sz w:val="19"/>
                <w:szCs w:val="19"/>
                <w:lang w:val="nl-NL"/>
              </w:rPr>
              <w:t xml:space="preserve">EU op de primaire route; VS </w:t>
            </w:r>
            <w:r>
              <w:rPr>
                <w:sz w:val="19"/>
                <w:szCs w:val="19"/>
                <w:lang w:val="nl-NL"/>
              </w:rPr>
              <w:t xml:space="preserve"/>
            </w:r>
            <w:r>
              <w:rPr>
                <w:b/>
                <w:bCs/>
                <w:sz w:val="19"/>
                <w:szCs w:val="19"/>
                <w:lang w:val="nl-NL"/>
              </w:rPr>
              <w:t xml:space="preserve">alleen mogelijk </w:t>
            </w:r>
            <w:r>
              <w:rPr>
                <w:sz w:val="19"/>
                <w:szCs w:val="19"/>
                <w:lang w:val="nl-NL"/>
              </w:rPr>
              <w:t xml:space="preserve"/>
            </w:r>
            <w:r>
              <w:rPr>
                <w:sz w:val="19"/>
                <w:szCs w:val="19"/>
                <w:lang w:val="nl-NL"/>
              </w:rPr>
              <w:t xml:space="preserve">via fallback</w:t>
            </w:r>
          </w:p>
        </w:tc>
        <w:tc>
          <w:tcPr>
            <w:tcW w:type="dxa" w:w="1872"/>
            <w:tcMar>
              <w:left w:type="dxa" w:w="80"/>
              <w:right w:type="dxa" w:w="80"/>
            </w:tcMar>
          </w:tcPr>
          <w:p>
            <w:pPr>
              <w:pStyle w:val="Compact"/>
            </w:pPr>
            <w:r>
              <w:rPr>
                <w:sz w:val="19"/>
                <w:szCs w:val="19"/>
                <w:lang w:val="nl-NL"/>
              </w:rPr>
              <w:t xml:space="preserve">TLS; no-train</w:t>
            </w:r>
          </w:p>
        </w:tc>
        <w:tc>
          <w:tcPr>
            <w:tcW w:type="dxa" w:w="1872"/>
            <w:tcMar>
              <w:left w:type="dxa" w:w="80"/>
              <w:right w:type="dxa" w:w="80"/>
            </w:tcMar>
          </w:tcPr>
          <w:p>
            <w:pPr>
              <w:pStyle w:val="Compact"/>
            </w:pPr>
            <w:r>
              <w:rPr>
                <w:sz w:val="19"/>
                <w:szCs w:val="19"/>
                <w:lang w:val="nl-NL"/>
              </w:rPr>
              <w:t xml:space="preserve">Tijd voor gevolgtrekking</w:t>
            </w:r>
          </w:p>
        </w:tc>
      </w:tr>
      <w:tr>
        <w:trPr>
          <w:cantSplit/>
        </w:trPr>
        <w:tc>
          <w:tcPr>
            <w:tcW w:type="dxa" w:w="1872"/>
            <w:tcMar>
              <w:left w:type="dxa" w:w="80"/>
              <w:right w:type="dxa" w:w="80"/>
            </w:tcMar>
          </w:tcPr>
          <w:p>
            <w:pPr>
              <w:pStyle w:val="Compact"/>
            </w:pPr>
            <w:r>
              <w:rPr>
                <w:sz w:val="19"/>
                <w:szCs w:val="19"/>
                <w:lang w:val="nl-NL"/>
              </w:rPr>
              <w:t xml:space="preserve">Afsluiten</w:t>
            </w:r>
          </w:p>
        </w:tc>
        <w:tc>
          <w:tcPr>
            <w:tcW w:type="dxa" w:w="1872"/>
            <w:tcMar>
              <w:left w:type="dxa" w:w="80"/>
              <w:right w:type="dxa" w:w="80"/>
            </w:tcMar>
          </w:tcPr>
          <w:p>
            <w:pPr>
              <w:pStyle w:val="Compact"/>
            </w:pPr>
            <w:r>
              <w:rPr>
                <w:sz w:val="19"/>
                <w:szCs w:val="19"/>
                <w:lang w:val="nl-NL"/>
              </w:rPr>
              <w:t xml:space="preserve">Bewaard in de tenant (bewerkbaar, gevalideerd door een mens)</w:t>
            </w:r>
          </w:p>
        </w:tc>
        <w:tc>
          <w:tcPr>
            <w:tcW w:type="dxa" w:w="1872"/>
            <w:tcMar>
              <w:left w:type="dxa" w:w="80"/>
              <w:right w:type="dxa" w:w="80"/>
            </w:tcMar>
          </w:tcPr>
          <w:p>
            <w:pPr>
              <w:pStyle w:val="Compact"/>
            </w:pPr>
            <w:r>
              <w:rPr>
                <w:sz w:val="19"/>
                <w:szCs w:val="19"/>
                <w:lang w:val="nl-NL"/>
              </w:rPr>
              <w:t xml:space="preserve">PostgreSQL (tenant)</w:t>
            </w:r>
          </w:p>
        </w:tc>
        <w:tc>
          <w:tcPr>
            <w:tcW w:type="dxa" w:w="1872"/>
            <w:tcMar>
              <w:left w:type="dxa" w:w="80"/>
              <w:right w:type="dxa" w:w="80"/>
            </w:tcMar>
          </w:tcPr>
          <w:p>
            <w:pPr>
              <w:pStyle w:val="Compact"/>
            </w:pPr>
            <w:r>
              <w:rPr>
                <w:sz w:val="19"/>
                <w:szCs w:val="19"/>
                <w:lang w:val="nl-NL"/>
              </w:rPr>
              <w:t xml:space="preserve">In rust (zie §1)</w:t>
            </w:r>
          </w:p>
        </w:tc>
        <w:tc>
          <w:tcPr>
            <w:tcW w:type="dxa" w:w="1872"/>
            <w:tcMar>
              <w:left w:type="dxa" w:w="80"/>
              <w:right w:type="dxa" w:w="80"/>
            </w:tcMar>
          </w:tcPr>
          <w:p>
            <w:pPr>
              <w:pStyle w:val="Compact"/>
            </w:pPr>
            <w:r>
              <w:rPr>
                <w:sz w:val="19"/>
                <w:szCs w:val="19"/>
                <w:lang w:val="nl-NL"/>
              </w:rPr>
              <w:t xml:space="preserve">Stel duur/contractduur in</w:t>
            </w:r>
          </w:p>
        </w:tc>
      </w:tr>
      <w:tr>
        <w:trPr>
          <w:cantSplit/>
        </w:trPr>
        <w:tc>
          <w:tcPr>
            <w:tcW w:type="dxa" w:w="1872"/>
            <w:tcMar>
              <w:left w:type="dxa" w:w="80"/>
              <w:right w:type="dxa" w:w="80"/>
            </w:tcMar>
          </w:tcPr>
          <w:p>
            <w:pPr>
              <w:pStyle w:val="Compact"/>
            </w:pPr>
            <w:r>
              <w:rPr>
                <w:sz w:val="19"/>
                <w:szCs w:val="19"/>
                <w:lang w:val="nl-NL"/>
              </w:rPr>
              <w:t xml:space="preserve">Leverancierskant</w:t>
            </w:r>
          </w:p>
        </w:tc>
        <w:tc>
          <w:tcPr>
            <w:tcW w:type="dxa" w:w="1872"/>
            <w:tcMar>
              <w:left w:type="dxa" w:w="80"/>
              <w:right w:type="dxa" w:w="80"/>
            </w:tcMar>
          </w:tcPr>
          <w:p>
            <w:pPr>
              <w:pStyle w:val="Compact"/>
            </w:pPr>
            <w:r>
              <w:rPr>
                <w:sz w:val="19"/>
                <w:szCs w:val="19"/>
                <w:lang w:val="nl-NL"/>
              </w:rPr>
              <w:t xml:space="preserve">Primaire route: geen derde partij; back-up: geen duurzame opslag, geen training</w:t>
            </w:r>
          </w:p>
        </w:tc>
        <w:tc>
          <w:tcPr>
            <w:tcW w:type="dxa" w:w="1872"/>
            <w:tcMar>
              <w:left w:type="dxa" w:w="80"/>
              <w:right w:type="dxa" w:w="80"/>
            </w:tcMar>
          </w:tcPr>
          <w:p>
            <w:pPr>
              <w:pStyle w:val="Compact"/>
            </w:pPr>
            <w:r>
              <w:rPr>
                <w:sz w:val="19"/>
                <w:szCs w:val="19"/>
                <w:lang w:val="nl-NL"/>
              </w:rPr>
              <w:t xml:space="preserve">EU (primaire route); VS/EU afhankelijk van model (redding)</w:t>
            </w:r>
          </w:p>
        </w:tc>
        <w:tc>
          <w:tcPr>
            <w:tcW w:type="dxa" w:w="1872"/>
            <w:tcMar>
              <w:left w:type="dxa" w:w="80"/>
              <w:right w:type="dxa" w:w="80"/>
            </w:tcMar>
          </w:tcPr>
          <w:p>
            <w:pPr>
              <w:pStyle w:val="Compact"/>
            </w:pPr>
            <w:r>
              <w:rPr>
                <w:sz w:val="19"/>
                <w:szCs w:val="19"/>
                <w:lang w:val="nl-NL"/>
              </w:rPr>
              <w:t xml:space="preserve">Volgens leverancier DPA (redding)</w:t>
            </w:r>
          </w:p>
        </w:tc>
        <w:tc>
          <w:tcPr>
            <w:tcW w:type="dxa" w:w="1872"/>
            <w:tcMar>
              <w:left w:type="dxa" w:w="80"/>
              <w:right w:type="dxa" w:w="80"/>
            </w:tcMar>
          </w:tcPr>
          <w:p>
            <w:pPr>
              <w:pStyle w:val="Compact"/>
            </w:pPr>
            <w:r>
              <w:rPr>
                <w:sz w:val="19"/>
                <w:szCs w:val="19"/>
                <w:lang w:val="nl-NL"/>
              </w:rPr>
              <w:t xml:space="preserve">[IN TE VULLEN: exacte retentie door leverancier]</w:t>
            </w:r>
          </w:p>
        </w:tc>
      </w:tr>
    </w:tbl>
    <w:bookmarkEnd w:id="65"/>
    <w:bookmarkStart w:id="66" w:name="X11292ab5bd72f4d399359c76ca524b5506db9c0"/>
    <w:p>
      <w:pPr>
        <w:pStyle w:val="Heading3"/>
        <w:keepNext/>
        <w:keepLines/>
      </w:pPr>
      <w:r>
        <w:rPr>
          <w:color w:val="000000"/>
          <w:lang w:val="nl-NL"/>
        </w:rPr>
        <w:t xml:space="preserve">2.5 Tijdelijke gegevens (steminbedding in RAM, tijdelijke verwerkingsbestanden)</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Stap</w:t>
            </w:r>
          </w:p>
        </w:tc>
        <w:tc>
          <w:tcPr>
            <w:tcW w:type="dxa" w:w="1872"/>
            <w:tcMar>
              <w:left w:type="dxa" w:w="80"/>
              <w:right w:type="dxa" w:w="80"/>
            </w:tcMar>
          </w:tcPr>
          <w:p>
            <w:pPr>
              <w:pStyle w:val="Compact"/>
            </w:pPr>
            <w:r>
              <w:rPr>
                <w:sz w:val="19"/>
                <w:szCs w:val="19"/>
                <w:lang w:val="nl-NL"/>
              </w:rPr>
              <w:t xml:space="preserve">Acteur/component</w:t>
            </w:r>
          </w:p>
        </w:tc>
        <w:tc>
          <w:tcPr>
            <w:tcW w:type="dxa" w:w="1872"/>
            <w:tcMar>
              <w:left w:type="dxa" w:w="80"/>
              <w:right w:type="dxa" w:w="80"/>
            </w:tcMar>
          </w:tcPr>
          <w:p>
            <w:pPr>
              <w:pStyle w:val="Compact"/>
            </w:pPr>
            <w:r>
              <w:rPr>
                <w:sz w:val="19"/>
                <w:szCs w:val="19"/>
                <w:lang w:val="nl-NL"/>
              </w:rPr>
              <w:t xml:space="preserve">Locatie</w:t>
            </w:r>
          </w:p>
        </w:tc>
        <w:tc>
          <w:tcPr>
            <w:tcW w:type="dxa" w:w="1872"/>
            <w:tcMar>
              <w:left w:type="dxa" w:w="80"/>
              <w:right w:type="dxa" w:w="80"/>
            </w:tcMar>
          </w:tcPr>
          <w:p>
            <w:pPr>
              <w:pStyle w:val="Compact"/>
            </w:pPr>
            <w:r>
              <w:rPr>
                <w:sz w:val="19"/>
                <w:szCs w:val="19"/>
                <w:lang w:val="nl-NL"/>
              </w:rPr>
              <w:t xml:space="preserve">Encryptie</w:t>
            </w:r>
          </w:p>
        </w:tc>
        <w:tc>
          <w:tcPr>
            <w:tcW w:type="dxa" w:w="1872"/>
            <w:tcMar>
              <w:left w:type="dxa" w:w="80"/>
              <w:right w:type="dxa" w:w="80"/>
            </w:tcMar>
          </w:tcPr>
          <w:p>
            <w:pPr>
              <w:pStyle w:val="Compact"/>
            </w:pPr>
            <w:r>
              <w:rPr>
                <w:sz w:val="19"/>
                <w:szCs w:val="19"/>
                <w:lang w:val="nl-NL"/>
              </w:rPr>
              <w:t xml:space="preserve">Duur in fase</w:t>
            </w:r>
          </w:p>
        </w:tc>
      </w:tr>
      <w:tr>
        <w:trPr>
          <w:cantSplit/>
        </w:trPr>
        <w:tc>
          <w:tcPr>
            <w:tcW w:type="dxa" w:w="1872"/>
            <w:tcMar>
              <w:left w:type="dxa" w:w="80"/>
              <w:right w:type="dxa" w:w="80"/>
            </w:tcMar>
          </w:tcPr>
          <w:p>
            <w:pPr>
              <w:pStyle w:val="Compact"/>
            </w:pPr>
            <w:r>
              <w:rPr>
                <w:sz w:val="19"/>
                <w:szCs w:val="19"/>
                <w:lang w:val="nl-NL"/>
              </w:rPr>
              <w:t xml:space="preserve">Berekening</w:t>
            </w:r>
          </w:p>
        </w:tc>
        <w:tc>
          <w:tcPr>
            <w:tcW w:type="dxa" w:w="1872"/>
            <w:tcMar>
              <w:left w:type="dxa" w:w="80"/>
              <w:right w:type="dxa" w:w="80"/>
            </w:tcMar>
          </w:tcPr>
          <w:p>
            <w:pPr>
              <w:pStyle w:val="Compact"/>
            </w:pPr>
            <w:r>
              <w:rPr>
                <w:sz w:val="19"/>
                <w:szCs w:val="19"/>
                <w:lang w:val="nl-NL"/>
              </w:rPr>
              <w:t xml:space="preserve">Worker (stemdialoog/correlatie)</w:t>
            </w:r>
          </w:p>
        </w:tc>
        <w:tc>
          <w:tcPr>
            <w:tcW w:type="dxa" w:w="1872"/>
            <w:tcMar>
              <w:left w:type="dxa" w:w="80"/>
              <w:right w:type="dxa" w:w="80"/>
            </w:tcMar>
          </w:tcPr>
          <w:p>
            <w:pPr>
              <w:pStyle w:val="Compact"/>
            </w:pPr>
            <w:r>
              <w:rPr>
                <w:sz w:val="19"/>
                <w:szCs w:val="19"/>
                <w:lang w:val="nl-NL"/>
              </w:rPr>
              <w:t xml:space="preserve">RAM (RAM), </w:t>
            </w:r>
            <w:r>
              <w:rPr>
                <w:sz w:val="19"/>
                <w:szCs w:val="19"/>
                <w:lang w:val="nl-NL"/>
              </w:rPr>
              <w:t xml:space="preserve"/>
            </w:r>
            <w:r>
              <w:rPr>
                <w:rStyle w:val="VerbatimChar"/>
                <w:sz w:val="19"/>
                <w:szCs w:val="19"/>
                <w:lang w:val="nl-NL"/>
              </w:rPr>
              <w:t xml:space="preserve">tmpfs</w:t>
            </w:r>
            <w:r>
              <w:rPr>
                <w:sz w:val="19"/>
                <w:szCs w:val="19"/>
                <w:lang w:val="nl-NL"/>
              </w:rPr>
              <w:t xml:space="preserve"> </w:t>
            </w:r>
            <w:r>
              <w:rPr>
                <w:sz w:val="19"/>
                <w:szCs w:val="19"/>
                <w:lang w:val="nl-NL"/>
              </w:rPr>
              <w:t xml:space="preserve">indien mogelijk</w:t>
            </w:r>
          </w:p>
        </w:tc>
        <w:tc>
          <w:tcPr>
            <w:tcW w:type="dxa" w:w="1872"/>
            <w:tcMar>
              <w:left w:type="dxa" w:w="80"/>
              <w:right w:type="dxa" w:w="80"/>
            </w:tcMar>
          </w:tcPr>
          <w:p>
            <w:pPr>
              <w:pStyle w:val="Compact"/>
            </w:pPr>
            <w:r>
              <w:rPr>
                <w:sz w:val="19"/>
                <w:szCs w:val="19"/>
                <w:lang w:val="nl-NL"/>
              </w:rPr>
              <w:t xml:space="preserve">— (nooit uitbesteed)</w:t>
            </w:r>
          </w:p>
        </w:tc>
        <w:tc>
          <w:tcPr>
            <w:tcW w:type="dxa" w:w="1872"/>
            <w:tcMar>
              <w:left w:type="dxa" w:w="80"/>
              <w:right w:type="dxa" w:w="80"/>
            </w:tcMar>
          </w:tcPr>
          <w:p>
            <w:pPr>
              <w:pStyle w:val="Compact"/>
            </w:pPr>
            <w:r>
              <w:rPr>
                <w:sz w:val="19"/>
                <w:szCs w:val="19"/>
                <w:lang w:val="nl-NL"/>
              </w:rPr>
              <w:t xml:space="preserve">Alleen duur van de zoekopdracht</w:t>
            </w:r>
          </w:p>
        </w:tc>
      </w:tr>
      <w:tr>
        <w:trPr>
          <w:cantSplit/>
        </w:trPr>
        <w:tc>
          <w:tcPr>
            <w:tcW w:type="dxa" w:w="1872"/>
            <w:tcMar>
              <w:left w:type="dxa" w:w="80"/>
              <w:right w:type="dxa" w:w="80"/>
            </w:tcMar>
          </w:tcPr>
          <w:p>
            <w:pPr>
              <w:pStyle w:val="Compact"/>
            </w:pPr>
            <w:r>
              <w:rPr>
                <w:sz w:val="19"/>
                <w:szCs w:val="19"/>
                <w:lang w:val="nl-NL"/>
              </w:rPr>
              <w:t xml:space="preserve">Reiniging</w:t>
            </w:r>
          </w:p>
        </w:tc>
        <w:tc>
          <w:tcPr>
            <w:tcW w:type="dxa" w:w="1872"/>
            <w:tcMar>
              <w:left w:type="dxa" w:w="80"/>
              <w:right w:type="dxa" w:w="80"/>
            </w:tcMar>
          </w:tcPr>
          <w:p>
            <w:pPr>
              <w:pStyle w:val="Compact"/>
            </w:pPr>
            <w:r>
              <w:rPr>
                <w:sz w:val="19"/>
                <w:szCs w:val="19"/>
                <w:lang w:val="nl-NL"/>
              </w:rPr>
              <w:t xml:space="preserve">Vernietiging aan het einde van de verwerking (blok </w:t>
            </w:r>
            <w:r>
              <w:rPr>
                <w:sz w:val="19"/>
                <w:szCs w:val="19"/>
                <w:lang w:val="nl-NL"/>
              </w:rPr>
              <w:t xml:space="preserve"/>
            </w:r>
            <w:r>
              <w:rPr>
                <w:rStyle w:val="VerbatimChar"/>
                <w:sz w:val="19"/>
                <w:szCs w:val="19"/>
                <w:lang w:val="nl-NL"/>
              </w:rPr>
              <w:t xml:space="preserve">finally</w:t>
            </w: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Vernietigd; geen persistent sjabloon</w:t>
            </w:r>
          </w:p>
        </w:tc>
      </w:tr>
      <w:tr>
        <w:trPr>
          <w:cantSplit/>
        </w:trPr>
        <w:tc>
          <w:tcPr>
            <w:tcW w:type="dxa" w:w="1872"/>
            <w:tcMar>
              <w:left w:type="dxa" w:w="80"/>
              <w:right w:type="dxa" w:w="80"/>
            </w:tcMar>
          </w:tcPr>
          <w:p>
            <w:pPr>
              <w:pStyle w:val="Compact"/>
            </w:pPr>
            <w:r>
              <w:rPr>
                <w:sz w:val="19"/>
                <w:szCs w:val="19"/>
                <w:lang w:val="nl-NL"/>
              </w:rPr>
              <w:t xml:space="preserve">Tijdelijke bestanden</w:t>
            </w:r>
          </w:p>
        </w:tc>
        <w:tc>
          <w:tcPr>
            <w:tcW w:type="dxa" w:w="1872"/>
            <w:tcMar>
              <w:left w:type="dxa" w:w="80"/>
              <w:right w:type="dxa" w:w="80"/>
            </w:tcMar>
          </w:tcPr>
          <w:p>
            <w:pPr>
              <w:pStyle w:val="Compact"/>
            </w:pPr>
            <w:r>
              <w:rPr>
                <w:sz w:val="19"/>
                <w:szCs w:val="19"/>
                <w:lang w:val="nl-NL"/>
              </w:rPr>
              <w:t xml:space="preserve">Tijdelijke gecontroleerde ruimtes</w:t>
            </w:r>
          </w:p>
        </w:tc>
        <w:tc>
          <w:tcPr>
            <w:tcW w:type="dxa" w:w="1872"/>
            <w:tcMar>
              <w:left w:type="dxa" w:w="80"/>
              <w:right w:type="dxa" w:w="80"/>
            </w:tcMar>
          </w:tcPr>
          <w:p>
            <w:pPr>
              <w:pStyle w:val="Compact"/>
            </w:pPr>
            <w:r>
              <w:rPr>
                <w:sz w:val="19"/>
                <w:szCs w:val="19"/>
                <w:lang w:val="nl-NL"/>
              </w:rPr>
              <w:t xml:space="preserve">GPU/worker</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Aan het einde van de taak verwijderd</w:t>
            </w:r>
          </w:p>
        </w:tc>
      </w:tr>
    </w:tbl>
    <w:p>
      <w:pPr>
        <w:pStyle w:val="BlockText"/>
      </w:pPr>
      <w:r>
        <w:rPr>
          <w:lang w:val="nl-NL"/>
        </w:rPr>
        <w:t xml:space="preserve">Spraakinsluitingen worden </w:t>
      </w:r>
      <w:r>
        <w:rPr>
          <w:lang w:val="nl-NL"/>
        </w:rPr>
        <w:t xml:space="preserve"/>
      </w:r>
      <w:r>
        <w:rPr>
          <w:b/>
          <w:bCs/>
          <w:lang w:val="nl-NL"/>
        </w:rPr>
        <w:t xml:space="preserve">nooit </w:t>
      </w:r>
      <w:r>
        <w:rPr>
          <w:lang w:val="nl-NL"/>
        </w:rPr>
        <w:t xml:space="preserve"/>
      </w:r>
      <w:r>
        <w:rPr>
          <w:lang w:val="nl-NL"/>
        </w:rPr>
        <w:t xml:space="preserve">als permanente profielen bewaard, worden </w:t>
      </w:r>
      <w:r>
        <w:rPr>
          <w:lang w:val="nl-NL"/>
        </w:rPr>
        <w:t xml:space="preserve"/>
      </w:r>
      <w:r>
        <w:rPr>
          <w:b/>
          <w:bCs/>
          <w:lang w:val="nl-NL"/>
        </w:rPr>
        <w:t xml:space="preserve">nooit </w:t>
      </w:r>
      <w:r>
        <w:rPr>
          <w:lang w:val="nl-NL"/>
        </w:rPr>
        <w:t xml:space="preserve"/>
      </w:r>
      <w:r>
        <w:rPr>
          <w:lang w:val="nl-NL"/>
        </w:rPr>
        <w:t xml:space="preserve">gebruikt om modellen te trainen en verlaten de verwerkingsomgeving niet. Details in document OHA-RGPD-07.</w:t>
      </w:r>
    </w:p>
    <w:bookmarkEnd w:id="66"/>
    <w:bookmarkStart w:id="67" w:name="Xaae710b518c07f6e514c289b6fa23ddd1b46e32"/>
    <w:p>
      <w:pPr>
        <w:pStyle w:val="Heading3"/>
        <w:keepNext/>
        <w:keepLines/>
      </w:pPr>
      <w:r>
        <w:rPr>
          <w:color w:val="000000"/>
          <w:lang w:val="nl-NL"/>
        </w:rPr>
        <w:t xml:space="preserve">2.6 Logboeken (auditlogboeken van applicaties, technische logbestanden)</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Stap</w:t>
            </w:r>
          </w:p>
        </w:tc>
        <w:tc>
          <w:tcPr>
            <w:tcW w:type="dxa" w:w="1872"/>
            <w:tcMar>
              <w:left w:type="dxa" w:w="80"/>
              <w:right w:type="dxa" w:w="80"/>
            </w:tcMar>
          </w:tcPr>
          <w:p>
            <w:pPr>
              <w:pStyle w:val="Compact"/>
            </w:pPr>
            <w:r>
              <w:rPr>
                <w:sz w:val="19"/>
                <w:szCs w:val="19"/>
                <w:lang w:val="nl-NL"/>
              </w:rPr>
              <w:t xml:space="preserve">Acteur/component</w:t>
            </w:r>
          </w:p>
        </w:tc>
        <w:tc>
          <w:tcPr>
            <w:tcW w:type="dxa" w:w="1872"/>
            <w:tcMar>
              <w:left w:type="dxa" w:w="80"/>
              <w:right w:type="dxa" w:w="80"/>
            </w:tcMar>
          </w:tcPr>
          <w:p>
            <w:pPr>
              <w:pStyle w:val="Compact"/>
            </w:pPr>
            <w:r>
              <w:rPr>
                <w:sz w:val="19"/>
                <w:szCs w:val="19"/>
                <w:lang w:val="nl-NL"/>
              </w:rPr>
              <w:t xml:space="preserve">Locatie</w:t>
            </w:r>
          </w:p>
        </w:tc>
        <w:tc>
          <w:tcPr>
            <w:tcW w:type="dxa" w:w="1872"/>
            <w:tcMar>
              <w:left w:type="dxa" w:w="80"/>
              <w:right w:type="dxa" w:w="80"/>
            </w:tcMar>
          </w:tcPr>
          <w:p>
            <w:pPr>
              <w:pStyle w:val="Compact"/>
            </w:pPr>
            <w:r>
              <w:rPr>
                <w:sz w:val="19"/>
                <w:szCs w:val="19"/>
                <w:lang w:val="nl-NL"/>
              </w:rPr>
              <w:t xml:space="preserve">Encryptie</w:t>
            </w:r>
          </w:p>
        </w:tc>
        <w:tc>
          <w:tcPr>
            <w:tcW w:type="dxa" w:w="1872"/>
            <w:tcMar>
              <w:left w:type="dxa" w:w="80"/>
              <w:right w:type="dxa" w:w="80"/>
            </w:tcMar>
          </w:tcPr>
          <w:p>
            <w:pPr>
              <w:pStyle w:val="Compact"/>
            </w:pPr>
            <w:r>
              <w:rPr>
                <w:sz w:val="19"/>
                <w:szCs w:val="19"/>
                <w:lang w:val="nl-NL"/>
              </w:rPr>
              <w:t xml:space="preserve">Duur in fase</w:t>
            </w:r>
          </w:p>
        </w:tc>
      </w:tr>
      <w:tr>
        <w:trPr>
          <w:cantSplit/>
        </w:trPr>
        <w:tc>
          <w:tcPr>
            <w:tcW w:type="dxa" w:w="1872"/>
            <w:tcMar>
              <w:left w:type="dxa" w:w="80"/>
              <w:right w:type="dxa" w:w="80"/>
            </w:tcMar>
          </w:tcPr>
          <w:p>
            <w:pPr>
              <w:pStyle w:val="Compact"/>
            </w:pPr>
            <w:r>
              <w:rPr>
                <w:sz w:val="19"/>
                <w:szCs w:val="19"/>
                <w:lang w:val="nl-NL"/>
              </w:rPr>
              <w:t xml:space="preserve">Generatie</w:t>
            </w:r>
          </w:p>
        </w:tc>
        <w:tc>
          <w:tcPr>
            <w:tcW w:type="dxa" w:w="1872"/>
            <w:tcMar>
              <w:left w:type="dxa" w:w="80"/>
              <w:right w:type="dxa" w:w="80"/>
            </w:tcMar>
          </w:tcPr>
          <w:p>
            <w:pPr>
              <w:pStyle w:val="Compact"/>
            </w:pPr>
            <w:r>
              <w:rPr>
                <w:sz w:val="19"/>
                <w:szCs w:val="19"/>
                <w:lang w:val="nl-NL"/>
              </w:rPr>
              <w:t xml:space="preserve">Toepassing (</w:t>
            </w:r>
            <w:r>
              <w:rPr>
                <w:rStyle w:val="VerbatimChar"/>
                <w:sz w:val="19"/>
                <w:szCs w:val="19"/>
                <w:lang w:val="nl-NL"/>
              </w:rPr>
              <w:t xml:space="preserve">activity_logs</w:t>
            </w:r>
            <w:r>
              <w:rPr>
                <w:sz w:val="19"/>
                <w:szCs w:val="19"/>
                <w:lang w:val="nl-NL"/>
              </w:rPr>
              <w:t xml:space="preserve"> </w:t>
            </w:r>
            <w:r>
              <w:rPr>
                <w:sz w:val="19"/>
                <w:szCs w:val="19"/>
                <w:lang w:val="nl-NL"/>
              </w:rPr>
              <w:t xml:space="preserve">per tenant; </w:t>
            </w:r>
            <w:r>
              <w:rPr>
                <w:sz w:val="19"/>
                <w:szCs w:val="19"/>
                <w:lang w:val="nl-NL"/>
              </w:rPr>
              <w:t xml:space="preserve"/>
            </w:r>
            <w:r>
              <w:rPr>
                <w:rStyle w:val="VerbatimChar"/>
                <w:sz w:val="19"/>
                <w:szCs w:val="19"/>
                <w:lang w:val="nl-NL"/>
              </w:rPr>
              <w:t xml:space="preserve">public.audit_logs</w:t>
            </w:r>
            <w:r>
              <w:rPr>
                <w:sz w:val="19"/>
                <w:szCs w:val="19"/>
                <w:lang w:val="nl-NL"/>
              </w:rPr>
              <w:t xml:space="preserve"> </w:t>
            </w:r>
            <w:r>
              <w:rPr>
                <w:sz w:val="19"/>
                <w:szCs w:val="19"/>
                <w:lang w:val="nl-NL"/>
              </w:rPr>
              <w:t xml:space="preserve">platform)</w:t>
            </w:r>
          </w:p>
        </w:tc>
        <w:tc>
          <w:tcPr>
            <w:tcW w:type="dxa" w:w="1872"/>
            <w:tcMar>
              <w:left w:type="dxa" w:w="80"/>
              <w:right w:type="dxa" w:w="80"/>
            </w:tcMar>
          </w:tcPr>
          <w:p>
            <w:pPr>
              <w:pStyle w:val="Compact"/>
            </w:pPr>
            <w:r>
              <w:rPr>
                <w:sz w:val="19"/>
                <w:szCs w:val="19"/>
                <w:lang w:val="nl-NL"/>
              </w:rPr>
              <w:t xml:space="preserve">Prod-server/client-infrastructuur</w:t>
            </w:r>
          </w:p>
        </w:tc>
        <w:tc>
          <w:tcPr>
            <w:tcW w:type="dxa" w:w="1872"/>
            <w:tcMar>
              <w:left w:type="dxa" w:w="80"/>
              <w:right w:type="dxa" w:w="80"/>
            </w:tcMar>
          </w:tcPr>
          <w:p>
            <w:pPr>
              <w:pStyle w:val="Compact"/>
            </w:pPr>
            <w:r>
              <w:rPr>
                <w:sz w:val="19"/>
                <w:szCs w:val="19"/>
                <w:lang w:val="nl-NL"/>
              </w:rPr>
              <w:t xml:space="preserve">In rust (zie §1)</w:t>
            </w:r>
          </w:p>
        </w:tc>
        <w:tc>
          <w:tcPr>
            <w:tcW w:type="dxa" w:w="1872"/>
            <w:tcMar>
              <w:left w:type="dxa" w:w="80"/>
              <w:right w:type="dxa" w:w="80"/>
            </w:tcMar>
          </w:tcPr>
          <w:p>
            <w:pPr>
              <w:pStyle w:val="Compact"/>
            </w:pPr>
            <w:r>
              <w:rPr>
                <w:sz w:val="19"/>
                <w:szCs w:val="19"/>
                <w:lang w:val="nl-NL"/>
              </w:rPr>
              <w:t xml:space="preserve">—</w:t>
            </w:r>
          </w:p>
        </w:tc>
      </w:tr>
      <w:tr>
        <w:trPr>
          <w:cantSplit/>
        </w:trPr>
        <w:tc>
          <w:tcPr>
            <w:tcW w:type="dxa" w:w="1872"/>
            <w:tcMar>
              <w:left w:type="dxa" w:w="80"/>
              <w:right w:type="dxa" w:w="80"/>
            </w:tcMar>
          </w:tcPr>
          <w:p>
            <w:pPr>
              <w:pStyle w:val="Compact"/>
            </w:pPr>
            <w:r>
              <w:rPr>
                <w:sz w:val="19"/>
                <w:szCs w:val="19"/>
                <w:lang w:val="nl-NL"/>
              </w:rPr>
              <w:t xml:space="preserve">Opslag</w:t>
            </w:r>
          </w:p>
        </w:tc>
        <w:tc>
          <w:tcPr>
            <w:tcW w:type="dxa" w:w="1872"/>
            <w:tcMar>
              <w:left w:type="dxa" w:w="80"/>
              <w:right w:type="dxa" w:w="80"/>
            </w:tcMar>
          </w:tcPr>
          <w:p>
            <w:pPr>
              <w:pStyle w:val="Compact"/>
            </w:pPr>
            <w:r>
              <w:rPr>
                <w:sz w:val="19"/>
                <w:szCs w:val="19"/>
                <w:lang w:val="nl-NL"/>
              </w:rPr>
              <w:t xml:space="preserve">PostgreSQL</w:t>
            </w:r>
          </w:p>
        </w:tc>
        <w:tc>
          <w:tcPr>
            <w:tcW w:type="dxa" w:w="1872"/>
            <w:tcMar>
              <w:left w:type="dxa" w:w="80"/>
              <w:right w:type="dxa" w:w="80"/>
            </w:tcMar>
          </w:tcPr>
          <w:p>
            <w:pPr>
              <w:pStyle w:val="Compact"/>
            </w:pPr>
            <w:r>
              <w:rPr>
                <w:sz w:val="19"/>
                <w:szCs w:val="19"/>
                <w:lang w:val="nl-NL"/>
              </w:rPr>
              <w:t xml:space="preserve">Prod-server/client-infrastructuur</w:t>
            </w:r>
          </w:p>
        </w:tc>
        <w:tc>
          <w:tcPr>
            <w:tcW w:type="dxa" w:w="1872"/>
            <w:tcMar>
              <w:left w:type="dxa" w:w="80"/>
              <w:right w:type="dxa" w:w="80"/>
            </w:tcMar>
          </w:tcPr>
          <w:p>
            <w:pPr>
              <w:pStyle w:val="Compact"/>
            </w:pPr>
            <w:r>
              <w:rPr>
                <w:sz w:val="19"/>
                <w:szCs w:val="19"/>
                <w:lang w:val="nl-NL"/>
              </w:rPr>
              <w:t xml:space="preserve">In rust (zie §1)</w:t>
            </w:r>
          </w:p>
        </w:tc>
        <w:tc>
          <w:tcPr>
            <w:tcW w:type="dxa" w:w="1872"/>
            <w:tcMar>
              <w:left w:type="dxa" w:w="80"/>
              <w:right w:type="dxa" w:w="80"/>
            </w:tcMar>
          </w:tcPr>
          <w:p>
            <w:pPr>
              <w:pStyle w:val="Compact"/>
            </w:pPr>
            <w:r>
              <w:rPr>
                <w:sz w:val="19"/>
                <w:szCs w:val="19"/>
                <w:lang w:val="nl-NL"/>
              </w:rPr>
              <w:t xml:space="preserve">Audit ≤ 12 maanden; technisch ~90 dagen</w:t>
            </w:r>
          </w:p>
        </w:tc>
      </w:tr>
      <w:tr>
        <w:trPr>
          <w:cantSplit/>
        </w:trPr>
        <w:tc>
          <w:tcPr>
            <w:tcW w:type="dxa" w:w="1872"/>
            <w:tcMar>
              <w:left w:type="dxa" w:w="80"/>
              <w:right w:type="dxa" w:w="80"/>
            </w:tcMar>
          </w:tcPr>
          <w:p>
            <w:pPr>
              <w:pStyle w:val="Compact"/>
            </w:pPr>
            <w:r>
              <w:rPr>
                <w:sz w:val="19"/>
                <w:szCs w:val="19"/>
                <w:lang w:val="nl-NL"/>
              </w:rPr>
              <w:t xml:space="preserve">Exporteren</w:t>
            </w:r>
          </w:p>
        </w:tc>
        <w:tc>
          <w:tcPr>
            <w:tcW w:type="dxa" w:w="1872"/>
            <w:tcMar>
              <w:left w:type="dxa" w:w="80"/>
              <w:right w:type="dxa" w:w="80"/>
            </w:tcMar>
          </w:tcPr>
          <w:p>
            <w:pPr>
              <w:pStyle w:val="Compact"/>
            </w:pPr>
            <w:r>
              <w:rPr>
                <w:sz w:val="19"/>
                <w:szCs w:val="19"/>
                <w:lang w:val="nl-NL"/>
              </w:rPr>
              <w:t xml:space="preserve">CSV/JSON op aanvraag</w:t>
            </w:r>
          </w:p>
        </w:tc>
        <w:tc>
          <w:tcPr>
            <w:tcW w:type="dxa" w:w="1872"/>
            <w:tcMar>
              <w:left w:type="dxa" w:w="80"/>
              <w:right w:type="dxa" w:w="80"/>
            </w:tcMar>
          </w:tcPr>
          <w:p>
            <w:pPr>
              <w:pStyle w:val="Compact"/>
            </w:pPr>
            <w:r>
              <w:rPr>
                <w:sz w:val="19"/>
                <w:szCs w:val="19"/>
                <w:lang w:val="nl-NL"/>
              </w:rPr>
              <w:t xml:space="preserve">Prod-server/client-infrastructuur</w:t>
            </w:r>
          </w:p>
        </w:tc>
        <w:tc>
          <w:tcPr>
            <w:tcW w:type="dxa" w:w="1872"/>
            <w:tcMar>
              <w:left w:type="dxa" w:w="80"/>
              <w:right w:type="dxa" w:w="80"/>
            </w:tcMar>
          </w:tcPr>
          <w:p>
            <w:pPr>
              <w:pStyle w:val="Compact"/>
            </w:pPr>
            <w:r>
              <w:rPr>
                <w:sz w:val="19"/>
                <w:szCs w:val="19"/>
                <w:lang w:val="nl-NL"/>
              </w:rPr>
              <w:t xml:space="preserve">TLS</w:t>
            </w:r>
          </w:p>
        </w:tc>
        <w:tc>
          <w:tcPr>
            <w:tcW w:type="dxa" w:w="1872"/>
            <w:tcMar>
              <w:left w:type="dxa" w:w="80"/>
              <w:right w:type="dxa" w:w="80"/>
            </w:tcMar>
          </w:tcPr>
          <w:p>
            <w:pPr>
              <w:pStyle w:val="Compact"/>
            </w:pPr>
            <w:r>
              <w:rPr>
                <w:sz w:val="19"/>
                <w:szCs w:val="19"/>
                <w:lang w:val="nl-NL"/>
              </w:rPr>
              <w:t xml:space="preserve">Op aanvraag</w:t>
            </w:r>
          </w:p>
        </w:tc>
      </w:tr>
    </w:tbl>
    <w:p>
      <w:pPr>
        <w:pStyle w:val="BlockText"/>
      </w:pPr>
      <w:r>
        <w:rPr>
          <w:lang w:val="nl-NL"/>
        </w:rPr>
        <w:t xml:space="preserve">Logboeken bevatten geen permanente steminsluitingen; sporen gerelateerd aan stemcorrelatie worden gereduceerd tot de noodzakelijke technische informatie.</w:t>
      </w:r>
    </w:p>
    <w:bookmarkEnd w:id="67"/>
    <w:bookmarkStart w:id="68" w:name="Xfaf7cc6e7748c9667d39039c6e4f994cae43f5a"/>
    <w:p>
      <w:pPr>
        <w:pStyle w:val="Heading3"/>
        <w:keepNext/>
        <w:keepLines/>
      </w:pPr>
      <w:r>
        <w:rPr>
          <w:color w:val="000000"/>
          <w:lang w:val="nl-NL"/>
        </w:rPr>
        <w:t xml:space="preserve">2.7 Back-ups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Stap</w:t>
            </w:r>
          </w:p>
        </w:tc>
        <w:tc>
          <w:tcPr>
            <w:tcW w:type="dxa" w:w="1872"/>
            <w:tcMar>
              <w:left w:type="dxa" w:w="80"/>
              <w:right w:type="dxa" w:w="80"/>
            </w:tcMar>
          </w:tcPr>
          <w:p>
            <w:pPr>
              <w:pStyle w:val="Compact"/>
            </w:pPr>
            <w:r>
              <w:rPr>
                <w:sz w:val="19"/>
                <w:szCs w:val="19"/>
                <w:lang w:val="nl-NL"/>
              </w:rPr>
              <w:t xml:space="preserve">Acteur/component</w:t>
            </w:r>
          </w:p>
        </w:tc>
        <w:tc>
          <w:tcPr>
            <w:tcW w:type="dxa" w:w="1872"/>
            <w:tcMar>
              <w:left w:type="dxa" w:w="80"/>
              <w:right w:type="dxa" w:w="80"/>
            </w:tcMar>
          </w:tcPr>
          <w:p>
            <w:pPr>
              <w:pStyle w:val="Compact"/>
            </w:pPr>
            <w:r>
              <w:rPr>
                <w:sz w:val="19"/>
                <w:szCs w:val="19"/>
                <w:lang w:val="nl-NL"/>
              </w:rPr>
              <w:t xml:space="preserve">Locatie</w:t>
            </w:r>
          </w:p>
        </w:tc>
        <w:tc>
          <w:tcPr>
            <w:tcW w:type="dxa" w:w="1872"/>
            <w:tcMar>
              <w:left w:type="dxa" w:w="80"/>
              <w:right w:type="dxa" w:w="80"/>
            </w:tcMar>
          </w:tcPr>
          <w:p>
            <w:pPr>
              <w:pStyle w:val="Compact"/>
            </w:pPr>
            <w:r>
              <w:rPr>
                <w:sz w:val="19"/>
                <w:szCs w:val="19"/>
                <w:lang w:val="nl-NL"/>
              </w:rPr>
              <w:t xml:space="preserve">Encryptie</w:t>
            </w:r>
          </w:p>
        </w:tc>
        <w:tc>
          <w:tcPr>
            <w:tcW w:type="dxa" w:w="1872"/>
            <w:tcMar>
              <w:left w:type="dxa" w:w="80"/>
              <w:right w:type="dxa" w:w="80"/>
            </w:tcMar>
          </w:tcPr>
          <w:p>
            <w:pPr>
              <w:pStyle w:val="Compact"/>
            </w:pPr>
            <w:r>
              <w:rPr>
                <w:sz w:val="19"/>
                <w:szCs w:val="19"/>
                <w:lang w:val="nl-NL"/>
              </w:rPr>
              <w:t xml:space="preserve">Duur in fase</w:t>
            </w:r>
          </w:p>
        </w:tc>
      </w:tr>
      <w:tr>
        <w:trPr>
          <w:cantSplit/>
        </w:trPr>
        <w:tc>
          <w:tcPr>
            <w:tcW w:type="dxa" w:w="1872"/>
            <w:tcMar>
              <w:left w:type="dxa" w:w="80"/>
              <w:right w:type="dxa" w:w="80"/>
            </w:tcMar>
          </w:tcPr>
          <w:p>
            <w:pPr>
              <w:pStyle w:val="Compact"/>
            </w:pPr>
            <w:r>
              <w:rPr>
                <w:sz w:val="19"/>
                <w:szCs w:val="19"/>
                <w:lang w:val="nl-NL"/>
              </w:rPr>
              <w:t xml:space="preserve">Aanmaak</w:t>
            </w:r>
          </w:p>
        </w:tc>
        <w:tc>
          <w:tcPr>
            <w:tcW w:type="dxa" w:w="1872"/>
            <w:tcMar>
              <w:left w:type="dxa" w:w="80"/>
              <w:right w:type="dxa" w:w="80"/>
            </w:tcMar>
          </w:tcPr>
          <w:p>
            <w:pPr>
              <w:pStyle w:val="Compact"/>
            </w:pPr>
            <w:r>
              <w:rPr>
                <w:sz w:val="19"/>
                <w:szCs w:val="19"/>
                <w:lang w:val="nl-NL"/>
              </w:rPr>
              <w:t xml:space="preserve">Dagelijks back-upscript</w:t>
            </w:r>
          </w:p>
        </w:tc>
        <w:tc>
          <w:tcPr>
            <w:tcW w:type="dxa" w:w="1872"/>
            <w:tcMar>
              <w:left w:type="dxa" w:w="80"/>
              <w:right w:type="dxa" w:w="80"/>
            </w:tcMar>
          </w:tcPr>
          <w:p>
            <w:pPr>
              <w:pStyle w:val="Compact"/>
            </w:pPr>
            <w:r>
              <w:rPr>
                <w:sz w:val="19"/>
                <w:szCs w:val="19"/>
                <w:lang w:val="nl-NL"/>
              </w:rPr>
              <w:t xml:space="preserve">Productieserver (Opt. A)</w:t>
            </w:r>
          </w:p>
        </w:tc>
        <w:tc>
          <w:tcPr>
            <w:tcW w:type="dxa" w:w="1872"/>
            <w:tcMar>
              <w:left w:type="dxa" w:w="80"/>
              <w:right w:type="dxa" w:w="80"/>
            </w:tcMar>
          </w:tcPr>
          <w:p>
            <w:pPr>
              <w:pStyle w:val="Compact"/>
            </w:pPr>
            <w:r>
              <w:rPr>
                <w:sz w:val="19"/>
                <w:szCs w:val="19"/>
                <w:lang w:val="nl-NL"/>
              </w:rPr>
              <w:t xml:space="preserve">Versleuteld met age </w:t>
            </w:r>
            <w:r>
              <w:rPr>
                <w:sz w:val="19"/>
                <w:szCs w:val="19"/>
                <w:lang w:val="nl-NL"/>
              </w:rPr>
              <w:t xml:space="preserve"/>
            </w:r>
            <w:r>
              <w:rPr>
                <w:b/>
                <w:bCs/>
                <w:sz w:val="19"/>
                <w:szCs w:val="19"/>
                <w:lang w:val="nl-NL"/>
              </w:rPr>
              <w:t xml:space="preserve">voordat </w:t>
            </w:r>
            <w:r>
              <w:rPr>
                <w:sz w:val="19"/>
                <w:szCs w:val="19"/>
                <w:lang w:val="nl-NL"/>
              </w:rPr>
              <w:t xml:space="preserve"/>
            </w:r>
            <w:r>
              <w:rPr>
                <w:sz w:val="19"/>
                <w:szCs w:val="19"/>
                <w:lang w:val="nl-NL"/>
              </w:rPr>
              <w:t xml:space="preserve">het de server verlaat</w:t>
            </w:r>
          </w:p>
        </w:tc>
        <w:tc>
          <w:tcPr>
            <w:tcW w:type="dxa" w:w="1872"/>
            <w:tcMar>
              <w:left w:type="dxa" w:w="80"/>
              <w:right w:type="dxa" w:w="80"/>
            </w:tcMar>
          </w:tcPr>
          <w:p>
            <w:pPr>
              <w:pStyle w:val="Compact"/>
            </w:pPr>
            <w:r>
              <w:rPr>
                <w:sz w:val="19"/>
                <w:szCs w:val="19"/>
                <w:lang w:val="nl-NL"/>
              </w:rPr>
              <w:t xml:space="preserve">—</w:t>
            </w:r>
          </w:p>
        </w:tc>
      </w:tr>
      <w:tr>
        <w:trPr>
          <w:cantSplit/>
        </w:trPr>
        <w:tc>
          <w:tcPr>
            <w:tcW w:type="dxa" w:w="1872"/>
            <w:tcMar>
              <w:left w:type="dxa" w:w="80"/>
              <w:right w:type="dxa" w:w="80"/>
            </w:tcMar>
          </w:tcPr>
          <w:p>
            <w:pPr>
              <w:pStyle w:val="Compact"/>
            </w:pPr>
            <w:r>
              <w:rPr>
                <w:sz w:val="19"/>
                <w:szCs w:val="19"/>
                <w:lang w:val="nl-NL"/>
              </w:rPr>
              <w:t xml:space="preserve">Uitbesteding</w:t>
            </w:r>
          </w:p>
        </w:tc>
        <w:tc>
          <w:tcPr>
            <w:tcW w:type="dxa" w:w="1872"/>
            <w:tcMar>
              <w:left w:type="dxa" w:w="80"/>
              <w:right w:type="dxa" w:w="80"/>
            </w:tcMar>
          </w:tcPr>
          <w:p>
            <w:pPr>
              <w:pStyle w:val="Compact"/>
            </w:pPr>
            <w:r>
              <w:rPr>
                <w:sz w:val="19"/>
                <w:szCs w:val="19"/>
                <w:lang w:val="nl-NL"/>
              </w:rPr>
              <w:t xml:space="preserve">rclone</w:t>
            </w:r>
          </w:p>
        </w:tc>
        <w:tc>
          <w:tcPr>
            <w:tcW w:type="dxa" w:w="1872"/>
            <w:tcMar>
              <w:left w:type="dxa" w:w="80"/>
              <w:right w:type="dxa" w:w="80"/>
            </w:tcMar>
          </w:tcPr>
          <w:p>
            <w:pPr>
              <w:pStyle w:val="Compact"/>
            </w:pPr>
            <w:r>
              <w:rPr>
                <w:sz w:val="19"/>
                <w:szCs w:val="19"/>
                <w:lang w:val="nl-NL"/>
              </w:rPr>
              <w:t xml:space="preserve">Scaleway (Frankrijk, EU)</w:t>
            </w:r>
          </w:p>
        </w:tc>
        <w:tc>
          <w:tcPr>
            <w:tcW w:type="dxa" w:w="1872"/>
            <w:tcMar>
              <w:left w:type="dxa" w:w="80"/>
              <w:right w:type="dxa" w:w="80"/>
            </w:tcMar>
          </w:tcPr>
          <w:p>
            <w:pPr>
              <w:pStyle w:val="Compact"/>
            </w:pPr>
            <w:r>
              <w:rPr>
                <w:sz w:val="19"/>
                <w:szCs w:val="19"/>
                <w:lang w:val="nl-NL"/>
              </w:rPr>
              <w:t xml:space="preserve">age (sleutels in bezit van OHADJA, in EU)</w:t>
            </w:r>
          </w:p>
        </w:tc>
        <w:tc>
          <w:tcPr>
            <w:tcW w:type="dxa" w:w="1872"/>
            <w:tcMar>
              <w:left w:type="dxa" w:w="80"/>
              <w:right w:type="dxa" w:w="80"/>
            </w:tcMar>
          </w:tcPr>
          <w:p>
            <w:pPr>
              <w:pStyle w:val="Compact"/>
            </w:pPr>
            <w:r>
              <w:rPr>
                <w:sz w:val="19"/>
                <w:szCs w:val="19"/>
                <w:lang w:val="nl-NL"/>
              </w:rPr>
              <w:t xml:space="preserve">≤ 90 volledige dagen / 30 dagen per organisatie</w:t>
            </w:r>
          </w:p>
        </w:tc>
      </w:tr>
      <w:tr>
        <w:trPr>
          <w:cantSplit/>
        </w:trPr>
        <w:tc>
          <w:tcPr>
            <w:tcW w:type="dxa" w:w="1872"/>
            <w:tcMar>
              <w:left w:type="dxa" w:w="80"/>
              <w:right w:type="dxa" w:w="80"/>
            </w:tcMar>
          </w:tcPr>
          <w:p>
            <w:pPr>
              <w:pStyle w:val="Compact"/>
            </w:pPr>
            <w:r>
              <w:rPr>
                <w:sz w:val="19"/>
                <w:szCs w:val="19"/>
                <w:lang w:val="nl-NL"/>
              </w:rPr>
              <w:t xml:space="preserve">Herstel</w:t>
            </w:r>
          </w:p>
        </w:tc>
        <w:tc>
          <w:tcPr>
            <w:tcW w:type="dxa" w:w="1872"/>
            <w:tcMar>
              <w:left w:type="dxa" w:w="80"/>
              <w:right w:type="dxa" w:w="80"/>
            </w:tcMar>
          </w:tcPr>
          <w:p>
            <w:pPr>
              <w:pStyle w:val="Compact"/>
            </w:pPr>
            <w:r>
              <w:rPr>
                <w:sz w:val="19"/>
                <w:szCs w:val="19"/>
                <w:lang w:val="nl-NL"/>
              </w:rPr>
              <w:t xml:space="preserve">Momentopname vóór beveiliging, gedetailleerd herstel per organisatie</w:t>
            </w:r>
          </w:p>
        </w:tc>
        <w:tc>
          <w:tcPr>
            <w:tcW w:type="dxa" w:w="1872"/>
            <w:tcMar>
              <w:left w:type="dxa" w:w="80"/>
              <w:right w:type="dxa" w:w="80"/>
            </w:tcMar>
          </w:tcPr>
          <w:p>
            <w:pPr>
              <w:pStyle w:val="Compact"/>
            </w:pPr>
            <w:r>
              <w:rPr>
                <w:sz w:val="19"/>
                <w:szCs w:val="19"/>
                <w:lang w:val="nl-NL"/>
              </w:rPr>
              <w:t xml:space="preserve">Productieserver</w:t>
            </w:r>
          </w:p>
        </w:tc>
        <w:tc>
          <w:tcPr>
            <w:tcW w:type="dxa" w:w="1872"/>
            <w:tcMar>
              <w:left w:type="dxa" w:w="80"/>
              <w:right w:type="dxa" w:w="80"/>
            </w:tcMar>
          </w:tcPr>
          <w:p>
            <w:pPr>
              <w:pStyle w:val="Compact"/>
            </w:pPr>
            <w:r>
              <w:rPr>
                <w:sz w:val="19"/>
                <w:szCs w:val="19"/>
                <w:lang w:val="nl-NL"/>
              </w:rPr>
              <w:t xml:space="preserve">age</w:t>
            </w:r>
          </w:p>
        </w:tc>
        <w:tc>
          <w:tcPr>
            <w:tcW w:type="dxa" w:w="1872"/>
            <w:tcMar>
              <w:left w:type="dxa" w:w="80"/>
              <w:right w:type="dxa" w:w="80"/>
            </w:tcMar>
          </w:tcPr>
          <w:p>
            <w:pPr>
              <w:pStyle w:val="Compact"/>
            </w:pPr>
            <w:r>
              <w:rPr>
                <w:sz w:val="19"/>
                <w:szCs w:val="19"/>
                <w:lang w:val="nl-NL"/>
              </w:rPr>
              <w:t xml:space="preserve">24u RPO / 4u RTO (doelstellingen)</w:t>
            </w:r>
          </w:p>
        </w:tc>
      </w:tr>
    </w:tbl>
    <w:p>
      <w:pPr>
        <w:pStyle w:val="BlockText"/>
      </w:pPr>
      <w:r>
        <w:rPr>
          <w:lang w:val="nl-NL"/>
        </w:rPr>
        <w:t xml:space="preserve">Bij </w:t>
      </w:r>
      <w:r>
        <w:rPr>
          <w:lang w:val="nl-NL"/>
        </w:rPr>
        <w:t xml:space="preserve"/>
      </w:r>
      <w:r>
        <w:rPr>
          <w:b/>
          <w:bCs/>
          <w:lang w:val="nl-NL"/>
        </w:rPr>
        <w:t xml:space="preserve">Optie B </w:t>
      </w:r>
      <w:r>
        <w:rPr>
          <w:lang w:val="nl-NL"/>
        </w:rPr>
        <w:t xml:space="preserve">maken de back-ups deel uit van de infrastructuur van de Klant (tenzij de opdracht is toevertrouwd aan OHADJA).</w:t>
      </w:r>
    </w:p>
    <w:bookmarkEnd w:id="68"/>
    <w:bookmarkEnd w:id="69"/>
    <w:bookmarkStart w:id="72" w:name="X6e2315e5940ab18972c59a7762a6a5d0278e4dc"/>
    <w:p>
      <w:pPr>
        <w:pStyle w:val="Heading2"/>
        <w:keepNext/>
        <w:keepLines/>
      </w:pPr>
      <w:r>
        <w:rPr>
          <w:color w:val="000000"/>
          <w:lang w:val="nl-NL"/>
        </w:rPr>
        <w:t xml:space="preserve">3. Menselijke en technische toegang</w:t>
      </w:r>
    </w:p>
    <w:bookmarkStart w:id="70" w:name="X41980a5c9b489c761337874c0d6746a45d0b2fd"/>
    <w:p>
      <w:pPr>
        <w:pStyle w:val="Heading3"/>
        <w:keepNext/>
        <w:keepLines/>
      </w:pPr>
      <w:r>
        <w:rPr>
          <w:color w:val="000000"/>
          <w:lang w:val="nl-NL"/>
        </w:rPr>
        <w:t xml:space="preserve">3.1 Toegangstabel</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Acteur/entiteit</w:t>
            </w:r>
          </w:p>
        </w:tc>
        <w:tc>
          <w:tcPr>
            <w:tcW w:type="dxa" w:w="1872"/>
            <w:tcMar>
              <w:left w:type="dxa" w:w="80"/>
              <w:right w:type="dxa" w:w="80"/>
            </w:tcMar>
          </w:tcPr>
          <w:p>
            <w:pPr>
              <w:pStyle w:val="Compact"/>
            </w:pPr>
            <w:r>
              <w:rPr>
                <w:sz w:val="19"/>
                <w:szCs w:val="19"/>
                <w:lang w:val="nl-NL"/>
              </w:rPr>
              <w:t xml:space="preserve">Aard van de toegang</w:t>
            </w:r>
          </w:p>
        </w:tc>
        <w:tc>
          <w:tcPr>
            <w:tcW w:type="dxa" w:w="1872"/>
            <w:tcMar>
              <w:left w:type="dxa" w:w="80"/>
              <w:right w:type="dxa" w:w="80"/>
            </w:tcMar>
          </w:tcPr>
          <w:p>
            <w:pPr>
              <w:pStyle w:val="Compact"/>
            </w:pPr>
            <w:r>
              <w:rPr>
                <w:sz w:val="19"/>
                <w:szCs w:val="19"/>
                <w:lang w:val="nl-NL"/>
              </w:rPr>
              <w:t xml:space="preserve">Van waar</w:t>
            </w:r>
          </w:p>
        </w:tc>
        <w:tc>
          <w:tcPr>
            <w:tcW w:type="dxa" w:w="1872"/>
            <w:tcMar>
              <w:left w:type="dxa" w:w="80"/>
              <w:right w:type="dxa" w:w="80"/>
            </w:tcMar>
          </w:tcPr>
          <w:p>
            <w:pPr>
              <w:pStyle w:val="Compact"/>
            </w:pPr>
            <w:r>
              <w:rPr>
                <w:sz w:val="19"/>
                <w:szCs w:val="19"/>
                <w:lang w:val="nl-NL"/>
              </w:rPr>
              <w:t xml:space="preserve">Inlijsten</w:t>
            </w:r>
          </w:p>
        </w:tc>
        <w:tc>
          <w:tcPr>
            <w:tcW w:type="dxa" w:w="1872"/>
            <w:tcMar>
              <w:left w:type="dxa" w:w="80"/>
              <w:right w:type="dxa" w:w="80"/>
            </w:tcMar>
          </w:tcPr>
          <w:p>
            <w:pPr>
              <w:pStyle w:val="Compact"/>
            </w:pPr>
            <w:r>
              <w:rPr>
                <w:sz w:val="19"/>
                <w:szCs w:val="19"/>
                <w:lang w:val="nl-NL"/>
              </w:rPr>
              <w:t xml:space="preserve">Toegang tot inhoud?</w:t>
            </w:r>
          </w:p>
        </w:tc>
      </w:tr>
      <w:tr>
        <w:trPr>
          <w:cantSplit/>
        </w:trPr>
        <w:tc>
          <w:tcPr>
            <w:tcW w:type="dxa" w:w="1872"/>
            <w:tcMar>
              <w:left w:type="dxa" w:w="80"/>
              <w:right w:type="dxa" w:w="80"/>
            </w:tcMar>
          </w:tcPr>
          <w:p>
            <w:pPr>
              <w:pStyle w:val="Compact"/>
            </w:pPr>
            <w:r>
              <w:rPr>
                <w:b/>
                <w:bCs/>
                <w:sz w:val="19"/>
                <w:szCs w:val="19"/>
                <w:lang w:val="nl-NL"/>
              </w:rPr>
              <w:t xml:space="preserve">Personeel OHADJA</w:t>
            </w:r>
          </w:p>
        </w:tc>
        <w:tc>
          <w:tcPr>
            <w:tcW w:type="dxa" w:w="1872"/>
            <w:tcMar>
              <w:left w:type="dxa" w:w="80"/>
              <w:right w:type="dxa" w:w="80"/>
            </w:tcMar>
          </w:tcPr>
          <w:p>
            <w:pPr>
              <w:pStyle w:val="Compact"/>
            </w:pPr>
            <w:r>
              <w:rPr>
                <w:sz w:val="19"/>
                <w:szCs w:val="19"/>
                <w:lang w:val="nl-NL"/>
              </w:rPr>
              <w:t xml:space="preserve">Bediening, ondersteuning, beveiliging</w:t>
            </w:r>
          </w:p>
        </w:tc>
        <w:tc>
          <w:tcPr>
            <w:tcW w:type="dxa" w:w="1872"/>
            <w:tcMar>
              <w:left w:type="dxa" w:w="80"/>
              <w:right w:type="dxa" w:w="80"/>
            </w:tcMar>
          </w:tcPr>
          <w:p>
            <w:pPr>
              <w:pStyle w:val="Compact"/>
            </w:pPr>
            <w:r>
              <w:rPr>
                <w:b/>
                <w:bCs/>
                <w:sz w:val="19"/>
                <w:szCs w:val="19"/>
                <w:lang w:val="nl-NL"/>
              </w:rPr>
              <w:t xml:space="preserve">Frankrijk/EU </w:t>
            </w:r>
            <w:r>
              <w:rPr>
                <w:sz w:val="19"/>
                <w:szCs w:val="19"/>
                <w:lang w:val="nl-NL"/>
              </w:rPr>
              <w:t xml:space="preserve"/>
            </w:r>
            <w:r>
              <w:rPr>
                <w:sz w:val="19"/>
                <w:szCs w:val="19"/>
                <w:lang w:val="nl-NL"/>
              </w:rPr>
              <w:t xml:space="preserve">(toegangsverplichting uitsluitend Frankrijk/EU)</w:t>
            </w:r>
          </w:p>
        </w:tc>
        <w:tc>
          <w:tcPr>
            <w:tcW w:type="dxa" w:w="1872"/>
            <w:tcMar>
              <w:left w:type="dxa" w:w="80"/>
              <w:right w:type="dxa" w:w="80"/>
            </w:tcMar>
          </w:tcPr>
          <w:p>
            <w:pPr>
              <w:pStyle w:val="Compact"/>
            </w:pPr>
            <w:r>
              <w:rPr>
                <w:sz w:val="19"/>
                <w:szCs w:val="19"/>
                <w:lang w:val="nl-NL"/>
              </w:rPr>
              <w:t xml:space="preserve">Gepersonaliseerd, SSH-sleutel, 2FA TOTP, TLS, gejournaliseerd, </w:t>
            </w:r>
            <w:r>
              <w:rPr>
                <w:sz w:val="19"/>
                <w:szCs w:val="19"/>
                <w:lang w:val="nl-NL"/>
              </w:rPr>
              <w:t xml:space="preserve"/>
            </w:r>
            <w:r>
              <w:rPr>
                <w:b/>
                <w:bCs/>
                <w:sz w:val="19"/>
                <w:szCs w:val="19"/>
                <w:lang w:val="nl-NL"/>
              </w:rPr>
              <w:t xml:space="preserve">geen lokale kopie</w:t>
            </w:r>
          </w:p>
        </w:tc>
        <w:tc>
          <w:tcPr>
            <w:tcW w:type="dxa" w:w="1872"/>
            <w:tcMar>
              <w:left w:type="dxa" w:w="80"/>
              <w:right w:type="dxa" w:w="80"/>
            </w:tcMar>
          </w:tcPr>
          <w:p>
            <w:pPr>
              <w:pStyle w:val="Compact"/>
            </w:pPr>
            <w:r>
              <w:rPr>
                <w:sz w:val="19"/>
                <w:szCs w:val="19"/>
                <w:lang w:val="nl-NL"/>
              </w:rPr>
              <w:t xml:space="preserve">Ja, op basis van ‘need-to-know’</w:t>
            </w:r>
          </w:p>
        </w:tc>
      </w:tr>
      <w:tr>
        <w:trPr>
          <w:cantSplit/>
        </w:trPr>
        <w:tc>
          <w:tcPr>
            <w:tcW w:type="dxa" w:w="1872"/>
            <w:tcMar>
              <w:left w:type="dxa" w:w="80"/>
              <w:right w:type="dxa" w:w="80"/>
            </w:tcMar>
          </w:tcPr>
          <w:p>
            <w:pPr>
              <w:pStyle w:val="Compact"/>
            </w:pPr>
            <w:r>
              <w:rPr>
                <w:b/>
                <w:bCs/>
                <w:sz w:val="19"/>
                <w:szCs w:val="19"/>
                <w:lang w:val="nl-NL"/>
              </w:rPr>
              <w:t xml:space="preserve">AMBASSADIA SARL </w:t>
            </w:r>
            <w:r>
              <w:rPr>
                <w:sz w:val="19"/>
                <w:szCs w:val="19"/>
                <w:lang w:val="nl-NL"/>
              </w:rPr>
              <w:t xml:space="preserve"/>
            </w:r>
            <w:r>
              <w:rPr>
                <w:sz w:val="19"/>
                <w:szCs w:val="19"/>
                <w:lang w:val="nl-NL"/>
              </w:rPr>
              <w:t xml:space="preserve">(wederverkoper)</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Geen toegang tot productie (commerciële rol reseller)</w:t>
            </w:r>
          </w:p>
        </w:tc>
        <w:tc>
          <w:tcPr>
            <w:tcW w:type="dxa" w:w="1872"/>
            <w:tcMar>
              <w:left w:type="dxa" w:w="80"/>
              <w:right w:type="dxa" w:w="80"/>
            </w:tcMar>
          </w:tcPr>
          <w:p>
            <w:pPr>
              <w:pStyle w:val="Compact"/>
            </w:pPr>
            <w:r>
              <w:rPr>
                <w:b/>
                <w:bCs/>
                <w:sz w:val="19"/>
                <w:szCs w:val="19"/>
                <w:lang w:val="nl-NL"/>
              </w:rPr>
              <w:t xml:space="preserve">Nee</w:t>
            </w:r>
          </w:p>
        </w:tc>
      </w:tr>
      <w:tr>
        <w:trPr>
          <w:cantSplit/>
        </w:trPr>
        <w:tc>
          <w:tcPr>
            <w:tcW w:type="dxa" w:w="1872"/>
            <w:tcMar>
              <w:left w:type="dxa" w:w="80"/>
              <w:right w:type="dxa" w:w="80"/>
            </w:tcMar>
          </w:tcPr>
          <w:p>
            <w:pPr>
              <w:pStyle w:val="Compact"/>
            </w:pPr>
            <w:r>
              <w:rPr>
                <w:b/>
                <w:bCs/>
                <w:sz w:val="19"/>
                <w:szCs w:val="19"/>
                <w:lang w:val="nl-NL"/>
              </w:rPr>
              <w:t xml:space="preserve">uw integrator/reseller</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Geen toegang tot productie; beheerdersrol alleen </w:t>
            </w:r>
            <w:r>
              <w:rPr>
                <w:sz w:val="19"/>
                <w:szCs w:val="19"/>
                <w:lang w:val="nl-NL"/>
              </w:rPr>
              <w:t xml:space="preserve"/>
            </w:r>
            <w:r>
              <w:rPr>
                <w:b/>
                <w:bCs/>
                <w:sz w:val="19"/>
                <w:szCs w:val="19"/>
                <w:lang w:val="nl-NL"/>
              </w:rPr>
              <w:t xml:space="preserve">in </w:t>
            </w:r>
            <w:r>
              <w:rPr>
                <w:sz w:val="19"/>
                <w:szCs w:val="19"/>
                <w:lang w:val="nl-NL"/>
              </w:rPr>
              <w:t xml:space="preserve"/>
            </w:r>
            <w:r>
              <w:rPr>
                <w:sz w:val="19"/>
                <w:szCs w:val="19"/>
                <w:lang w:val="nl-NL"/>
              </w:rPr>
              <w:t xml:space="preserve">demo-omgeving</w:t>
            </w:r>
          </w:p>
        </w:tc>
        <w:tc>
          <w:tcPr>
            <w:tcW w:type="dxa" w:w="1872"/>
            <w:tcMar>
              <w:left w:type="dxa" w:w="80"/>
              <w:right w:type="dxa" w:w="80"/>
            </w:tcMar>
          </w:tcPr>
          <w:p>
            <w:pPr>
              <w:pStyle w:val="Compact"/>
            </w:pPr>
            <w:r>
              <w:rPr>
                <w:b/>
                <w:bCs/>
                <w:sz w:val="19"/>
                <w:szCs w:val="19"/>
                <w:lang w:val="nl-NL"/>
              </w:rPr>
              <w:t xml:space="preserve">Nee </w:t>
            </w:r>
            <w:r>
              <w:rPr>
                <w:sz w:val="19"/>
                <w:szCs w:val="19"/>
                <w:lang w:val="nl-NL"/>
              </w:rPr>
              <w:t xml:space="preserve"/>
            </w:r>
            <w:r>
              <w:rPr>
                <w:sz w:val="19"/>
                <w:szCs w:val="19"/>
                <w:lang w:val="nl-NL"/>
              </w:rPr>
              <w:t xml:space="preserve">(geen audio of transcripties)</w:t>
            </w:r>
          </w:p>
        </w:tc>
      </w:tr>
      <w:tr>
        <w:trPr>
          <w:cantSplit/>
        </w:trPr>
        <w:tc>
          <w:tcPr>
            <w:tcW w:type="dxa" w:w="1872"/>
            <w:tcMar>
              <w:left w:type="dxa" w:w="80"/>
              <w:right w:type="dxa" w:w="80"/>
            </w:tcMar>
          </w:tcPr>
          <w:p>
            <w:pPr>
              <w:pStyle w:val="Compact"/>
            </w:pPr>
            <w:r>
              <w:rPr>
                <w:b/>
                <w:bCs/>
                <w:sz w:val="19"/>
                <w:szCs w:val="19"/>
                <w:lang w:val="nl-NL"/>
              </w:rPr>
              <w:t xml:space="preserve">AI — primair kanaal </w:t>
            </w:r>
            <w:r>
              <w:rPr>
                <w:sz w:val="19"/>
                <w:szCs w:val="19"/>
                <w:lang w:val="nl-NL"/>
              </w:rPr>
              <w:t xml:space="preserve"/>
            </w:r>
            <w:r>
              <w:rPr>
                <w:sz w:val="19"/>
                <w:szCs w:val="19"/>
                <w:lang w:val="nl-NL"/>
              </w:rPr>
              <w:t xml:space="preserve">(gecontroleerde vLLM-servers)</w:t>
            </w:r>
          </w:p>
        </w:tc>
        <w:tc>
          <w:tcPr>
            <w:tcW w:type="dxa" w:w="1872"/>
            <w:tcMar>
              <w:left w:type="dxa" w:w="80"/>
              <w:right w:type="dxa" w:w="80"/>
            </w:tcMar>
          </w:tcPr>
          <w:p>
            <w:pPr>
              <w:pStyle w:val="Compact"/>
            </w:pPr>
            <w:r>
              <w:rPr>
                <w:sz w:val="19"/>
                <w:szCs w:val="19"/>
                <w:lang w:val="nl-NL"/>
              </w:rPr>
              <w:t xml:space="preserve">Geautomatiseerde </w:t>
            </w:r>
            <w:r>
              <w:rPr>
                <w:sz w:val="19"/>
                <w:szCs w:val="19"/>
                <w:lang w:val="nl-NL"/>
              </w:rPr>
              <w:t xml:space="preserve"/>
            </w:r>
            <w:r>
              <w:rPr>
                <w:b/>
                <w:bCs/>
                <w:sz w:val="19"/>
                <w:szCs w:val="19"/>
                <w:lang w:val="nl-NL"/>
              </w:rPr>
              <w:t xml:space="preserve"/>
            </w:r>
            <w:r>
              <w:rPr>
                <w:sz w:val="19"/>
                <w:szCs w:val="19"/>
                <w:lang w:val="nl-NL"/>
              </w:rPr>
              <w:t xml:space="preserve">verwerking </w:t>
            </w:r>
            <w:r>
              <w:rPr>
                <w:sz w:val="19"/>
                <w:szCs w:val="19"/>
                <w:lang w:val="nl-NL"/>
              </w:rPr>
              <w:t xml:space="preserve">op servers beheerd door OHADJA</w:t>
            </w:r>
          </w:p>
        </w:tc>
        <w:tc>
          <w:tcPr>
            <w:tcW w:type="dxa" w:w="1872"/>
            <w:tcMar>
              <w:left w:type="dxa" w:w="80"/>
              <w:right w:type="dxa" w:w="80"/>
            </w:tcMar>
          </w:tcPr>
          <w:p>
            <w:pPr>
              <w:pStyle w:val="Compact"/>
            </w:pPr>
            <w:r>
              <w:rPr>
                <w:b/>
                <w:bCs/>
                <w:sz w:val="19"/>
                <w:szCs w:val="19"/>
                <w:lang w:val="nl-NL"/>
              </w:rPr>
              <w:t xml:space="preserve">EU — Straatsburg/Parijs</w:t>
            </w:r>
          </w:p>
        </w:tc>
        <w:tc>
          <w:tcPr>
            <w:tcW w:type="dxa" w:w="1872"/>
            <w:tcMar>
              <w:left w:type="dxa" w:w="80"/>
              <w:right w:type="dxa" w:w="80"/>
            </w:tcMar>
          </w:tcPr>
          <w:p>
            <w:pPr>
              <w:pStyle w:val="Compact"/>
            </w:pPr>
            <w:r>
              <w:rPr>
                <w:sz w:val="19"/>
                <w:szCs w:val="19"/>
                <w:lang w:val="nl-NL"/>
              </w:rPr>
              <w:t xml:space="preserve">Modellen met open gewicht, geen derden, no-train</w:t>
            </w:r>
          </w:p>
        </w:tc>
        <w:tc>
          <w:tcPr>
            <w:tcW w:type="dxa" w:w="1872"/>
            <w:tcMar>
              <w:left w:type="dxa" w:w="80"/>
              <w:right w:type="dxa" w:w="80"/>
            </w:tcMar>
          </w:tcPr>
          <w:p>
            <w:pPr>
              <w:pStyle w:val="Compact"/>
            </w:pPr>
            <w:r>
              <w:rPr>
                <w:sz w:val="19"/>
                <w:szCs w:val="19"/>
                <w:lang w:val="nl-NL"/>
              </w:rPr>
              <w:t xml:space="preserve">Geen toegang van derden; geen menselijke toegang tot aanwijzingen</w:t>
            </w:r>
          </w:p>
        </w:tc>
      </w:tr>
      <w:tr>
        <w:trPr>
          <w:cantSplit/>
        </w:trPr>
        <w:tc>
          <w:tcPr>
            <w:tcW w:type="dxa" w:w="1872"/>
            <w:tcMar>
              <w:left w:type="dxa" w:w="80"/>
              <w:right w:type="dxa" w:w="80"/>
            </w:tcMar>
          </w:tcPr>
          <w:p>
            <w:pPr>
              <w:pStyle w:val="Compact"/>
            </w:pPr>
            <w:r>
              <w:rPr>
                <w:b/>
                <w:bCs/>
                <w:sz w:val="19"/>
                <w:szCs w:val="19"/>
                <w:lang w:val="nl-NL"/>
              </w:rPr>
              <w:t xml:space="preserve">AI — noodroute </w:t>
            </w:r>
            <w:r>
              <w:rPr>
                <w:sz w:val="19"/>
                <w:szCs w:val="19"/>
                <w:lang w:val="nl-NL"/>
              </w:rPr>
              <w:t xml:space="preserve"/>
            </w:r>
            <w:r>
              <w:rPr>
                <w:sz w:val="19"/>
                <w:szCs w:val="19"/>
                <w:lang w:val="nl-NL"/>
              </w:rPr>
              <w:t xml:space="preserve">(OpenRouter, Anthropic, OpenAI…)</w:t>
            </w:r>
          </w:p>
        </w:tc>
        <w:tc>
          <w:tcPr>
            <w:tcW w:type="dxa" w:w="1872"/>
            <w:tcMar>
              <w:left w:type="dxa" w:w="80"/>
              <w:right w:type="dxa" w:w="80"/>
            </w:tcMar>
          </w:tcPr>
          <w:p>
            <w:pPr>
              <w:pStyle w:val="Compact"/>
            </w:pPr>
            <w:r>
              <w:rPr>
                <w:sz w:val="19"/>
                <w:szCs w:val="19"/>
                <w:lang w:val="nl-NL"/>
              </w:rPr>
              <w:t xml:space="preserve">Geautomatiseerde </w:t>
            </w:r>
            <w:r>
              <w:rPr>
                <w:sz w:val="19"/>
                <w:szCs w:val="19"/>
                <w:lang w:val="nl-NL"/>
              </w:rPr>
              <w:t xml:space="preserve"/>
            </w:r>
            <w:r>
              <w:rPr>
                <w:b/>
                <w:bCs/>
                <w:sz w:val="19"/>
                <w:szCs w:val="19"/>
                <w:lang w:val="nl-NL"/>
              </w:rPr>
              <w:t xml:space="preserve">technische toegang </w:t>
            </w:r>
            <w:r>
              <w:rPr>
                <w:sz w:val="19"/>
                <w:szCs w:val="19"/>
                <w:lang w:val="nl-NL"/>
              </w:rPr>
              <w:t xml:space="preserve"/>
            </w:r>
            <w:r>
              <w:rPr>
                <w:sz w:val="19"/>
                <w:szCs w:val="19"/>
                <w:lang w:val="nl-NL"/>
              </w:rPr>
              <w:t xml:space="preserve">(gevolgtrekking), </w:t>
            </w:r>
            <w:r>
              <w:rPr>
                <w:sz w:val="19"/>
                <w:szCs w:val="19"/>
                <w:lang w:val="nl-NL"/>
              </w:rPr>
              <w:t xml:space="preserve"/>
            </w:r>
            <w:r>
              <w:rPr>
                <w:b/>
                <w:bCs/>
                <w:sz w:val="19"/>
                <w:szCs w:val="19"/>
                <w:lang w:val="nl-NL"/>
              </w:rPr>
              <w:t xml:space="preserve">deactiveerbaar</w:t>
            </w:r>
          </w:p>
        </w:tc>
        <w:tc>
          <w:tcPr>
            <w:tcW w:type="dxa" w:w="1872"/>
            <w:tcMar>
              <w:left w:type="dxa" w:w="80"/>
              <w:right w:type="dxa" w:w="80"/>
            </w:tcMar>
          </w:tcPr>
          <w:p>
            <w:pPr>
              <w:pStyle w:val="Compact"/>
            </w:pPr>
            <w:r>
              <w:rPr>
                <w:sz w:val="19"/>
                <w:szCs w:val="19"/>
                <w:lang w:val="nl-NL"/>
              </w:rPr>
              <w:t xml:space="preserve">VS/EU afhankelijk van model</w:t>
            </w:r>
          </w:p>
        </w:tc>
        <w:tc>
          <w:tcPr>
            <w:tcW w:type="dxa" w:w="1872"/>
            <w:tcMar>
              <w:left w:type="dxa" w:w="80"/>
              <w:right w:type="dxa" w:w="80"/>
            </w:tcMar>
          </w:tcPr>
          <w:p>
            <w:pPr>
              <w:pStyle w:val="Compact"/>
            </w:pPr>
            <w:r>
              <w:rPr>
                <w:sz w:val="19"/>
                <w:szCs w:val="19"/>
                <w:lang w:val="nl-NL"/>
              </w:rPr>
              <w:t xml:space="preserve">no-train, geen duurzame opslag, leverancier DPA, CCT indien van toepassing</w:t>
            </w:r>
          </w:p>
        </w:tc>
        <w:tc>
          <w:tcPr>
            <w:tcW w:type="dxa" w:w="1872"/>
            <w:tcMar>
              <w:left w:type="dxa" w:w="80"/>
              <w:right w:type="dxa" w:w="80"/>
            </w:tcMar>
          </w:tcPr>
          <w:p>
            <w:pPr>
              <w:pStyle w:val="Compact"/>
            </w:pPr>
            <w:r>
              <w:rPr>
                <w:sz w:val="19"/>
                <w:szCs w:val="19"/>
                <w:lang w:val="nl-NL"/>
              </w:rPr>
              <w:t xml:space="preserve">Machinetoegang tot aanwijzingen tijdens gevolgtrekking; </w:t>
            </w:r>
            <w:r>
              <w:rPr>
                <w:sz w:val="19"/>
                <w:szCs w:val="19"/>
                <w:lang w:val="nl-NL"/>
              </w:rPr>
              <w:t xml:space="preserve"/>
            </w:r>
            <w:r>
              <w:rPr>
                <w:b/>
                <w:bCs/>
                <w:sz w:val="19"/>
                <w:szCs w:val="19"/>
                <w:lang w:val="nl-NL"/>
              </w:rPr>
              <w:t xml:space="preserve">geen menselijke </w:t>
            </w:r>
            <w:r>
              <w:rPr>
                <w:sz w:val="19"/>
                <w:szCs w:val="19"/>
                <w:lang w:val="nl-NL"/>
              </w:rPr>
              <w:t xml:space="preserve">toegangszijde </w:t>
            </w:r>
            <w:r>
              <w:rPr>
                <w:sz w:val="19"/>
                <w:szCs w:val="19"/>
                <w:lang w:val="nl-NL"/>
              </w:rPr>
              <w:t xml:space="preserve">OHADJA</w:t>
            </w:r>
          </w:p>
        </w:tc>
      </w:tr>
      <w:tr>
        <w:trPr>
          <w:cantSplit/>
        </w:trPr>
        <w:tc>
          <w:tcPr>
            <w:tcW w:type="dxa" w:w="1872"/>
            <w:tcMar>
              <w:left w:type="dxa" w:w="80"/>
              <w:right w:type="dxa" w:w="80"/>
            </w:tcMar>
          </w:tcPr>
          <w:p>
            <w:pPr>
              <w:pStyle w:val="Compact"/>
            </w:pPr>
            <w:r>
              <w:rPr>
                <w:b/>
                <w:bCs/>
                <w:sz w:val="19"/>
                <w:szCs w:val="19"/>
                <w:lang w:val="nl-NL"/>
              </w:rPr>
              <w:t xml:space="preserve">Gastheer </w:t>
            </w:r>
            <w:r>
              <w:rPr>
                <w:sz w:val="19"/>
                <w:szCs w:val="19"/>
                <w:lang w:val="nl-NL"/>
              </w:rPr>
              <w:t xml:space="preserve"/>
            </w:r>
            <w:r>
              <w:rPr>
                <w:sz w:val="19"/>
                <w:szCs w:val="19"/>
                <w:lang w:val="nl-NL"/>
              </w:rPr>
              <w:t xml:space="preserve">(Hostinger)</w:t>
            </w:r>
          </w:p>
        </w:tc>
        <w:tc>
          <w:tcPr>
            <w:tcW w:type="dxa" w:w="1872"/>
            <w:tcMar>
              <w:left w:type="dxa" w:w="80"/>
              <w:right w:type="dxa" w:w="80"/>
            </w:tcMar>
          </w:tcPr>
          <w:p>
            <w:pPr>
              <w:pStyle w:val="Compact"/>
            </w:pPr>
            <w:r>
              <w:rPr>
                <w:sz w:val="19"/>
                <w:szCs w:val="19"/>
                <w:lang w:val="nl-NL"/>
              </w:rPr>
              <w:t xml:space="preserve">Fysieke hosting</w:t>
            </w:r>
          </w:p>
        </w:tc>
        <w:tc>
          <w:tcPr>
            <w:tcW w:type="dxa" w:w="1872"/>
            <w:tcMar>
              <w:left w:type="dxa" w:w="80"/>
              <w:right w:type="dxa" w:w="80"/>
            </w:tcMar>
          </w:tcPr>
          <w:p>
            <w:pPr>
              <w:pStyle w:val="Compact"/>
            </w:pPr>
            <w:r>
              <w:rPr>
                <w:sz w:val="19"/>
                <w:szCs w:val="19"/>
                <w:lang w:val="nl-NL"/>
              </w:rPr>
              <w:t xml:space="preserve">Datacentrum Frankrijk</w:t>
            </w:r>
          </w:p>
        </w:tc>
        <w:tc>
          <w:tcPr>
            <w:tcW w:type="dxa" w:w="1872"/>
            <w:tcMar>
              <w:left w:type="dxa" w:w="80"/>
              <w:right w:type="dxa" w:w="80"/>
            </w:tcMar>
          </w:tcPr>
          <w:p>
            <w:pPr>
              <w:pStyle w:val="Compact"/>
            </w:pPr>
            <w:r>
              <w:rPr>
                <w:sz w:val="19"/>
                <w:szCs w:val="19"/>
                <w:lang w:val="nl-NL"/>
              </w:rPr>
              <w:t xml:space="preserve">Alleen fysieke toegang tot het datacenter; schijfversleuteling volgens datacenteraanbod</w:t>
            </w:r>
          </w:p>
        </w:tc>
        <w:tc>
          <w:tcPr>
            <w:tcW w:type="dxa" w:w="1872"/>
            <w:tcMar>
              <w:left w:type="dxa" w:w="80"/>
              <w:right w:type="dxa" w:w="80"/>
            </w:tcMar>
          </w:tcPr>
          <w:p>
            <w:pPr>
              <w:pStyle w:val="Compact"/>
            </w:pPr>
            <w:r>
              <w:rPr>
                <w:b/>
                <w:bCs/>
                <w:sz w:val="19"/>
                <w:szCs w:val="19"/>
                <w:lang w:val="nl-NL"/>
              </w:rPr>
              <w:t xml:space="preserve">Nee </w:t>
            </w:r>
            <w:r>
              <w:rPr>
                <w:sz w:val="19"/>
                <w:szCs w:val="19"/>
                <w:lang w:val="nl-NL"/>
              </w:rPr>
              <w:t xml:space="preserve"/>
            </w:r>
            <w:r>
              <w:rPr>
                <w:sz w:val="19"/>
                <w:szCs w:val="19"/>
                <w:lang w:val="nl-NL"/>
              </w:rPr>
              <w:t xml:space="preserve">(geen logische toegang)</w:t>
            </w:r>
          </w:p>
        </w:tc>
      </w:tr>
      <w:tr>
        <w:trPr>
          <w:cantSplit/>
        </w:trPr>
        <w:tc>
          <w:tcPr>
            <w:tcW w:type="dxa" w:w="1872"/>
            <w:tcMar>
              <w:left w:type="dxa" w:w="80"/>
              <w:right w:type="dxa" w:w="80"/>
            </w:tcMar>
          </w:tcPr>
          <w:p>
            <w:pPr>
              <w:pStyle w:val="Compact"/>
            </w:pPr>
            <w:r>
              <w:rPr>
                <w:b/>
                <w:bCs/>
                <w:sz w:val="19"/>
                <w:szCs w:val="19"/>
                <w:lang w:val="nl-NL"/>
              </w:rPr>
              <w:t xml:space="preserve">Back-up </w:t>
            </w:r>
            <w:r>
              <w:rPr>
                <w:sz w:val="19"/>
                <w:szCs w:val="19"/>
                <w:lang w:val="nl-NL"/>
              </w:rPr>
              <w:t xml:space="preserve"/>
            </w:r>
            <w:r>
              <w:rPr>
                <w:sz w:val="19"/>
                <w:szCs w:val="19"/>
                <w:lang w:val="nl-NL"/>
              </w:rPr>
              <w:t xml:space="preserve">(Scaleway)</w:t>
            </w:r>
          </w:p>
        </w:tc>
        <w:tc>
          <w:tcPr>
            <w:tcW w:type="dxa" w:w="1872"/>
            <w:tcMar>
              <w:left w:type="dxa" w:w="80"/>
              <w:right w:type="dxa" w:w="80"/>
            </w:tcMar>
          </w:tcPr>
          <w:p>
            <w:pPr>
              <w:pStyle w:val="Compact"/>
            </w:pPr>
            <w:r>
              <w:rPr>
                <w:sz w:val="19"/>
                <w:szCs w:val="19"/>
                <w:lang w:val="nl-NL"/>
              </w:rPr>
              <w:t xml:space="preserve">Gecodeerde objectopslag</w:t>
            </w:r>
          </w:p>
        </w:tc>
        <w:tc>
          <w:tcPr>
            <w:tcW w:type="dxa" w:w="1872"/>
            <w:tcMar>
              <w:left w:type="dxa" w:w="80"/>
              <w:right w:type="dxa" w:w="80"/>
            </w:tcMar>
          </w:tcPr>
          <w:p>
            <w:pPr>
              <w:pStyle w:val="Compact"/>
            </w:pPr>
            <w:r>
              <w:rPr>
                <w:sz w:val="19"/>
                <w:szCs w:val="19"/>
                <w:lang w:val="nl-NL"/>
              </w:rPr>
              <w:t xml:space="preserve">Frankrijk (EU)</w:t>
            </w:r>
          </w:p>
        </w:tc>
        <w:tc>
          <w:tcPr>
            <w:tcW w:type="dxa" w:w="1872"/>
            <w:tcMar>
              <w:left w:type="dxa" w:w="80"/>
              <w:right w:type="dxa" w:w="80"/>
            </w:tcMar>
          </w:tcPr>
          <w:p>
            <w:pPr>
              <w:pStyle w:val="Compact"/>
            </w:pPr>
            <w:r>
              <w:rPr>
                <w:sz w:val="19"/>
                <w:szCs w:val="19"/>
                <w:lang w:val="nl-NL"/>
              </w:rPr>
              <w:t xml:space="preserve">Gegevens vóór verzending </w:t>
            </w:r>
            <w:r>
              <w:rPr>
                <w:sz w:val="19"/>
                <w:szCs w:val="19"/>
                <w:lang w:val="nl-NL"/>
              </w:rPr>
              <w:t xml:space="preserve"/>
            </w:r>
            <w:r>
              <w:rPr>
                <w:b/>
                <w:bCs/>
                <w:sz w:val="19"/>
                <w:szCs w:val="19"/>
                <w:lang w:val="nl-NL"/>
              </w:rPr>
              <w:t xml:space="preserve">versleuteld </w:t>
            </w:r>
            <w:r>
              <w:rPr>
                <w:sz w:val="19"/>
                <w:szCs w:val="19"/>
                <w:lang w:val="nl-NL"/>
              </w:rPr>
              <w:t xml:space="preserve"/>
            </w:r>
            <w:r>
              <w:rPr>
                <w:sz w:val="19"/>
                <w:szCs w:val="19"/>
                <w:lang w:val="nl-NL"/>
              </w:rPr>
              <w:t xml:space="preserve">met age; sleutels niet voor hen toegankelijk</w:t>
            </w:r>
          </w:p>
        </w:tc>
        <w:tc>
          <w:tcPr>
            <w:tcW w:type="dxa" w:w="1872"/>
            <w:tcMar>
              <w:left w:type="dxa" w:w="80"/>
              <w:right w:type="dxa" w:w="80"/>
            </w:tcMar>
          </w:tcPr>
          <w:p>
            <w:pPr>
              <w:pStyle w:val="Compact"/>
            </w:pPr>
            <w:r>
              <w:rPr>
                <w:b/>
                <w:bCs/>
                <w:sz w:val="19"/>
                <w:szCs w:val="19"/>
                <w:lang w:val="nl-NL"/>
              </w:rPr>
              <w:t xml:space="preserve">Nee </w:t>
            </w:r>
            <w:r>
              <w:rPr>
                <w:sz w:val="19"/>
                <w:szCs w:val="19"/>
                <w:lang w:val="nl-NL"/>
              </w:rPr>
              <w:t xml:space="preserve"/>
            </w:r>
            <w:r>
              <w:rPr>
                <w:sz w:val="19"/>
                <w:szCs w:val="19"/>
                <w:lang w:val="nl-NL"/>
              </w:rPr>
              <w:t xml:space="preserve">(gegevens onleesbaar voor de dienstverlener)</w:t>
            </w:r>
          </w:p>
        </w:tc>
      </w:tr>
      <w:tr>
        <w:trPr>
          <w:cantSplit/>
        </w:trPr>
        <w:tc>
          <w:tcPr>
            <w:tcW w:type="dxa" w:w="1872"/>
            <w:tcMar>
              <w:left w:type="dxa" w:w="80"/>
              <w:right w:type="dxa" w:w="80"/>
            </w:tcMar>
          </w:tcPr>
          <w:p>
            <w:pPr>
              <w:pStyle w:val="Compact"/>
            </w:pPr>
            <w:r>
              <w:rPr>
                <w:b/>
                <w:bCs/>
                <w:sz w:val="19"/>
                <w:szCs w:val="19"/>
                <w:lang w:val="nl-NL"/>
              </w:rPr>
              <w:t xml:space="preserve">GPU-transcriptie </w:t>
            </w:r>
            <w:r>
              <w:rPr>
                <w:sz w:val="19"/>
                <w:szCs w:val="19"/>
                <w:lang w:val="nl-NL"/>
              </w:rPr>
              <w:t xml:space="preserve"/>
            </w:r>
            <w:r>
              <w:rPr>
                <w:sz w:val="19"/>
                <w:szCs w:val="19"/>
                <w:lang w:val="nl-NL"/>
              </w:rPr>
              <w:t xml:space="preserve">(speciale GPU / Vast.ai indien ingeschakeld)</w:t>
            </w:r>
          </w:p>
        </w:tc>
        <w:tc>
          <w:tcPr>
            <w:tcW w:type="dxa" w:w="1872"/>
            <w:tcMar>
              <w:left w:type="dxa" w:w="80"/>
              <w:right w:type="dxa" w:w="80"/>
            </w:tcMar>
          </w:tcPr>
          <w:p>
            <w:pPr>
              <w:pStyle w:val="Compact"/>
            </w:pPr>
            <w:r>
              <w:rPr>
                <w:sz w:val="19"/>
                <w:szCs w:val="19"/>
                <w:lang w:val="nl-NL"/>
              </w:rPr>
              <w:t xml:space="preserve">Geautomatiseerde verwerking</w:t>
            </w:r>
          </w:p>
        </w:tc>
        <w:tc>
          <w:tcPr>
            <w:tcW w:type="dxa" w:w="1872"/>
            <w:tcMar>
              <w:left w:type="dxa" w:w="80"/>
              <w:right w:type="dxa" w:w="80"/>
            </w:tcMar>
          </w:tcPr>
          <w:p>
            <w:pPr>
              <w:pStyle w:val="Compact"/>
            </w:pPr>
            <w:r>
              <w:rPr>
                <w:sz w:val="19"/>
                <w:szCs w:val="19"/>
                <w:lang w:val="nl-NL"/>
              </w:rPr>
              <w:t xml:space="preserve">EU indien nodig; buiten EER mogelijk via marktplaats</w:t>
            </w:r>
          </w:p>
        </w:tc>
        <w:tc>
          <w:tcPr>
            <w:tcW w:type="dxa" w:w="1872"/>
            <w:tcMar>
              <w:left w:type="dxa" w:w="80"/>
              <w:right w:type="dxa" w:w="80"/>
            </w:tcMar>
          </w:tcPr>
          <w:p>
            <w:pPr>
              <w:pStyle w:val="Compact"/>
            </w:pPr>
            <w:r>
              <w:rPr>
                <w:sz w:val="19"/>
                <w:szCs w:val="19"/>
                <w:lang w:val="nl-NL"/>
              </w:rPr>
              <w:t xml:space="preserve">Verwijdering na taak</w:t>
            </w:r>
          </w:p>
        </w:tc>
        <w:tc>
          <w:tcPr>
            <w:tcW w:type="dxa" w:w="1872"/>
            <w:tcMar>
              <w:left w:type="dxa" w:w="80"/>
              <w:right w:type="dxa" w:w="80"/>
            </w:tcMar>
          </w:tcPr>
          <w:p>
            <w:pPr>
              <w:pStyle w:val="Compact"/>
            </w:pPr>
            <w:r>
              <w:rPr>
                <w:b/>
                <w:bCs/>
                <w:sz w:val="19"/>
                <w:szCs w:val="19"/>
                <w:lang w:val="nl-NL"/>
              </w:rPr>
              <w:t xml:space="preserve">Nee </w:t>
            </w:r>
            <w:r>
              <w:rPr>
                <w:sz w:val="19"/>
                <w:szCs w:val="19"/>
                <w:lang w:val="nl-NL"/>
              </w:rPr>
              <w:t xml:space="preserve"/>
            </w:r>
            <w:r>
              <w:rPr>
                <w:sz w:val="19"/>
                <w:szCs w:val="19"/>
                <w:lang w:val="nl-NL"/>
              </w:rPr>
              <w:t xml:space="preserve">(geautomatiseerde verwerking, geen menselijke toegang)</w:t>
            </w:r>
          </w:p>
        </w:tc>
      </w:tr>
    </w:tbl>
    <w:bookmarkEnd w:id="70"/>
    <w:bookmarkStart w:id="71" w:name="Xa3064877aefcfc8385bf14f5b705943c6869bcf"/>
    <w:p>
      <w:pPr>
        <w:pStyle w:val="Heading3"/>
        <w:keepNext/>
        <w:keepLines/>
      </w:pPr>
      <w:r>
        <w:rPr>
          <w:color w:val="000000"/>
          <w:lang w:val="nl-NL"/>
        </w:rPr>
        <w:t xml:space="preserve">3.2 Toegang van buiten de EER — transparante toelichting</w:t>
      </w:r>
    </w:p>
    <w:p>
      <w:pPr>
        <w:pStyle w:val="FirstParagraph"/>
      </w:pPr>
      <w:r>
        <w:rPr>
          <w:lang w:val="nl-NL"/>
        </w:rPr>
        <w:t xml:space="preserve">Bij Optie A kan slechts één categorie stromen de EER verlaten, en dat is van technische </w:t>
      </w:r>
      <w:r>
        <w:rPr>
          <w:lang w:val="nl-NL"/>
        </w:rPr>
        <w:t xml:space="preserve"/>
      </w:r>
      <w:r>
        <w:rPr>
          <w:b/>
          <w:bCs/>
          <w:lang w:val="nl-NL"/>
        </w:rPr>
        <w:t xml:space="preserve">aard (machinetoegang), en niet van </w:t>
      </w:r>
      <w:r>
        <w:rPr>
          <w:lang w:val="nl-NL"/>
        </w:rPr>
        <w:t xml:space="preserve"/>
      </w:r>
      <w:r>
        <w:rPr>
          <w:lang w:val="nl-NL"/>
        </w:rPr>
        <w:t xml:space="preserve">menselijke:</w:t>
      </w:r>
    </w:p>
    <w:p>
      <w:pPr>
        <w:pStyle w:val="Compact"/>
        <w:numPr>
          <w:ilvl w:val="0"/>
          <w:numId w:val="1018"/>
        </w:numPr>
      </w:pPr>
      <w:r>
        <w:rPr>
          <w:b/>
          <w:bCs/>
          <w:lang w:val="nl-NL"/>
        </w:rPr>
        <w:t xml:space="preserve">AI-technische stromen in noodmodus. Het </w:t>
      </w:r>
      <w:r>
        <w:rPr>
          <w:lang w:val="nl-NL"/>
        </w:rPr>
        <w:t xml:space="preserve"/>
      </w:r>
      <w:r>
        <w:rPr>
          <w:lang w:val="nl-NL"/>
        </w:rPr>
        <w:t xml:space="preserve"/>
      </w:r>
      <w:r>
        <w:rPr>
          <w:lang w:val="nl-NL"/>
        </w:rPr>
        <w:t xml:space="preserve"/>
      </w:r>
      <w:r>
        <w:rPr>
          <w:b/>
          <w:bCs/>
          <w:lang w:val="nl-NL"/>
        </w:rPr>
        <w:t xml:space="preserve">primaire IA-kanaal </w:t>
      </w:r>
      <w:r>
        <w:rPr>
          <w:lang w:val="nl-NL"/>
        </w:rPr>
        <w:t xml:space="preserve"/>
      </w:r>
      <w:r>
        <w:rPr>
          <w:lang w:val="nl-NL"/>
        </w:rPr>
        <w:t xml:space="preserve">(vLLM-servers beheerd in Straatsburg/Parijs) </w:t>
      </w:r>
      <w:r>
        <w:rPr>
          <w:lang w:val="nl-NL"/>
        </w:rPr>
        <w:t xml:space="preserve"/>
      </w:r>
      <w:r>
        <w:rPr>
          <w:b/>
          <w:bCs/>
          <w:lang w:val="nl-NL"/>
        </w:rPr>
        <w:t xml:space="preserve">genereert geen stromen buiten de </w:t>
      </w:r>
      <w:r>
        <w:rPr>
          <w:lang w:val="nl-NL"/>
        </w:rPr>
        <w:t xml:space="preserve">EER. Een stroom naar </w:t>
      </w:r>
      <w:r>
        <w:rPr>
          <w:lang w:val="nl-NL"/>
        </w:rPr>
        <w:t xml:space="preserve"/>
      </w:r>
      <w:r>
        <w:rPr>
          <w:b/>
          <w:bCs/>
          <w:lang w:val="nl-NL"/>
        </w:rPr>
        <w:t xml:space="preserve">de Verenigde </w:t>
      </w:r>
      <w:r>
        <w:rPr>
          <w:lang w:val="nl-NL"/>
        </w:rPr>
        <w:t xml:space="preserve"/>
      </w:r>
      <w:r>
        <w:rPr>
          <w:lang w:val="nl-NL"/>
        </w:rPr>
        <w:t xml:space="preserve">Staten vindt alleen </w:t>
      </w:r>
      <w:r>
        <w:rPr>
          <w:lang w:val="nl-NL"/>
        </w:rPr>
        <w:t xml:space="preserve">plaats </w:t>
      </w:r>
      <w:r>
        <w:rPr>
          <w:b/>
          <w:bCs/>
          <w:lang w:val="nl-NL"/>
        </w:rPr>
        <w:t xml:space="preserve">via de </w:t>
      </w:r>
      <w:r>
        <w:rPr>
          <w:lang w:val="nl-NL"/>
        </w:rPr>
        <w:t xml:space="preserve"/>
      </w:r>
      <w:r>
        <w:rPr>
          <w:lang w:val="nl-NL"/>
        </w:rPr>
        <w:t xml:space="preserve">OpenRouter-noodroute (en modelaanbieders zoals Anthropic of OpenAI), bij onbeschikbaarheid van de primaire route – deze noodroute kan door de organisatie </w:t>
      </w:r>
      <w:r>
        <w:rPr>
          <w:lang w:val="nl-NL"/>
        </w:rPr>
        <w:t xml:space="preserve"/>
      </w:r>
      <w:r>
        <w:rPr>
          <w:b/>
          <w:bCs/>
          <w:lang w:val="nl-NL"/>
        </w:rPr>
        <w:t xml:space="preserve">worden gedeactiveerd. GPU-computing </w:t>
      </w:r>
      <w:r>
        <w:rPr>
          <w:lang w:val="nl-NL"/>
        </w:rPr>
        <w:t xml:space="preserve">via Vast.ai is, indien ingeschakeld, afhankelijk van een Amerikaanse marktplaats </w:t>
      </w:r>
      <w:r>
        <w:rPr>
          <w:lang w:val="nl-NL"/>
        </w:rPr>
        <w:t xml:space="preserve"/>
      </w:r>
      <w:r>
        <w:rPr>
          <w:b/>
          <w:bCs/>
          <w:lang w:val="nl-NL"/>
        </w:rPr>
        <w:t xml:space="preserve">(machines </w:t>
      </w:r>
      <w:r>
        <w:rPr>
          <w:lang w:val="nl-NL"/>
        </w:rPr>
        <w:t xml:space="preserve"/>
      </w:r>
      <w:r>
        <w:rPr>
          <w:lang w:val="nl-NL"/>
        </w:rPr>
        <w:t xml:space="preserve">worden indien nodig in de EU geselecteerd). Deze stromen zijn gereguleerd (CCT, no-train, minimalisatie, geen duurzame opslag) en gedetailleerd in document OHA-RGPD-04. </w:t>
      </w:r>
      <w:r>
        <w:rPr>
          <w:lang w:val="nl-NL"/>
        </w:rPr>
        <w:t xml:space="preserve"/>
      </w:r>
      <w:r>
        <w:rPr>
          <w:b/>
          <w:bCs/>
          <w:lang w:val="nl-NL"/>
        </w:rPr>
        <w:t xml:space="preserve">Dankzij </w:t>
      </w:r>
      <w:r>
        <w:rPr>
          <w:lang w:val="nl-NL"/>
        </w:rPr>
        <w:t xml:space="preserve">het ‘strikte UE’-profiel (alleen primaire route / UE LLM of zelfgehost + UE GPU) kunnen ze worden verwijderd.</w:t>
      </w:r>
    </w:p>
    <w:p>
      <w:pPr>
        <w:pStyle w:val="FirstParagraph"/>
      </w:pPr>
      <w:r>
        <w:rPr>
          <w:b/>
          <w:bCs/>
          <w:lang w:val="nl-NL"/>
        </w:rPr>
        <w:t xml:space="preserve">Toegang tot menselijke administratie: alleen Frankrijk/EU. </w:t>
      </w:r>
      <w:r>
        <w:rPr>
          <w:lang w:val="nl-NL"/>
        </w:rPr>
        <w:t xml:space="preserve"/>
      </w:r>
      <w:r>
        <w:rPr>
          <w:lang w:val="nl-NL"/>
        </w:rPr>
        <w:t xml:space="preserve">Het beheer en de ondersteuning van het platform worden uitgevoerd door OHADJA (gevestigd in Parijs) </w:t>
      </w:r>
      <w:r>
        <w:rPr>
          <w:lang w:val="nl-NL"/>
        </w:rPr>
        <w:t xml:space="preserve"/>
      </w:r>
      <w:r>
        <w:rPr>
          <w:b/>
          <w:bCs/>
          <w:lang w:val="nl-NL"/>
        </w:rPr>
        <w:t xml:space="preserve">uitsluitend vanuit Frankrijk / de Europese Unie </w:t>
      </w:r>
      <w:r>
        <w:rPr>
          <w:lang w:val="nl-NL"/>
        </w:rPr>
        <w:t xml:space="preserve"/>
      </w:r>
      <w:r>
        <w:rPr>
          <w:lang w:val="nl-NL"/>
        </w:rPr>
        <w:t xml:space="preserve">(contractuele verplichting, zie OHA-RGPD-04). Er vindt geen menselijke toegang tot productiegegevens plaats vanuit een derde land. De oprichtende groep oefent ook een commerciële activiteit uit als wederverkoper, waaronder Monaco (AMBASSADIA SARL), maar dit </w:t>
      </w:r>
      <w:r>
        <w:rPr>
          <w:lang w:val="nl-NL"/>
        </w:rPr>
        <w:t xml:space="preserve"/>
      </w:r>
      <w:r>
        <w:rPr>
          <w:b/>
          <w:bCs/>
          <w:lang w:val="nl-NL"/>
        </w:rPr>
        <w:t xml:space="preserve">biedt geen toegang tot de gegevens: het onderwerp </w:t>
      </w:r>
      <w:r>
        <w:rPr>
          <w:lang w:val="nl-NL"/>
        </w:rPr>
        <w:t xml:space="preserve"/>
      </w:r>
      <w:r>
        <w:rPr>
          <w:lang w:val="nl-NL"/>
        </w:rPr>
        <w:t xml:space="preserve">wordt behandeld en gesloten door de toegangsverplichting Frankrijk/EU.</w:t>
      </w:r>
    </w:p>
    <w:p>
      <w:pPr>
        <w:pStyle w:val="BodyText"/>
      </w:pPr>
      <w:r>
        <w:rPr>
          <w:lang w:val="nl-NL"/>
        </w:rPr>
        <w:t xml:space="preserve">In </w:t>
      </w:r>
      <w:r>
        <w:rPr>
          <w:lang w:val="nl-NL"/>
        </w:rPr>
        <w:t xml:space="preserve"/>
      </w:r>
      <w:r>
        <w:rPr>
          <w:b/>
          <w:bCs/>
          <w:lang w:val="nl-NL"/>
        </w:rPr>
        <w:t xml:space="preserve">geïsoleerde optie </w:t>
      </w:r>
      <w:r>
        <w:rPr>
          <w:lang w:val="nl-NL"/>
        </w:rPr>
        <w:t xml:space="preserve">B bestaat geen van deze toegangen: noch uitgaande AI-stroom, noch opgelegde externe beheerderstoegang.</w:t>
      </w:r>
    </w:p>
    <w:bookmarkEnd w:id="71"/>
    <w:bookmarkEnd w:id="72"/>
    <w:bookmarkStart w:id="76" w:name="X8b1f3ba40315acea0d3beb20e77272cc7a657cf"/>
    <w:p>
      <w:pPr>
        <w:pStyle w:val="Heading2"/>
        <w:keepNext/>
        <w:keepLines/>
      </w:pPr>
      <w:r>
        <w:rPr>
          <w:color w:val="000000"/>
          <w:lang w:val="nl-NL"/>
        </w:rPr>
        <w:t xml:space="preserve">4. End-to-end doorlopen van een audiobestand (optie A)</w:t>
      </w:r>
    </w:p>
    <w:p>
      <w:pPr>
        <w:pStyle w:val="FirstParagraph"/>
        <w:keepNext/>
      </w:pPr>
      <w:r>
        <w:drawing>
          <wp:inline>
            <wp:extent cx="5334000" cy="1105323"/>
            <wp:effectExtent b="0" l="0" r="0" t="0"/>
            <wp:docPr descr="Parcours d'un fichier audio" title="" id="74" name="Picture"/>
            <a:graphic>
              <a:graphicData uri="http://schemas.openxmlformats.org/drawingml/2006/picture">
                <pic:pic>
                  <pic:nvPicPr>
                    <pic:cNvPr descr="img/parcours-audio.png" id="75" name="Picture"/>
                    <pic:cNvPicPr>
                      <a:picLocks noChangeArrowheads="1" noChangeAspect="1"/>
                    </pic:cNvPicPr>
                  </pic:nvPicPr>
                  <pic:blipFill>
                    <a:blip r:embed="rId73"/>
                    <a:stretch>
                      <a:fillRect/>
                    </a:stretch>
                  </pic:blipFill>
                  <pic:spPr bwMode="auto">
                    <a:xfrm>
                      <a:off x="0" y="0"/>
                      <a:ext cx="5334000" cy="1105323"/>
                    </a:xfrm>
                    <a:prstGeom prst="rect">
                      <a:avLst/>
                    </a:prstGeom>
                    <a:noFill/>
                    <a:ln w="9525">
                      <a:noFill/>
                      <a:headEnd/>
                      <a:tailEnd/>
                    </a:ln>
                  </pic:spPr>
                </pic:pic>
              </a:graphicData>
            </a:graphic>
          </wp:inline>
        </w:drawing>
      </w:r>
    </w:p>
    <w:p>
      <w:pPr>
        <w:pStyle w:val="BodyText"/>
        <w:keepLines/>
      </w:pPr>
      <w:r>
        <w:rPr>
          <w:i/>
          <w:iCs/>
          <w:lang w:val="nl-NL"/>
        </w:rPr>
        <w:t xml:space="preserve">Figuur 1 — Een audiobestand verwerken, van uploaden tot gecodeerde Scaleway-back-up, in zeven stappen (Visio .vsdx-versie opnieuw geïmplementeerd).</w:t>
      </w:r>
    </w:p>
    <w:p>
      <w:pPr>
        <w:pStyle w:val="BodyText"/>
      </w:pPr>
      <w:r>
        <w:rPr>
          <w:b/>
          <w:bCs/>
          <w:lang w:val="nl-NL"/>
        </w:rPr>
        <w:t xml:space="preserve">Tekstversie:</w:t>
      </w:r>
    </w:p>
    <w:p>
      <w:pPr>
        <w:pStyle w:val="SourceCode"/>
      </w:pPr>
      <w:r>
        <w:rPr>
          <w:rStyle w:val="VerbatimChar"/>
          <w:rFonts w:ascii="Courier New" w:hAnsi="Courier New" w:eastAsia="Courier New" w:cs="Courier New"/>
          <w:sz w:val="18"/>
          <w:szCs w:val="18"/>
        </w:rPr>
        <w:t xml:space="preserve">[1] GEBRUIKER (Klant)</w:t>
        <w:br/>
        <w:t xml:space="preserve">  | HTTPS-upload (TLS 1.2+)</w:t>
        <w:br/>
        <w:t xml:space="preserve">  v</w:t>
        <w:br/>
        <w:t xml:space="preserve">[2] NGINX (reverse proxy, 443) — productieserver, FRANKRIJK</w:t>
        <w:br/>
        <w:t xml:space="preserve">  v</w:t>
        <w:br/>
        <w:t xml:space="preserve">[3] LARAVEL-APPLICATIE</w:t>
        <w:br/>
        <w:t xml:space="preserve">  |-- ClamAV: antivirusscan VÓÓR het schrijven</w:t>
        <w:br/>
        <w:t xml:space="preserve">  |-- schrijven op productieserver (opslag in rust, zie §1)</w:t>
        <w:br/>
        <w:t xml:space="preserve">  |-- bestandsstatus: "pending"</w:t>
        <w:br/>
        <w:t xml:space="preserve">  v</w:t>
        <w:br/>
        <w:t xml:space="preserve">[4] TRANSCRIPTIEWORKER (dedicated EU-GPU)</w:t>
        <w:br/>
        <w:t xml:space="preserve">  | haalt taak op (tijdelijke ondertekende URL, 30 min)</w:t>
        <w:br/>
        <w:t xml:space="preserve">  |-- whisperX: transcriptie</w:t>
        <w:br/>
        <w:t xml:space="preserve">  |-- pyannote: positionele sprekersegmentatie (Speaker N)</w:t>
        <w:br/>
        <w:t xml:space="preserve">  |-- stemembeddings in RAM -&gt; VERNIETIGD na taak</w:t>
        <w:br/>
        <w:t xml:space="preserve">  | POST /complete (JSON-segmenten, TLS)</w:t>
        <w:br/>
        <w:t xml:space="preserve">  v</w:t>
        <w:br/>
        <w:t xml:space="preserve">[5] OPSLAG (PostgreSQL, organisatieschema, productieserver FRANKRIJK)</w:t>
        <w:br/>
        <w:t xml:space="preserve">  |-- (optioneel) AI-VERWERKING:</w:t>
        <w:br/>
        <w:t xml:space="preserve">  |   geselecteerde bronnen -&gt; PRIMAIRE ROUTE: EU-vLLM-servers</w:t>
        <w:br/>
        <w:t xml:space="preserve">  |     (Strasbourg / Paris; open-weights; geen derde partij)</w:t>
        <w:br/>
        <w:t xml:space="preserve">  |   [uitschakelbare terugval: OpenRouter -&gt; LLM-aanbieder, VS mogelijk]</w:t>
        <w:br/>
        <w:t xml:space="preserve">  |   no-train; minimalisering; TLS</w:t>
        <w:br/>
        <w:t xml:space="preserve">  |   &lt;- antwoord -&gt; tabel ai_generations (binnen tenant)</w:t>
        <w:br/>
        <w:t xml:space="preserve">  v</w:t>
        <w:br/>
        <w:t xml:space="preserve">[6] DAGELIJKSE BACK-UP</w:t>
        <w:br/>
        <w:t xml:space="preserve">  |-- age-versleuteling (X25519 + ChaCha20-Poly1305) VÓÓR uitvoer</w:t>
        <w:br/>
        <w:t xml:space="preserve">  | rclone -&gt; Scaleway (Frankrijk, EU)</w:t>
        <w:br/>
        <w:t xml:space="preserve">  v</w:t>
        <w:br/>
        <w:t xml:space="preserve">[7] LEVENSCYCLUS</w:t>
        <w:br/>
        <w:t xml:space="preserve">  |-- bewaring volgens door Klant ingesteld beleid</w:t>
        <w:br/>
        <w:t xml:space="preserve">  |-- wissing (art. 17) of verval -&gt; verwijdering + certificaat</w:t>
        <w:br/>
        <w:t xml:space="preserve">  \-- back-ups binnen 90 dagen verwijderd</w:t>
      </w:r>
    </w:p>
    <w:p>
      <w:pPr>
        <w:pStyle w:val="FirstParagraph"/>
      </w:pPr>
      <w:r>
        <w:rPr>
          <w:lang w:val="nl-NL"/>
        </w:rPr>
        <w:t xml:space="preserve">Bij </w:t>
      </w:r>
      <w:r>
        <w:rPr>
          <w:lang w:val="nl-NL"/>
        </w:rPr>
        <w:t xml:space="preserve"/>
      </w:r>
      <w:r>
        <w:rPr>
          <w:b/>
          <w:bCs/>
          <w:lang w:val="nl-NL"/>
        </w:rPr>
        <w:t xml:space="preserve">geïsoleerde </w:t>
      </w:r>
      <w:r>
        <w:rPr>
          <w:lang w:val="nl-NL"/>
        </w:rPr>
        <w:t xml:space="preserve">Optie B worden stappen [4], het AI-exploitatiegedeelte van [5] en stap [6] uitgevoerd </w:t>
      </w:r>
      <w:r>
        <w:rPr>
          <w:lang w:val="nl-NL"/>
        </w:rPr>
        <w:t xml:space="preserve"/>
      </w:r>
      <w:r>
        <w:rPr>
          <w:b/>
          <w:bCs/>
          <w:lang w:val="nl-NL"/>
        </w:rPr>
        <w:t xml:space="preserve">in de infrastructuur van de </w:t>
      </w:r>
      <w:r>
        <w:rPr>
          <w:lang w:val="nl-NL"/>
        </w:rPr>
        <w:t xml:space="preserve"/>
      </w:r>
      <w:r>
        <w:rPr>
          <w:lang w:val="nl-NL"/>
        </w:rPr>
        <w:t xml:space="preserve">Klant (lokale GPU-werker, zelf-gehoste LLM, interne back-ups): </w:t>
      </w:r>
      <w:r>
        <w:rPr>
          <w:lang w:val="nl-NL"/>
        </w:rPr>
        <w:t xml:space="preserve"/>
      </w:r>
      <w:r>
        <w:rPr>
          <w:b/>
          <w:bCs/>
          <w:lang w:val="nl-NL"/>
        </w:rPr>
        <w:t xml:space="preserve">er verlaten geen gegevens de omgeving van de </w:t>
      </w:r>
      <w:r>
        <w:rPr>
          <w:lang w:val="nl-NL"/>
        </w:rPr>
        <w:t xml:space="preserve">Klant.</w:t>
      </w:r>
    </w:p>
    <w:p>
      <w:pPr>
        <w:pStyle w:val="BlockText"/>
      </w:pPr>
      <w:r>
        <w:rPr>
          <w:lang w:val="nl-NL"/>
        </w:rPr>
        <w:t xml:space="preserve">Op basis van dit diagram zal tijdens de implementatiefase de definitieve samenvatting in Visio-formaat (.vsdx) worden aangeleverd.</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76"/>
    <w:bookmarkEnd w:id="77"/>
    <w:bookmarkStart w:id="91" w:name="X1fcf1353751910428496754448e8c603dd55582"/>
    <w:p>
      <w:pPr>
        <w:pStyle w:val="Heading1"/>
        <w:keepNext/>
        <w:keepLines/>
      </w:pPr>
      <w:r>
        <w:rPr>
          <w:color w:val="000000"/>
          <w:lang w:val="nl-NL"/>
        </w:rPr>
        <w:t xml:space="preserve">Lijst van subverwerkers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OHA-RGPD-03</w:t>
            </w:r>
          </w:p>
        </w:tc>
      </w:tr>
      <w:tr>
        <w:trPr>
          <w:cantSplit/>
        </w:trPr>
        <w:tc>
          <w:tcPr/>
          <w:p>
            <w:pPr>
              <w:pStyle w:val="Compact"/>
            </w:pPr>
            <w:r>
              <w:rPr>
                <w:lang w:val="nl-NL"/>
              </w:rPr>
              <w:t xml:space="preserve">Doel</w:t>
            </w:r>
          </w:p>
        </w:tc>
        <w:tc>
          <w:tcPr/>
          <w:p>
            <w:pPr>
              <w:pStyle w:val="Compact"/>
            </w:pPr>
            <w:r>
              <w:rPr>
                <w:lang w:val="nl-NL"/>
              </w:rPr>
              <w:t xml:space="preserve">Lijst en karakterisering van subverwerkers (art. 28.2 en 28.4 AVG)</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78" w:name="X1ed5dcafce5c18c99fc0c2e8a88a30fabdbe403"/>
    <w:p>
      <w:pPr>
        <w:pStyle w:val="Heading2"/>
        <w:keepNext/>
        <w:keepLines/>
      </w:pPr>
      <w:r>
        <w:rPr>
          <w:color w:val="000000"/>
          <w:lang w:val="nl-NL"/>
        </w:rPr>
        <w:t xml:space="preserve">1. Doel</w:t>
      </w:r>
    </w:p>
    <w:p>
      <w:pPr>
        <w:pStyle w:val="FirstParagraph"/>
      </w:pPr>
      <w:r>
        <w:rPr>
          <w:lang w:val="nl-NL"/>
        </w:rPr>
        <w:t xml:space="preserve">Dit document vermeldt, volledig en actueel per 24-07-2026, de subverwerkers die OHADJA gebruikt voor de uitvoering van de TranscribIA-service. Voor elk wordt het volgende gespecificeerd: het land van vestiging, de rol, de uitgevoerde operaties, de plaatsen van verwerking </w:t>
      </w:r>
      <w:r>
        <w:rPr>
          <w:lang w:val="nl-NL"/>
        </w:rPr>
        <w:t xml:space="preserve"/>
      </w:r>
      <w:r>
        <w:rPr>
          <w:b/>
          <w:bCs/>
          <w:lang w:val="nl-NL"/>
        </w:rPr>
        <w:t xml:space="preserve">en </w:t>
      </w:r>
      <w:r>
        <w:rPr>
          <w:lang w:val="nl-NL"/>
        </w:rPr>
        <w:t xml:space="preserve"/>
      </w:r>
      <w:r>
        <w:rPr>
          <w:lang w:val="nl-NL"/>
        </w:rPr>
        <w:t xml:space="preserve">opslag, menselijke toegang tot de gegevens en de contractuele garanties.</w:t>
      </w:r>
    </w:p>
    <w:p>
      <w:pPr>
        <w:pStyle w:val="BodyText"/>
      </w:pPr>
      <w:r>
        <w:rPr>
          <w:lang w:val="nl-NL"/>
        </w:rPr>
        <w:t xml:space="preserve">De onderstaande lijst is </w:t>
      </w:r>
      <w:r>
        <w:rPr>
          <w:b/>
          <w:bCs/>
          <w:lang w:val="nl-NL"/>
        </w:rPr>
        <w:t xml:space="preserve">voor optie A </w:t>
      </w:r>
      <w:r>
        <w:rPr>
          <w:lang w:val="nl-NL"/>
        </w:rPr>
        <w:t xml:space="preserve">(SaaS). </w:t>
      </w:r>
      <w:r>
        <w:rPr>
          <w:lang w:val="nl-NL"/>
        </w:rPr>
        <w:t xml:space="preserve"/>
      </w:r>
      <w:r>
        <w:rPr>
          <w:b/>
          <w:bCs/>
          <w:lang w:val="nl-NL"/>
        </w:rPr>
        <w:t xml:space="preserve">Bij geïsoleerde </w:t>
      </w:r>
      <w:r>
        <w:rPr>
          <w:lang w:val="nl-NL"/>
        </w:rPr>
        <w:t xml:space="preserve">optie </w:t>
      </w:r>
      <w:r>
        <w:rPr>
          <w:lang w:val="nl-NL"/>
        </w:rPr>
        <w:t xml:space="preserve"/>
      </w:r>
      <w:r>
        <w:rPr>
          <w:b/>
          <w:bCs/>
          <w:lang w:val="nl-NL"/>
        </w:rPr>
        <w:t xml:space="preserve">B is </w:t>
      </w:r>
      <w:r>
        <w:rPr>
          <w:lang w:val="nl-NL"/>
        </w:rPr>
        <w:t xml:space="preserve"/>
      </w:r>
      <w:r>
        <w:rPr>
          <w:lang w:val="nl-NL"/>
        </w:rPr>
        <w:t xml:space="preserve">er geen subverwerker (sectie 4).</w:t>
      </w:r>
    </w:p>
    <w:p>
      <w:pPr>
        <w:pStyle w:val="BlockText"/>
      </w:pPr>
      <w:r>
        <w:rPr>
          <w:b/>
          <w:bCs/>
          <w:lang w:val="nl-NL"/>
        </w:rPr>
        <w:t xml:space="preserve">Bevestiging gevraagd door de klant. </w:t>
      </w:r>
      <w:r>
        <w:rPr>
          <w:lang w:val="nl-NL"/>
        </w:rPr>
        <w:t xml:space="preserve"/>
      </w:r>
      <w:r>
        <w:rPr>
          <w:b/>
          <w:bCs/>
          <w:lang w:val="nl-NL"/>
        </w:rPr>
        <w:t xml:space="preserve">HOSTINGER, </w:t>
      </w:r>
      <w:r>
        <w:rPr>
          <w:lang w:val="nl-NL"/>
        </w:rPr>
        <w:t xml:space="preserve"/>
      </w:r>
      <w:r>
        <w:rPr>
          <w:lang w:val="nl-NL"/>
        </w:rPr>
        <w:t xml:space="preserve"/>
      </w:r>
      <w:r>
        <w:rPr>
          <w:b/>
          <w:bCs/>
          <w:lang w:val="nl-NL"/>
        </w:rPr>
        <w:t xml:space="preserve">SCALEWAY, </w:t>
      </w:r>
      <w:r>
        <w:rPr>
          <w:lang w:val="nl-NL"/>
        </w:rPr>
        <w:t xml:space="preserve">LLM </w:t>
      </w:r>
      <w:r>
        <w:rPr>
          <w:lang w:val="nl-NL"/>
        </w:rPr>
        <w:t xml:space="preserve"/>
      </w:r>
      <w:r>
        <w:rPr>
          <w:b/>
          <w:bCs/>
          <w:lang w:val="nl-NL"/>
        </w:rPr>
        <w:t xml:space="preserve">vLLM-servers in de EU (Straatsburg / Parijs), </w:t>
      </w:r>
      <w:r>
        <w:rPr>
          <w:lang w:val="nl-NL"/>
        </w:rPr>
        <w:t xml:space="preserve"/>
      </w:r>
      <w:r>
        <w:rPr>
          <w:lang w:val="nl-NL"/>
        </w:rPr>
        <w:t xml:space="preserve"/>
      </w:r>
      <w:r>
        <w:rPr>
          <w:b/>
          <w:bCs/>
          <w:lang w:val="nl-NL"/>
        </w:rPr>
        <w:t xml:space="preserve">OPENROUTER (alleen back-uproute) en </w:t>
      </w:r>
      <w:r>
        <w:rPr>
          <w:lang w:val="nl-NL"/>
        </w:rPr>
        <w:t xml:space="preserve"/>
      </w:r>
      <w:r>
        <w:rPr>
          <w:lang w:val="nl-NL"/>
        </w:rPr>
        <w:t xml:space="preserve">GPU-transcriptieserver </w:t>
      </w:r>
      <w:r>
        <w:rPr>
          <w:lang w:val="nl-NL"/>
        </w:rPr>
        <w:t xml:space="preserve"/>
      </w:r>
      <w:r>
        <w:rPr>
          <w:b/>
          <w:bCs/>
          <w:lang w:val="nl-NL"/>
        </w:rPr>
        <w:t xml:space="preserve">zijn bevestigd voor </w:t>
      </w:r>
      <w:r>
        <w:rPr>
          <w:lang w:val="nl-NL"/>
        </w:rPr>
        <w:t xml:space="preserve"/>
      </w:r>
      <w:r>
        <w:rPr>
          <w:lang w:val="nl-NL"/>
        </w:rPr>
        <w:t xml:space="preserve">het SaaS-aanbod vanaf 24-07-2026. BACKBLAZE: niet gebruikt </w:t>
      </w:r>
      <w:r>
        <w:rPr>
          <w:lang w:val="nl-NL"/>
        </w:rPr>
        <w:t xml:space="preserve"/>
      </w:r>
      <w:r>
        <w:rPr>
          <w:b/>
          <w:bCs/>
          <w:lang w:val="nl-NL"/>
        </w:rPr>
        <w:t xml:space="preserve">(de back-upbestemming </w:t>
      </w:r>
      <w:r>
        <w:rPr>
          <w:lang w:val="nl-NL"/>
        </w:rPr>
        <w:t xml:space="preserve">die </w:t>
      </w:r>
      <w:r>
        <w:rPr>
          <w:lang w:val="nl-NL"/>
        </w:rPr>
        <w:t xml:space="preserve">daadwerkelijk in productie is geconfigureerd, is Scaleway). Architectuurprecisie (besluit van 24-07-2026): AI-inferentie is in het primaire kanaal afhankelijk van </w:t>
      </w:r>
      <w:r>
        <w:rPr>
          <w:lang w:val="nl-NL"/>
        </w:rPr>
        <w:t xml:space="preserve"/>
      </w:r>
      <w:r>
        <w:rPr>
          <w:b/>
          <w:bCs/>
          <w:lang w:val="nl-NL"/>
        </w:rPr>
        <w:t xml:space="preserve">vLLM-servers </w:t>
      </w:r>
      <w:r>
        <w:rPr>
          <w:lang w:val="nl-NL"/>
        </w:rPr>
        <w:t xml:space="preserve"/>
      </w:r>
      <w:r>
        <w:rPr>
          <w:lang w:val="nl-NL"/>
        </w:rPr>
        <w:t xml:space="preserve">die worden </w:t>
      </w:r>
      <w:r>
        <w:rPr>
          <w:lang w:val="nl-NL"/>
        </w:rPr>
        <w:t xml:space="preserve"/>
      </w:r>
      <w:r>
        <w:rPr>
          <w:b/>
          <w:bCs/>
          <w:lang w:val="nl-NL"/>
        </w:rPr>
        <w:t xml:space="preserve">beheerd in de EU (modellen </w:t>
      </w:r>
      <w:r>
        <w:rPr>
          <w:lang w:val="nl-NL"/>
        </w:rPr>
        <w:t xml:space="preserve">met </w:t>
      </w:r>
      <w:r>
        <w:rPr>
          <w:lang w:val="nl-NL"/>
        </w:rPr>
        <w:t xml:space="preserve">open gewichten, §2.4), OpenRouter </w:t>
      </w:r>
      <w:r>
        <w:rPr>
          <w:lang w:val="nl-NL"/>
        </w:rPr>
        <w:t xml:space="preserve"/>
      </w:r>
      <w:r>
        <w:rPr>
          <w:b/>
          <w:bCs/>
          <w:lang w:val="nl-NL"/>
        </w:rPr>
        <w:t xml:space="preserve">en modelproviders die alleen ingrijpen in het back-upkanaal (failover), dat kan worden gedeactiveerd </w:t>
      </w:r>
      <w:r>
        <w:rPr>
          <w:lang w:val="nl-NL"/>
        </w:rPr>
        <w:t xml:space="preserve"/>
      </w:r>
      <w:r>
        <w:rPr>
          <w:lang w:val="nl-NL"/>
        </w:rPr>
        <w:t xml:space="preserve">(§2.5 en §2.6).</w:t>
      </w:r>
    </w:p>
    <w:bookmarkEnd w:id="78"/>
    <w:bookmarkStart w:id="87" w:name="X7d7f3d4ba56fafba29532d1f9b5368d2f9d3cb0"/>
    <w:p>
      <w:pPr>
        <w:pStyle w:val="Heading2"/>
        <w:keepNext/>
        <w:keepLines/>
      </w:pPr>
      <w:r>
        <w:rPr>
          <w:color w:val="000000"/>
          <w:lang w:val="nl-NL"/>
        </w:rPr>
        <w:t xml:space="preserve">2. Subverwerkers — Optie A (SaaS)</w:t>
      </w:r>
    </w:p>
    <w:bookmarkStart w:id="79" w:name="X081dbe31af525cb2a235c0a1bf0fc12e9f8c06e"/>
    <w:p>
      <w:pPr>
        <w:pStyle w:val="Heading3"/>
        <w:keepNext/>
        <w:keepLines/>
      </w:pPr>
      <w:r>
        <w:rPr>
          <w:color w:val="000000"/>
          <w:lang w:val="nl-NL"/>
        </w:rPr>
        <w:t xml:space="preserve">2.1 Hosting — Hostinger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Entiteit</w:t>
            </w:r>
          </w:p>
        </w:tc>
        <w:tc>
          <w:tcPr/>
          <w:p>
            <w:pPr>
              <w:pStyle w:val="Compact"/>
            </w:pPr>
            <w:r>
              <w:rPr>
                <w:lang w:val="nl-NL"/>
              </w:rPr>
              <w:t xml:space="preserve">Hostinger (EU-operaties)</w:t>
            </w:r>
          </w:p>
        </w:tc>
      </w:tr>
      <w:tr>
        <w:trPr>
          <w:cantSplit/>
        </w:trPr>
        <w:tc>
          <w:tcPr/>
          <w:p>
            <w:pPr>
              <w:pStyle w:val="Compact"/>
            </w:pPr>
            <w:r>
              <w:rPr>
                <w:lang w:val="nl-NL"/>
              </w:rPr>
              <w:t xml:space="preserve">Land van vestiging</w:t>
            </w:r>
          </w:p>
        </w:tc>
        <w:tc>
          <w:tcPr/>
          <w:p>
            <w:pPr>
              <w:pStyle w:val="Compact"/>
            </w:pPr>
            <w:r>
              <w:rPr>
                <w:lang w:val="nl-NL"/>
              </w:rPr>
              <w:t xml:space="preserve">Litouwen (EU)</w:t>
            </w:r>
          </w:p>
        </w:tc>
      </w:tr>
      <w:tr>
        <w:trPr>
          <w:cantSplit/>
        </w:trPr>
        <w:tc>
          <w:tcPr/>
          <w:p>
            <w:pPr>
              <w:pStyle w:val="Compact"/>
            </w:pPr>
            <w:r>
              <w:rPr>
                <w:lang w:val="nl-NL"/>
              </w:rPr>
              <w:t xml:space="preserve">Rol</w:t>
            </w:r>
          </w:p>
        </w:tc>
        <w:tc>
          <w:tcPr/>
          <w:p>
            <w:pPr>
              <w:pStyle w:val="Compact"/>
            </w:pPr>
            <w:r>
              <w:rPr>
                <w:lang w:val="nl-NL"/>
              </w:rPr>
              <w:t xml:space="preserve">Hosting van productieservers</w:t>
            </w:r>
          </w:p>
        </w:tc>
      </w:tr>
      <w:tr>
        <w:trPr>
          <w:cantSplit/>
        </w:trPr>
        <w:tc>
          <w:tcPr/>
          <w:p>
            <w:pPr>
              <w:pStyle w:val="Compact"/>
            </w:pPr>
            <w:r>
              <w:rPr>
                <w:lang w:val="nl-NL"/>
              </w:rPr>
              <w:t xml:space="preserve">Operaties uitgevoerd</w:t>
            </w:r>
          </w:p>
        </w:tc>
        <w:tc>
          <w:tcPr/>
          <w:p>
            <w:pPr>
              <w:pStyle w:val="Compact"/>
            </w:pPr>
            <w:r>
              <w:rPr>
                <w:lang w:val="nl-NL"/>
              </w:rPr>
              <w:t xml:space="preserve">Terbeschikkingstelling van serverinfrastructuur (KVM), netwerk, beschikbaarheid</w:t>
            </w:r>
          </w:p>
        </w:tc>
      </w:tr>
      <w:tr>
        <w:trPr>
          <w:cantSplit/>
        </w:trPr>
        <w:tc>
          <w:tcPr/>
          <w:p>
            <w:pPr>
              <w:pStyle w:val="Compact"/>
            </w:pPr>
            <w:r>
              <w:rPr>
                <w:lang w:val="nl-NL"/>
              </w:rPr>
              <w:t xml:space="preserve">Verwerkingslocatie</w:t>
            </w:r>
          </w:p>
        </w:tc>
        <w:tc>
          <w:tcPr/>
          <w:p>
            <w:pPr>
              <w:pStyle w:val="Compact"/>
            </w:pPr>
            <w:r>
              <w:rPr>
                <w:lang w:val="nl-NL"/>
              </w:rPr>
              <w:t xml:space="preserve">Datacentrum </w:t>
            </w:r>
            <w:r>
              <w:rPr>
                <w:lang w:val="nl-NL"/>
              </w:rPr>
              <w:t xml:space="preserve"/>
            </w:r>
            <w:r>
              <w:rPr>
                <w:b/>
                <w:bCs/>
                <w:lang w:val="nl-NL"/>
              </w:rPr>
              <w:t xml:space="preserve">Frankrijk</w:t>
            </w:r>
          </w:p>
        </w:tc>
      </w:tr>
      <w:tr>
        <w:trPr>
          <w:cantSplit/>
        </w:trPr>
        <w:tc>
          <w:tcPr/>
          <w:p>
            <w:pPr>
              <w:pStyle w:val="Compact"/>
            </w:pPr>
            <w:r>
              <w:rPr>
                <w:lang w:val="nl-NL"/>
              </w:rPr>
              <w:t xml:space="preserve">Opslaglocatie</w:t>
            </w:r>
          </w:p>
        </w:tc>
        <w:tc>
          <w:tcPr/>
          <w:p>
            <w:pPr>
              <w:pStyle w:val="Compact"/>
            </w:pPr>
            <w:r>
              <w:rPr>
                <w:lang w:val="nl-NL"/>
              </w:rPr>
              <w:t xml:space="preserve">Datacentrum </w:t>
            </w:r>
            <w:r>
              <w:rPr>
                <w:lang w:val="nl-NL"/>
              </w:rPr>
              <w:t xml:space="preserve"/>
            </w:r>
            <w:r>
              <w:rPr>
                <w:b/>
                <w:bCs/>
                <w:lang w:val="nl-NL"/>
              </w:rPr>
              <w:t xml:space="preserve">Frankrijk</w:t>
            </w:r>
          </w:p>
        </w:tc>
      </w:tr>
      <w:tr>
        <w:trPr>
          <w:cantSplit/>
        </w:trPr>
        <w:tc>
          <w:tcPr/>
          <w:p>
            <w:pPr>
              <w:pStyle w:val="Compact"/>
            </w:pPr>
            <w:r>
              <w:rPr>
                <w:lang w:val="nl-NL"/>
              </w:rPr>
              <w:t xml:space="preserve">Menselijke toegang tot gegevens</w:t>
            </w:r>
          </w:p>
        </w:tc>
        <w:tc>
          <w:tcPr/>
          <w:p>
            <w:pPr>
              <w:pStyle w:val="Compact"/>
            </w:pPr>
            <w:r>
              <w:rPr>
                <w:b/>
                <w:bCs/>
                <w:lang w:val="nl-NL"/>
              </w:rPr>
              <w:t xml:space="preserve">Nee </w:t>
            </w:r>
            <w:r>
              <w:rPr>
                <w:lang w:val="nl-NL"/>
              </w:rPr>
              <w:t xml:space="preserve"/>
            </w:r>
            <w:r>
              <w:rPr>
                <w:lang w:val="nl-NL"/>
              </w:rPr>
              <w:t xml:space="preserve">– alleen fysieke toegang tot het datacenter, geen logische toegang; schijfversleuteling volgens datacenteraanbod (LUKS/gocryptfs-upgrade gepland)</w:t>
            </w:r>
          </w:p>
        </w:tc>
      </w:tr>
      <w:tr>
        <w:trPr>
          <w:cantSplit/>
        </w:trPr>
        <w:tc>
          <w:tcPr/>
          <w:p>
            <w:pPr>
              <w:pStyle w:val="Compact"/>
            </w:pPr>
            <w:r>
              <w:rPr>
                <w:lang w:val="nl-NL"/>
              </w:rPr>
              <w:t xml:space="preserve">Contractuele garanties</w:t>
            </w:r>
          </w:p>
        </w:tc>
        <w:tc>
          <w:tcPr/>
          <w:p>
            <w:pPr>
              <w:pStyle w:val="Compact"/>
            </w:pPr>
            <w:r>
              <w:rPr>
                <w:lang w:val="nl-NL"/>
              </w:rPr>
              <w:t xml:space="preserve">Dienstencontract, onderaannemingsclausules, verbintenissen AVG</w:t>
            </w:r>
          </w:p>
        </w:tc>
      </w:tr>
    </w:tbl>
    <w:bookmarkEnd w:id="79"/>
    <w:bookmarkStart w:id="80" w:name="X2447a6290f02c28099d63de2637d6318aba6aab"/>
    <w:p>
      <w:pPr>
        <w:pStyle w:val="Heading3"/>
        <w:keepNext/>
        <w:keepLines/>
      </w:pPr>
      <w:r>
        <w:rPr>
          <w:color w:val="000000"/>
          <w:lang w:val="nl-NL"/>
        </w:rPr>
        <w:t xml:space="preserve">2.2 Offsite back-up — Scaleway</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Entiteit</w:t>
            </w:r>
          </w:p>
        </w:tc>
        <w:tc>
          <w:tcPr/>
          <w:p>
            <w:pPr>
              <w:pStyle w:val="Compact"/>
            </w:pPr>
            <w:r>
              <w:rPr>
                <w:lang w:val="nl-NL"/>
              </w:rPr>
              <w:t xml:space="preserve">Scaleway</w:t>
            </w:r>
          </w:p>
        </w:tc>
      </w:tr>
      <w:tr>
        <w:trPr>
          <w:cantSplit/>
        </w:trPr>
        <w:tc>
          <w:tcPr/>
          <w:p>
            <w:pPr>
              <w:pStyle w:val="Compact"/>
            </w:pPr>
            <w:r>
              <w:rPr>
                <w:lang w:val="nl-NL"/>
              </w:rPr>
              <w:t xml:space="preserve">Land van vestiging</w:t>
            </w:r>
          </w:p>
        </w:tc>
        <w:tc>
          <w:tcPr/>
          <w:p>
            <w:pPr>
              <w:pStyle w:val="Compact"/>
            </w:pPr>
            <w:r>
              <w:rPr>
                <w:lang w:val="nl-NL"/>
              </w:rPr>
              <w:t xml:space="preserve">Frankrijk (EU)</w:t>
            </w:r>
          </w:p>
        </w:tc>
      </w:tr>
      <w:tr>
        <w:trPr>
          <w:cantSplit/>
        </w:trPr>
        <w:tc>
          <w:tcPr/>
          <w:p>
            <w:pPr>
              <w:pStyle w:val="Compact"/>
            </w:pPr>
            <w:r>
              <w:rPr>
                <w:lang w:val="nl-NL"/>
              </w:rPr>
              <w:t xml:space="preserve">Rol</w:t>
            </w:r>
          </w:p>
        </w:tc>
        <w:tc>
          <w:tcPr/>
          <w:p>
            <w:pPr>
              <w:pStyle w:val="Compact"/>
            </w:pPr>
            <w:r>
              <w:rPr>
                <w:lang w:val="nl-NL"/>
              </w:rPr>
              <w:t xml:space="preserve">Versleutelde back-ups opslaan</w:t>
            </w:r>
          </w:p>
        </w:tc>
      </w:tr>
      <w:tr>
        <w:trPr>
          <w:cantSplit/>
        </w:trPr>
        <w:tc>
          <w:tcPr/>
          <w:p>
            <w:pPr>
              <w:pStyle w:val="Compact"/>
            </w:pPr>
            <w:r>
              <w:rPr>
                <w:lang w:val="nl-NL"/>
              </w:rPr>
              <w:t xml:space="preserve">Operaties uitgevoerd</w:t>
            </w:r>
          </w:p>
        </w:tc>
        <w:tc>
          <w:tcPr/>
          <w:p>
            <w:pPr>
              <w:pStyle w:val="Compact"/>
            </w:pPr>
            <w:r>
              <w:rPr>
                <w:lang w:val="nl-NL"/>
              </w:rPr>
              <w:t xml:space="preserve">Objectopslag van uitbestede back-ups</w:t>
            </w:r>
          </w:p>
        </w:tc>
      </w:tr>
      <w:tr>
        <w:trPr>
          <w:cantSplit/>
        </w:trPr>
        <w:tc>
          <w:tcPr/>
          <w:p>
            <w:pPr>
              <w:pStyle w:val="Compact"/>
            </w:pPr>
            <w:r>
              <w:rPr>
                <w:lang w:val="nl-NL"/>
              </w:rPr>
              <w:t xml:space="preserve">Verwerkings-/opslaglocatie</w:t>
            </w:r>
          </w:p>
        </w:tc>
        <w:tc>
          <w:tcPr/>
          <w:p>
            <w:pPr>
              <w:pStyle w:val="Compact"/>
            </w:pPr>
            <w:r>
              <w:rPr>
                <w:b/>
                <w:bCs/>
                <w:lang w:val="nl-NL"/>
              </w:rPr>
              <w:t xml:space="preserve">Frankrijk (EU-regio)</w:t>
            </w:r>
          </w:p>
        </w:tc>
      </w:tr>
      <w:tr>
        <w:trPr>
          <w:cantSplit/>
        </w:trPr>
        <w:tc>
          <w:tcPr/>
          <w:p>
            <w:pPr>
              <w:pStyle w:val="Compact"/>
            </w:pPr>
            <w:r>
              <w:rPr>
                <w:lang w:val="nl-NL"/>
              </w:rPr>
              <w:t xml:space="preserve">Menselijke toegang tot gegevens</w:t>
            </w:r>
          </w:p>
        </w:tc>
        <w:tc>
          <w:tcPr/>
          <w:p>
            <w:pPr>
              <w:pStyle w:val="Compact"/>
            </w:pPr>
            <w:r>
              <w:rPr>
                <w:b/>
                <w:bCs/>
                <w:lang w:val="nl-NL"/>
              </w:rPr>
              <w:t xml:space="preserve">Nee </w:t>
            </w:r>
            <w:r>
              <w:rPr>
                <w:lang w:val="nl-NL"/>
              </w:rPr>
              <w:t xml:space="preserve"/>
            </w:r>
            <w:r>
              <w:rPr>
                <w:lang w:val="nl-NL"/>
              </w:rPr>
              <w:t xml:space="preserve">– gecodeerde gegevens met age </w:t>
            </w:r>
            <w:r>
              <w:rPr>
                <w:lang w:val="nl-NL"/>
              </w:rPr>
              <w:t xml:space="preserve"/>
            </w:r>
            <w:r>
              <w:rPr>
                <w:b/>
                <w:bCs/>
                <w:lang w:val="nl-NL"/>
              </w:rPr>
              <w:t xml:space="preserve">vóór </w:t>
            </w:r>
            <w:r>
              <w:rPr>
                <w:lang w:val="nl-NL"/>
              </w:rPr>
              <w:t xml:space="preserve"/>
            </w:r>
            <w:r>
              <w:rPr>
                <w:lang w:val="nl-NL"/>
              </w:rPr>
              <w:t xml:space="preserve">uitbesteding; sleutels in bezit van OHADJA (in de EU). De serviceprovider houdt alleen onleesbare gecodeerde blokken bij</w:t>
            </w:r>
          </w:p>
        </w:tc>
      </w:tr>
      <w:tr>
        <w:trPr>
          <w:cantSplit/>
        </w:trPr>
        <w:tc>
          <w:tcPr/>
          <w:p>
            <w:pPr>
              <w:pStyle w:val="Compact"/>
            </w:pPr>
            <w:r>
              <w:rPr>
                <w:lang w:val="nl-NL"/>
              </w:rPr>
              <w:t xml:space="preserve">Contractuele garanties</w:t>
            </w:r>
          </w:p>
        </w:tc>
        <w:tc>
          <w:tcPr/>
          <w:p>
            <w:pPr>
              <w:pStyle w:val="Compact"/>
            </w:pPr>
            <w:r>
              <w:rPr>
                <w:lang w:val="nl-NL"/>
              </w:rPr>
              <w:t xml:space="preserve">Servicecontract, verplichtingen AVG (dienstverlener gevestigd en gehost in Frankrijk)</w:t>
            </w:r>
          </w:p>
        </w:tc>
      </w:tr>
    </w:tbl>
    <w:p>
      <w:pPr>
        <w:pStyle w:val="BlockText"/>
      </w:pPr>
      <w:r>
        <w:rPr>
          <w:b/>
          <w:bCs/>
          <w:lang w:val="nl-NL"/>
        </w:rPr>
        <w:t xml:space="preserve">Let </w:t>
      </w:r>
      <w:r>
        <w:rPr>
          <w:lang w:val="nl-NL"/>
        </w:rPr>
        <w:t xml:space="preserve">op. </w:t>
      </w:r>
      <w:r>
        <w:rPr>
          <w:lang w:val="nl-NL"/>
        </w:rPr>
        <w:t xml:space="preserve">De back-upbestemming die daadwerkelijk in productie is geconfigureerd, is </w:t>
      </w:r>
      <w:r>
        <w:rPr>
          <w:lang w:val="nl-NL"/>
        </w:rPr>
        <w:t xml:space="preserve"/>
      </w:r>
      <w:r>
        <w:rPr>
          <w:b/>
          <w:bCs/>
          <w:lang w:val="nl-NL"/>
        </w:rPr>
        <w:t xml:space="preserve">Scaleway (Frankrijk), </w:t>
      </w:r>
      <w:r>
        <w:rPr>
          <w:lang w:val="nl-NL"/>
        </w:rPr>
        <w:t xml:space="preserve">geverifieerd in de productieomgeving op 24-07-2026. Backblaze, ooit beschouwd als een alternatief, wordt niet </w:t>
      </w:r>
      <w:r>
        <w:rPr>
          <w:lang w:val="nl-NL"/>
        </w:rPr>
        <w:t xml:space="preserve">gebruikt. </w:t>
      </w:r>
      <w:r>
        <w:rPr>
          <w:b/>
          <w:bCs/>
          <w:lang w:val="nl-NL"/>
        </w:rPr>
        <w:t xml:space="preserve">De back-upketen </w:t>
      </w:r>
      <w:r>
        <w:rPr>
          <w:lang w:val="nl-NL"/>
        </w:rPr>
        <w:t xml:space="preserve">bevindt zich dus volledig in de EU, waarbij de gegevens ook worden gecodeerd voordat ze worden uitgevoerd en onleesbaar zijn voor de serviceprovider.</w:t>
      </w:r>
    </w:p>
    <w:bookmarkEnd w:id="80"/>
    <w:bookmarkStart w:id="81" w:name="X5eda3f95e6ae0a3f98e9e21cefd17b111bd1d7f"/>
    <w:p>
      <w:pPr>
        <w:pStyle w:val="Heading3"/>
        <w:keepNext/>
        <w:keepLines/>
      </w:pPr>
      <w:r>
        <w:rPr>
          <w:color w:val="000000"/>
          <w:lang w:val="nl-NL"/>
        </w:rPr>
        <w:t xml:space="preserve">2.3 GPU-transcriptie — Toegewijde GPU / Vast.ai (indien ingeschakeld)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Entiteit</w:t>
            </w:r>
          </w:p>
        </w:tc>
        <w:tc>
          <w:tcPr/>
          <w:p>
            <w:pPr>
              <w:pStyle w:val="Compact"/>
            </w:pPr>
            <w:r>
              <w:rPr>
                <w:lang w:val="nl-NL"/>
              </w:rPr>
              <w:t xml:space="preserve">Toegewijde GPU-server; Vast.ai indien ingeschakeld</w:t>
            </w:r>
          </w:p>
        </w:tc>
      </w:tr>
      <w:tr>
        <w:trPr>
          <w:cantSplit/>
        </w:trPr>
        <w:tc>
          <w:tcPr/>
          <w:p>
            <w:pPr>
              <w:pStyle w:val="Compact"/>
            </w:pPr>
            <w:r>
              <w:rPr>
                <w:lang w:val="nl-NL"/>
              </w:rPr>
              <w:t xml:space="preserve">Land van vestiging</w:t>
            </w:r>
          </w:p>
        </w:tc>
        <w:tc>
          <w:tcPr/>
          <w:p>
            <w:pPr>
              <w:pStyle w:val="Compact"/>
            </w:pPr>
            <w:r>
              <w:rPr>
                <w:lang w:val="nl-NL"/>
              </w:rPr>
              <w:t xml:space="preserve">Toegewijde GPU: EU; Vast.ai: VS (marktplaats)</w:t>
            </w:r>
          </w:p>
        </w:tc>
      </w:tr>
      <w:tr>
        <w:trPr>
          <w:cantSplit/>
        </w:trPr>
        <w:tc>
          <w:tcPr/>
          <w:p>
            <w:pPr>
              <w:pStyle w:val="Compact"/>
            </w:pPr>
            <w:r>
              <w:rPr>
                <w:lang w:val="nl-NL"/>
              </w:rPr>
              <w:t xml:space="preserve">Rol</w:t>
            </w:r>
          </w:p>
        </w:tc>
        <w:tc>
          <w:tcPr/>
          <w:p>
            <w:pPr>
              <w:pStyle w:val="Compact"/>
            </w:pPr>
            <w:r>
              <w:rPr>
                <w:lang w:val="nl-NL"/>
              </w:rPr>
              <w:t xml:space="preserve">Transcriptie (whisperX) en sprekerdiarisatie (pyannote)</w:t>
            </w:r>
          </w:p>
        </w:tc>
      </w:tr>
      <w:tr>
        <w:trPr>
          <w:cantSplit/>
        </w:trPr>
        <w:tc>
          <w:tcPr/>
          <w:p>
            <w:pPr>
              <w:pStyle w:val="Compact"/>
            </w:pPr>
            <w:r>
              <w:rPr>
                <w:lang w:val="nl-NL"/>
              </w:rPr>
              <w:t xml:space="preserve">Operaties uitgevoerd</w:t>
            </w:r>
          </w:p>
        </w:tc>
        <w:tc>
          <w:tcPr/>
          <w:p>
            <w:pPr>
              <w:pStyle w:val="Compact"/>
            </w:pPr>
            <w:r>
              <w:rPr>
                <w:lang w:val="nl-NL"/>
              </w:rPr>
              <w:t xml:space="preserve">Automatische transcriptie, positioneel sprekerdiarisatie, waar van toepassing kortstondige stemcorrelatie</w:t>
            </w:r>
          </w:p>
        </w:tc>
      </w:tr>
      <w:tr>
        <w:trPr>
          <w:cantSplit/>
        </w:trPr>
        <w:tc>
          <w:tcPr/>
          <w:p>
            <w:pPr>
              <w:pStyle w:val="Compact"/>
            </w:pPr>
            <w:r>
              <w:rPr>
                <w:lang w:val="nl-NL"/>
              </w:rPr>
              <w:t xml:space="preserve">Verwerkingslocatie</w:t>
            </w:r>
          </w:p>
        </w:tc>
        <w:tc>
          <w:tcPr/>
          <w:p>
            <w:pPr>
              <w:pStyle w:val="Compact"/>
            </w:pPr>
            <w:r>
              <w:rPr>
                <w:lang w:val="nl-NL"/>
              </w:rPr>
              <w:t xml:space="preserve">EU indien vereist door klant (machines geselecteerd in EU)</w:t>
            </w:r>
          </w:p>
        </w:tc>
      </w:tr>
      <w:tr>
        <w:trPr>
          <w:cantSplit/>
        </w:trPr>
        <w:tc>
          <w:tcPr/>
          <w:p>
            <w:pPr>
              <w:pStyle w:val="Compact"/>
            </w:pPr>
            <w:r>
              <w:rPr>
                <w:lang w:val="nl-NL"/>
              </w:rPr>
              <w:t xml:space="preserve">Opslaglocatie</w:t>
            </w:r>
          </w:p>
        </w:tc>
        <w:tc>
          <w:tcPr/>
          <w:p>
            <w:pPr>
              <w:pStyle w:val="Compact"/>
            </w:pPr>
            <w:r>
              <w:rPr>
                <w:lang w:val="nl-NL"/>
              </w:rPr>
              <w:t xml:space="preserve">Geen duurzame opslag - gegevens verwijderd na taak</w:t>
            </w:r>
          </w:p>
        </w:tc>
      </w:tr>
      <w:tr>
        <w:trPr>
          <w:cantSplit/>
        </w:trPr>
        <w:tc>
          <w:tcPr/>
          <w:p>
            <w:pPr>
              <w:pStyle w:val="Compact"/>
            </w:pPr>
            <w:r>
              <w:rPr>
                <w:lang w:val="nl-NL"/>
              </w:rPr>
              <w:t xml:space="preserve">Menselijke toegang tot gegevens</w:t>
            </w:r>
          </w:p>
        </w:tc>
        <w:tc>
          <w:tcPr/>
          <w:p>
            <w:pPr>
              <w:pStyle w:val="Compact"/>
            </w:pPr>
            <w:r>
              <w:rPr>
                <w:b/>
                <w:bCs/>
                <w:lang w:val="nl-NL"/>
              </w:rPr>
              <w:t xml:space="preserve">Nee </w:t>
            </w:r>
            <w:r>
              <w:rPr>
                <w:lang w:val="nl-NL"/>
              </w:rPr>
              <w:t xml:space="preserve"/>
            </w:r>
            <w:r>
              <w:rPr>
                <w:lang w:val="nl-NL"/>
              </w:rPr>
              <w:t xml:space="preserve">– geautomatiseerde verwerking; verwijdering aan het einde van de taak</w:t>
            </w:r>
          </w:p>
        </w:tc>
      </w:tr>
      <w:tr>
        <w:trPr>
          <w:cantSplit/>
        </w:trPr>
        <w:tc>
          <w:tcPr/>
          <w:p>
            <w:pPr>
              <w:pStyle w:val="Compact"/>
            </w:pPr>
            <w:r>
              <w:rPr>
                <w:lang w:val="nl-NL"/>
              </w:rPr>
              <w:t xml:space="preserve">Contractuele garanties</w:t>
            </w:r>
          </w:p>
        </w:tc>
        <w:tc>
          <w:tcPr/>
          <w:p>
            <w:pPr>
              <w:pStyle w:val="Compact"/>
            </w:pPr>
            <w:r>
              <w:rPr>
                <w:lang w:val="nl-NL"/>
              </w:rPr>
              <w:t xml:space="preserve">Leverancierscontract/voorwaarden; selectie van UE-middelen indien nodig; CCT of gelijkwaardige garanties indien buiten de EU</w:t>
            </w:r>
          </w:p>
        </w:tc>
      </w:tr>
    </w:tbl>
    <w:bookmarkEnd w:id="81"/>
    <w:bookmarkStart w:id="82" w:name="X0b150814d8678abee802aa800d15a6e2f5b57ee"/>
    <w:p>
      <w:pPr>
        <w:pStyle w:val="Heading3"/>
        <w:keepNext/>
        <w:keepLines/>
      </w:pPr>
      <w:r>
        <w:rPr>
          <w:color w:val="000000"/>
          <w:lang w:val="nl-NL"/>
        </w:rPr>
        <w:t xml:space="preserve">2.4 AI-inferentie — gecontroleerde vLLM-servers (primair kanaal)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Entiteit</w:t>
            </w:r>
          </w:p>
        </w:tc>
        <w:tc>
          <w:tcPr/>
          <w:p>
            <w:pPr>
              <w:pStyle w:val="Compact"/>
            </w:pPr>
            <w:r>
              <w:rPr>
                <w:lang w:val="nl-NL"/>
              </w:rPr>
              <w:t xml:space="preserve">OHADJA (GPU-servers beheerd)</w:t>
            </w:r>
          </w:p>
        </w:tc>
      </w:tr>
      <w:tr>
        <w:trPr>
          <w:cantSplit/>
        </w:trPr>
        <w:tc>
          <w:tcPr/>
          <w:p>
            <w:pPr>
              <w:pStyle w:val="Compact"/>
            </w:pPr>
            <w:r>
              <w:rPr>
                <w:lang w:val="nl-NL"/>
              </w:rPr>
              <w:t xml:space="preserve">Land van vestiging</w:t>
            </w:r>
          </w:p>
        </w:tc>
        <w:tc>
          <w:tcPr/>
          <w:p>
            <w:pPr>
              <w:pStyle w:val="Compact"/>
            </w:pPr>
            <w:r>
              <w:rPr>
                <w:lang w:val="nl-NL"/>
              </w:rPr>
              <w:t xml:space="preserve">Frankrijk / EU</w:t>
            </w:r>
          </w:p>
        </w:tc>
      </w:tr>
      <w:tr>
        <w:trPr>
          <w:cantSplit/>
        </w:trPr>
        <w:tc>
          <w:tcPr/>
          <w:p>
            <w:pPr>
              <w:pStyle w:val="Compact"/>
            </w:pPr>
            <w:r>
              <w:rPr>
                <w:lang w:val="nl-NL"/>
              </w:rPr>
              <w:t xml:space="preserve">Rol</w:t>
            </w:r>
          </w:p>
        </w:tc>
        <w:tc>
          <w:tcPr/>
          <w:p>
            <w:pPr>
              <w:pStyle w:val="Compact"/>
            </w:pPr>
            <w:r>
              <w:rPr>
                <w:b/>
                <w:bCs/>
                <w:lang w:val="nl-NL"/>
              </w:rPr>
              <w:t xml:space="preserve">Primaire </w:t>
            </w:r>
            <w:r>
              <w:rPr>
                <w:lang w:val="nl-NL"/>
              </w:rPr>
              <w:t xml:space="preserve"/>
            </w:r>
            <w:r>
              <w:rPr>
                <w:lang w:val="nl-NL"/>
              </w:rPr>
              <w:t xml:space="preserve">route van taalmodelinferentie (AI-functies)</w:t>
            </w:r>
          </w:p>
        </w:tc>
      </w:tr>
      <w:tr>
        <w:trPr>
          <w:cantSplit/>
        </w:trPr>
        <w:tc>
          <w:tcPr/>
          <w:p>
            <w:pPr>
              <w:pStyle w:val="Compact"/>
            </w:pPr>
            <w:r>
              <w:rPr>
                <w:lang w:val="nl-NL"/>
              </w:rPr>
              <w:t xml:space="preserve">Operaties uitgevoerd</w:t>
            </w:r>
          </w:p>
        </w:tc>
        <w:tc>
          <w:tcPr/>
          <w:p>
            <w:pPr>
              <w:pStyle w:val="Compact"/>
            </w:pPr>
            <w:r>
              <w:rPr>
                <w:lang w:val="nl-NL"/>
              </w:rPr>
              <w:t xml:space="preserve">Inferentie van modellen </w:t>
            </w:r>
            <w:r>
              <w:rPr>
                <w:lang w:val="nl-NL"/>
              </w:rPr>
              <w:t xml:space="preserve"/>
            </w:r>
            <w:r>
              <w:rPr>
                <w:b/>
                <w:bCs/>
                <w:lang w:val="nl-NL"/>
              </w:rPr>
              <w:t xml:space="preserve">met open gewichten </w:t>
            </w:r>
            <w:r>
              <w:rPr>
                <w:lang w:val="nl-NL"/>
              </w:rPr>
              <w:t xml:space="preserve"/>
            </w:r>
            <w:r>
              <w:rPr>
                <w:lang w:val="nl-NL"/>
              </w:rPr>
              <w:t xml:space="preserve">(Qwen 3.6 of Mistral [versies moeten worden bevestigd]) via vLLM</w:t>
            </w:r>
          </w:p>
        </w:tc>
      </w:tr>
      <w:tr>
        <w:trPr>
          <w:cantSplit/>
        </w:trPr>
        <w:tc>
          <w:tcPr/>
          <w:p>
            <w:pPr>
              <w:pStyle w:val="Compact"/>
            </w:pPr>
            <w:r>
              <w:rPr>
                <w:lang w:val="nl-NL"/>
              </w:rPr>
              <w:t xml:space="preserve">Verwerkingslocatie</w:t>
            </w:r>
          </w:p>
        </w:tc>
        <w:tc>
          <w:tcPr/>
          <w:p>
            <w:pPr>
              <w:pStyle w:val="Compact"/>
            </w:pPr>
            <w:r>
              <w:rPr>
                <w:b/>
                <w:bCs/>
                <w:lang w:val="nl-NL"/>
              </w:rPr>
              <w:t xml:space="preserve">EU — voornamelijk Straatsburg en </w:t>
            </w:r>
            <w:r>
              <w:rPr>
                <w:lang w:val="nl-NL"/>
              </w:rPr>
              <w:t xml:space="preserve">Parijs </w:t>
            </w:r>
            <w:r>
              <w:rPr>
                <w:lang w:val="nl-NL"/>
              </w:rPr>
              <w:t xml:space="preserve">(of klantinfrastructuur in optie B)</w:t>
            </w:r>
          </w:p>
        </w:tc>
      </w:tr>
      <w:tr>
        <w:trPr>
          <w:cantSplit/>
        </w:trPr>
        <w:tc>
          <w:tcPr/>
          <w:p>
            <w:pPr>
              <w:pStyle w:val="Compact"/>
            </w:pPr>
            <w:r>
              <w:rPr>
                <w:lang w:val="nl-NL"/>
              </w:rPr>
              <w:t xml:space="preserve">Opslaglocatie</w:t>
            </w:r>
          </w:p>
        </w:tc>
        <w:tc>
          <w:tcPr/>
          <w:p>
            <w:pPr>
              <w:pStyle w:val="Compact"/>
            </w:pPr>
            <w:r>
              <w:rPr>
                <w:lang w:val="nl-NL"/>
              </w:rPr>
              <w:t xml:space="preserve">Geen duurzame opslag; </w:t>
            </w:r>
            <w:r>
              <w:rPr>
                <w:lang w:val="nl-NL"/>
              </w:rPr>
              <w:t xml:space="preserve"/>
            </w:r>
            <w:r>
              <w:rPr>
                <w:b/>
                <w:bCs/>
                <w:lang w:val="nl-NL"/>
              </w:rPr>
              <w:t xml:space="preserve">geen overdracht naar een externe provider</w:t>
            </w:r>
          </w:p>
        </w:tc>
      </w:tr>
      <w:tr>
        <w:trPr>
          <w:cantSplit/>
        </w:trPr>
        <w:tc>
          <w:tcPr/>
          <w:p>
            <w:pPr>
              <w:pStyle w:val="Compact"/>
            </w:pPr>
            <w:r>
              <w:rPr>
                <w:lang w:val="nl-NL"/>
              </w:rPr>
              <w:t xml:space="preserve">Menselijke toegang tot gegevens</w:t>
            </w:r>
          </w:p>
        </w:tc>
        <w:tc>
          <w:tcPr/>
          <w:p>
            <w:pPr>
              <w:pStyle w:val="Compact"/>
            </w:pPr>
            <w:r>
              <w:rPr>
                <w:b/>
                <w:bCs/>
                <w:lang w:val="nl-NL"/>
              </w:rPr>
              <w:t xml:space="preserve">Nee </w:t>
            </w:r>
            <w:r>
              <w:rPr>
                <w:lang w:val="nl-NL"/>
              </w:rPr>
              <w:t xml:space="preserve"/>
            </w:r>
            <w:r>
              <w:rPr>
                <w:lang w:val="nl-NL"/>
              </w:rPr>
              <w:t xml:space="preserve">– geautomatiseerde verwerking op gecontroleerde servers</w:t>
            </w:r>
          </w:p>
        </w:tc>
      </w:tr>
      <w:tr>
        <w:trPr>
          <w:cantSplit/>
        </w:trPr>
        <w:tc>
          <w:tcPr/>
          <w:p>
            <w:pPr>
              <w:pStyle w:val="Compact"/>
            </w:pPr>
            <w:r>
              <w:rPr>
                <w:lang w:val="nl-NL"/>
              </w:rPr>
              <w:t xml:space="preserve">Contractuele garanties</w:t>
            </w:r>
          </w:p>
        </w:tc>
        <w:tc>
          <w:tcPr/>
          <w:p>
            <w:pPr>
              <w:pStyle w:val="Compact"/>
            </w:pPr>
            <w:r>
              <w:rPr>
                <w:lang w:val="nl-NL"/>
              </w:rPr>
              <w:t xml:space="preserve">Servers onder controle van OHADJA; no-train; DPA</w:t>
            </w:r>
          </w:p>
        </w:tc>
      </w:tr>
    </w:tbl>
    <w:p>
      <w:pPr>
        <w:pStyle w:val="BlockText"/>
      </w:pPr>
      <w:r>
        <w:rPr>
          <w:lang w:val="nl-NL"/>
        </w:rPr>
        <w:t xml:space="preserve">Bij de primaire route is er </w:t>
      </w:r>
      <w:r>
        <w:rPr>
          <w:lang w:val="nl-NL"/>
        </w:rPr>
        <w:t xml:space="preserve">geen </w:t>
      </w:r>
      <w:r>
        <w:rPr>
          <w:b/>
          <w:bCs/>
          <w:lang w:val="nl-NL"/>
        </w:rPr>
        <w:t xml:space="preserve">sprake van enige gevolgtrekking of </w:t>
      </w:r>
      <w:r>
        <w:rPr>
          <w:lang w:val="nl-NL"/>
        </w:rPr>
        <w:t xml:space="preserve"/>
      </w:r>
      <w:r>
        <w:rPr>
          <w:lang w:val="nl-NL"/>
        </w:rPr>
        <w:t xml:space="preserve">overdracht door derden buiten de EER. Afhankelijk van hun hostingmethode kunnen deze GPU-servers vertrouwen op de bronnen van een naar behoren gecontroleerde </w:t>
      </w:r>
      <w:r>
        <w:rPr>
          <w:lang w:val="nl-NL"/>
        </w:rPr>
        <w:t xml:space="preserve"/>
      </w:r>
      <w:r>
        <w:rPr>
          <w:b/>
          <w:bCs/>
          <w:lang w:val="nl-NL"/>
        </w:rPr>
        <w:t xml:space="preserve">EU-host – [WORDEN BEVESTIGD: host van vLLM </w:t>
      </w:r>
      <w:r>
        <w:rPr>
          <w:lang w:val="nl-NL"/>
        </w:rPr>
        <w:t xml:space="preserve">GPU-servers].</w:t>
      </w:r>
    </w:p>
    <w:bookmarkEnd w:id="82"/>
    <w:bookmarkStart w:id="83" w:name="Xe24c5cb2d6d45e1fe077f14e9da0e604d7d99b4"/>
    <w:p>
      <w:pPr>
        <w:pStyle w:val="Heading3"/>
        <w:keepNext/>
        <w:keepLines/>
      </w:pPr>
      <w:r>
        <w:rPr>
          <w:color w:val="000000"/>
          <w:lang w:val="nl-NL"/>
        </w:rPr>
        <w:t xml:space="preserve">2.5 Backup AI-gateway — OpenRouter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Entiteit</w:t>
            </w:r>
          </w:p>
        </w:tc>
        <w:tc>
          <w:tcPr/>
          <w:p>
            <w:pPr>
              <w:pStyle w:val="Compact"/>
            </w:pPr>
            <w:r>
              <w:rPr>
                <w:lang w:val="nl-NL"/>
              </w:rPr>
              <w:t xml:space="preserve">OpenRouter Inc.</w:t>
            </w:r>
          </w:p>
        </w:tc>
      </w:tr>
      <w:tr>
        <w:trPr>
          <w:cantSplit/>
        </w:trPr>
        <w:tc>
          <w:tcPr/>
          <w:p>
            <w:pPr>
              <w:pStyle w:val="Compact"/>
            </w:pPr>
            <w:r>
              <w:rPr>
                <w:lang w:val="nl-NL"/>
              </w:rPr>
              <w:t xml:space="preserve">Land van vestiging</w:t>
            </w:r>
          </w:p>
        </w:tc>
        <w:tc>
          <w:tcPr/>
          <w:p>
            <w:pPr>
              <w:pStyle w:val="Compact"/>
            </w:pPr>
            <w:r>
              <w:rPr>
                <w:lang w:val="nl-NL"/>
              </w:rPr>
              <w:t xml:space="preserve">VS</w:t>
            </w:r>
          </w:p>
        </w:tc>
      </w:tr>
      <w:tr>
        <w:trPr>
          <w:cantSplit/>
        </w:trPr>
        <w:tc>
          <w:tcPr/>
          <w:p>
            <w:pPr>
              <w:pStyle w:val="Compact"/>
            </w:pPr>
            <w:r>
              <w:rPr>
                <w:lang w:val="nl-NL"/>
              </w:rPr>
              <w:t xml:space="preserve">Rol</w:t>
            </w:r>
          </w:p>
        </w:tc>
        <w:tc>
          <w:tcPr/>
          <w:p>
            <w:pPr>
              <w:pStyle w:val="Compact"/>
            </w:pPr>
            <w:r>
              <w:rPr>
                <w:lang w:val="nl-NL"/>
              </w:rPr>
              <w:t xml:space="preserve">Alleen toegangsgateway voor </w:t>
            </w:r>
            <w:r>
              <w:rPr>
                <w:lang w:val="nl-NL"/>
              </w:rPr>
              <w:t xml:space="preserve"/>
            </w:r>
            <w:r>
              <w:rPr>
                <w:b/>
                <w:bCs/>
                <w:lang w:val="nl-NL"/>
              </w:rPr>
              <w:t xml:space="preserve">failover-taalmodel, </w:t>
            </w:r>
            <w:r>
              <w:rPr>
                <w:lang w:val="nl-NL"/>
              </w:rPr>
              <w:t xml:space="preserve">uitschakelbaar per organisatie</w:t>
            </w:r>
          </w:p>
        </w:tc>
      </w:tr>
      <w:tr>
        <w:trPr>
          <w:cantSplit/>
        </w:trPr>
        <w:tc>
          <w:tcPr/>
          <w:p>
            <w:pPr>
              <w:pStyle w:val="Compact"/>
            </w:pPr>
            <w:r>
              <w:rPr>
                <w:lang w:val="nl-NL"/>
              </w:rPr>
              <w:t xml:space="preserve">Operaties uitgevoerd</w:t>
            </w:r>
          </w:p>
        </w:tc>
        <w:tc>
          <w:tcPr/>
          <w:p>
            <w:pPr>
              <w:pStyle w:val="Compact"/>
            </w:pPr>
            <w:r>
              <w:rPr>
                <w:lang w:val="nl-NL"/>
              </w:rPr>
              <w:t xml:space="preserve">Routering van inferentieverzoeken in geval van onbeschikbaarheid van het primaire kanaal</w:t>
            </w:r>
          </w:p>
        </w:tc>
      </w:tr>
      <w:tr>
        <w:trPr>
          <w:cantSplit/>
        </w:trPr>
        <w:tc>
          <w:tcPr/>
          <w:p>
            <w:pPr>
              <w:pStyle w:val="Compact"/>
            </w:pPr>
            <w:r>
              <w:rPr>
                <w:lang w:val="nl-NL"/>
              </w:rPr>
              <w:t xml:space="preserve">Verwerkingslocatie</w:t>
            </w:r>
          </w:p>
        </w:tc>
        <w:tc>
          <w:tcPr/>
          <w:p>
            <w:pPr>
              <w:pStyle w:val="Compact"/>
            </w:pPr>
            <w:r>
              <w:rPr>
                <w:lang w:val="nl-NL"/>
              </w:rPr>
              <w:t xml:space="preserve">Amerikaanse routing mogelijk afhankelijk van het model</w:t>
            </w:r>
          </w:p>
        </w:tc>
      </w:tr>
      <w:tr>
        <w:trPr>
          <w:cantSplit/>
        </w:trPr>
        <w:tc>
          <w:tcPr/>
          <w:p>
            <w:pPr>
              <w:pStyle w:val="Compact"/>
            </w:pPr>
            <w:r>
              <w:rPr>
                <w:lang w:val="nl-NL"/>
              </w:rPr>
              <w:t xml:space="preserve">Opslaglocatie</w:t>
            </w:r>
          </w:p>
        </w:tc>
        <w:tc>
          <w:tcPr/>
          <w:p>
            <w:pPr>
              <w:pStyle w:val="Compact"/>
            </w:pPr>
            <w:r>
              <w:rPr>
                <w:lang w:val="nl-NL"/>
              </w:rPr>
              <w:t xml:space="preserve">Geen duurzame opslag; no-train ingeschakeld</w:t>
            </w:r>
          </w:p>
        </w:tc>
      </w:tr>
      <w:tr>
        <w:trPr>
          <w:cantSplit/>
        </w:trPr>
        <w:tc>
          <w:tcPr/>
          <w:p>
            <w:pPr>
              <w:pStyle w:val="Compact"/>
            </w:pPr>
            <w:r>
              <w:rPr>
                <w:lang w:val="nl-NL"/>
              </w:rPr>
              <w:t xml:space="preserve">Menselijke toegang tot gegevens</w:t>
            </w:r>
          </w:p>
        </w:tc>
        <w:tc>
          <w:tcPr/>
          <w:p>
            <w:pPr>
              <w:pStyle w:val="Compact"/>
            </w:pPr>
            <w:r>
              <w:rPr>
                <w:b/>
                <w:bCs/>
                <w:lang w:val="nl-NL"/>
              </w:rPr>
              <w:t xml:space="preserve">Nee </w:t>
            </w:r>
            <w:r>
              <w:rPr>
                <w:lang w:val="nl-NL"/>
              </w:rPr>
              <w:t xml:space="preserve"/>
            </w:r>
            <w:r>
              <w:rPr>
                <w:lang w:val="nl-NL"/>
              </w:rPr>
              <w:t xml:space="preserve">— geautomatiseerde technische toegang; prompts = door de klant geselecteerde gegevens, geminimaliseerd</w:t>
            </w:r>
          </w:p>
        </w:tc>
      </w:tr>
      <w:tr>
        <w:trPr>
          <w:cantSplit/>
        </w:trPr>
        <w:tc>
          <w:tcPr/>
          <w:p>
            <w:pPr>
              <w:pStyle w:val="Compact"/>
            </w:pPr>
            <w:r>
              <w:rPr>
                <w:lang w:val="nl-NL"/>
              </w:rPr>
              <w:t xml:space="preserve">Contractuele garanties</w:t>
            </w:r>
          </w:p>
        </w:tc>
        <w:tc>
          <w:tcPr/>
          <w:p>
            <w:pPr>
              <w:pStyle w:val="Compact"/>
            </w:pPr>
            <w:r>
              <w:rPr>
                <w:lang w:val="nl-NL"/>
              </w:rPr>
              <w:t xml:space="preserve">Leveranciersvoorwaarden, vlag 'no-train', CCT indien van toepassing, aanvullende maatregelen (zie OHA-RGPD-04)</w:t>
            </w:r>
          </w:p>
        </w:tc>
      </w:tr>
    </w:tbl>
    <w:bookmarkEnd w:id="83"/>
    <w:bookmarkStart w:id="84" w:name="X7a9d209f5e73c542f519287662e80a7a58cad7d"/>
    <w:p>
      <w:pPr>
        <w:pStyle w:val="Heading3"/>
        <w:keepNext/>
        <w:keepLines/>
      </w:pPr>
      <w:r>
        <w:rPr>
          <w:color w:val="000000"/>
          <w:lang w:val="nl-NL"/>
        </w:rPr>
        <w:t xml:space="preserve">2.6 Modelaanbieders via OpenRouter (fallback-route) — Anthropic, OpenAI…</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Entiteit</w:t>
            </w:r>
          </w:p>
        </w:tc>
        <w:tc>
          <w:tcPr/>
          <w:p>
            <w:pPr>
              <w:pStyle w:val="Compact"/>
            </w:pPr>
            <w:r>
              <w:rPr>
                <w:lang w:val="nl-NL"/>
              </w:rPr>
              <w:t xml:space="preserve">Geconfigureerde modelaanbieders (Anthropic, OpenAI…)</w:t>
            </w:r>
          </w:p>
        </w:tc>
      </w:tr>
      <w:tr>
        <w:trPr>
          <w:cantSplit/>
        </w:trPr>
        <w:tc>
          <w:tcPr/>
          <w:p>
            <w:pPr>
              <w:pStyle w:val="Compact"/>
            </w:pPr>
            <w:r>
              <w:rPr>
                <w:lang w:val="nl-NL"/>
              </w:rPr>
              <w:t xml:space="preserve">Land van vestiging</w:t>
            </w:r>
          </w:p>
        </w:tc>
        <w:tc>
          <w:tcPr/>
          <w:p>
            <w:pPr>
              <w:pStyle w:val="Compact"/>
            </w:pPr>
            <w:r>
              <w:rPr>
                <w:lang w:val="nl-NL"/>
              </w:rPr>
              <w:t xml:space="preserve">VS</w:t>
            </w:r>
          </w:p>
        </w:tc>
      </w:tr>
      <w:tr>
        <w:trPr>
          <w:cantSplit/>
        </w:trPr>
        <w:tc>
          <w:tcPr/>
          <w:p>
            <w:pPr>
              <w:pStyle w:val="Compact"/>
            </w:pPr>
            <w:r>
              <w:rPr>
                <w:lang w:val="nl-NL"/>
              </w:rPr>
              <w:t xml:space="preserve">Rol</w:t>
            </w:r>
          </w:p>
        </w:tc>
        <w:tc>
          <w:tcPr/>
          <w:p>
            <w:pPr>
              <w:pStyle w:val="Compact"/>
            </w:pPr>
            <w:r>
              <w:rPr>
                <w:lang w:val="nl-NL"/>
              </w:rPr>
              <w:t xml:space="preserve">Inferentie van taalmodellen </w:t>
            </w:r>
            <w:r>
              <w:rPr>
                <w:lang w:val="nl-NL"/>
              </w:rPr>
              <w:t xml:space="preserve"/>
            </w:r>
            <w:r>
              <w:rPr>
                <w:b/>
                <w:bCs/>
                <w:lang w:val="nl-NL"/>
              </w:rPr>
              <w:t xml:space="preserve">alleen als fallback</w:t>
            </w:r>
          </w:p>
        </w:tc>
      </w:tr>
      <w:tr>
        <w:trPr>
          <w:cantSplit/>
        </w:trPr>
        <w:tc>
          <w:tcPr/>
          <w:p>
            <w:pPr>
              <w:pStyle w:val="Compact"/>
            </w:pPr>
            <w:r>
              <w:rPr>
                <w:lang w:val="nl-NL"/>
              </w:rPr>
              <w:t xml:space="preserve">Operaties uitgevoerd</w:t>
            </w:r>
          </w:p>
        </w:tc>
        <w:tc>
          <w:tcPr/>
          <w:p>
            <w:pPr>
              <w:pStyle w:val="Compact"/>
            </w:pPr>
            <w:r>
              <w:rPr>
                <w:lang w:val="nl-NL"/>
              </w:rPr>
              <w:t xml:space="preserve">Genereren van tekst (correctie, samenvatting, rapport, analyse) uitsluitend op basis van klantverzoeken, bij overstap naar back-up</w:t>
            </w:r>
          </w:p>
        </w:tc>
      </w:tr>
      <w:tr>
        <w:trPr>
          <w:cantSplit/>
        </w:trPr>
        <w:tc>
          <w:tcPr/>
          <w:p>
            <w:pPr>
              <w:pStyle w:val="Compact"/>
            </w:pPr>
            <w:r>
              <w:rPr>
                <w:lang w:val="nl-NL"/>
              </w:rPr>
              <w:t xml:space="preserve">Verwerkingslocatie</w:t>
            </w:r>
          </w:p>
        </w:tc>
        <w:tc>
          <w:tcPr/>
          <w:p>
            <w:pPr>
              <w:pStyle w:val="Compact"/>
            </w:pPr>
            <w:r>
              <w:rPr>
                <w:lang w:val="nl-NL"/>
              </w:rPr>
              <w:t xml:space="preserve">VS/EU afhankelijk van model</w:t>
            </w:r>
          </w:p>
        </w:tc>
      </w:tr>
      <w:tr>
        <w:trPr>
          <w:cantSplit/>
        </w:trPr>
        <w:tc>
          <w:tcPr/>
          <w:p>
            <w:pPr>
              <w:pStyle w:val="Compact"/>
            </w:pPr>
            <w:r>
              <w:rPr>
                <w:lang w:val="nl-NL"/>
              </w:rPr>
              <w:t xml:space="preserve">Opslaglocatie</w:t>
            </w:r>
          </w:p>
        </w:tc>
        <w:tc>
          <w:tcPr/>
          <w:p>
            <w:pPr>
              <w:pStyle w:val="Compact"/>
            </w:pPr>
            <w:r>
              <w:rPr>
                <w:lang w:val="nl-NL"/>
              </w:rPr>
              <w:t xml:space="preserve">Bewaartermijn beperkt volgens de DPA van de leverancier; geen datatraining</w:t>
            </w:r>
          </w:p>
        </w:tc>
      </w:tr>
      <w:tr>
        <w:trPr>
          <w:cantSplit/>
        </w:trPr>
        <w:tc>
          <w:tcPr/>
          <w:p>
            <w:pPr>
              <w:pStyle w:val="Compact"/>
            </w:pPr>
            <w:r>
              <w:rPr>
                <w:lang w:val="nl-NL"/>
              </w:rPr>
              <w:t xml:space="preserve">Menselijke toegang tot gegevens</w:t>
            </w:r>
          </w:p>
        </w:tc>
        <w:tc>
          <w:tcPr/>
          <w:p>
            <w:pPr>
              <w:pStyle w:val="Compact"/>
            </w:pPr>
            <w:r>
              <w:rPr>
                <w:lang w:val="nl-NL"/>
              </w:rPr>
              <w:t xml:space="preserve">Onder toezicht van de DPA van de leverancier; geen menselijke toegang aan de OHADJA-kant</w:t>
            </w:r>
          </w:p>
        </w:tc>
      </w:tr>
      <w:tr>
        <w:trPr>
          <w:cantSplit/>
        </w:trPr>
        <w:tc>
          <w:tcPr/>
          <w:p>
            <w:pPr>
              <w:pStyle w:val="Compact"/>
            </w:pPr>
            <w:r>
              <w:rPr>
                <w:lang w:val="nl-NL"/>
              </w:rPr>
              <w:t xml:space="preserve">Contractuele garanties</w:t>
            </w:r>
          </w:p>
        </w:tc>
        <w:tc>
          <w:tcPr/>
          <w:p>
            <w:pPr>
              <w:pStyle w:val="Compact"/>
            </w:pPr>
            <w:r>
              <w:rPr>
                <w:lang w:val="nl-NL"/>
              </w:rPr>
              <w:t xml:space="preserve">Leverancier DPA, no-train, CCT indien van toepassing; exacte retentie [in te vullen door leverancier]</w:t>
            </w:r>
          </w:p>
        </w:tc>
      </w:tr>
    </w:tbl>
    <w:bookmarkEnd w:id="84"/>
    <w:bookmarkStart w:id="85" w:name="X739d67500347b1e3573abccc1a95744451fddf3"/>
    <w:p>
      <w:pPr>
        <w:pStyle w:val="Heading3"/>
        <w:keepNext/>
        <w:keepLines/>
      </w:pPr>
      <w:r>
        <w:rPr>
          <w:color w:val="000000"/>
          <w:lang w:val="nl-NL"/>
        </w:rPr>
        <w:t xml:space="preserve">2.7 Transactionele e-mail (indien geactiveerd)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Entiteit</w:t>
            </w:r>
          </w:p>
        </w:tc>
        <w:tc>
          <w:tcPr/>
          <w:p>
            <w:pPr>
              <w:pStyle w:val="Compact"/>
            </w:pPr>
            <w:r>
              <w:rPr>
                <w:lang w:val="nl-NL"/>
              </w:rPr>
              <w:t xml:space="preserve">Transactionele e-mailserviceprovider</w:t>
            </w:r>
          </w:p>
        </w:tc>
      </w:tr>
      <w:tr>
        <w:trPr>
          <w:cantSplit/>
        </w:trPr>
        <w:tc>
          <w:tcPr/>
          <w:p>
            <w:pPr>
              <w:pStyle w:val="Compact"/>
            </w:pPr>
            <w:r>
              <w:rPr>
                <w:lang w:val="nl-NL"/>
              </w:rPr>
              <w:t xml:space="preserve">Land van vestiging</w:t>
            </w:r>
          </w:p>
        </w:tc>
        <w:tc>
          <w:tcPr/>
          <w:p>
            <w:pPr>
              <w:pStyle w:val="Compact"/>
            </w:pPr>
            <w:r>
              <w:rPr>
                <w:lang w:val="nl-NL"/>
              </w:rPr>
              <w:t xml:space="preserve">[WORDEN BEVESTIGD]</w:t>
            </w:r>
          </w:p>
        </w:tc>
      </w:tr>
      <w:tr>
        <w:trPr>
          <w:cantSplit/>
        </w:trPr>
        <w:tc>
          <w:tcPr/>
          <w:p>
            <w:pPr>
              <w:pStyle w:val="Compact"/>
            </w:pPr>
            <w:r>
              <w:rPr>
                <w:lang w:val="nl-NL"/>
              </w:rPr>
              <w:t xml:space="preserve">Rol</w:t>
            </w:r>
          </w:p>
        </w:tc>
        <w:tc>
          <w:tcPr/>
          <w:p>
            <w:pPr>
              <w:pStyle w:val="Compact"/>
            </w:pPr>
            <w:r>
              <w:rPr>
                <w:lang w:val="nl-NL"/>
              </w:rPr>
              <w:t xml:space="preserve">Service-e-mails verzenden (uitnodigingen, resets, technische meldingen)</w:t>
            </w:r>
          </w:p>
        </w:tc>
      </w:tr>
      <w:tr>
        <w:trPr>
          <w:cantSplit/>
        </w:trPr>
        <w:tc>
          <w:tcPr/>
          <w:p>
            <w:pPr>
              <w:pStyle w:val="Compact"/>
            </w:pPr>
            <w:r>
              <w:rPr>
                <w:lang w:val="nl-NL"/>
              </w:rPr>
              <w:t xml:space="preserve">Operaties uitgevoerd</w:t>
            </w:r>
          </w:p>
        </w:tc>
        <w:tc>
          <w:tcPr/>
          <w:p>
            <w:pPr>
              <w:pStyle w:val="Compact"/>
            </w:pPr>
            <w:r>
              <w:rPr>
                <w:lang w:val="nl-NL"/>
              </w:rPr>
              <w:t xml:space="preserve">Routing van service-e-mails</w:t>
            </w:r>
          </w:p>
        </w:tc>
      </w:tr>
      <w:tr>
        <w:trPr>
          <w:cantSplit/>
        </w:trPr>
        <w:tc>
          <w:tcPr/>
          <w:p>
            <w:pPr>
              <w:pStyle w:val="Compact"/>
            </w:pPr>
            <w:r>
              <w:rPr>
                <w:lang w:val="nl-NL"/>
              </w:rPr>
              <w:t xml:space="preserve">Verwerkings-/opslaglocatie</w:t>
            </w:r>
          </w:p>
        </w:tc>
        <w:tc>
          <w:tcPr/>
          <w:p>
            <w:pPr>
              <w:pStyle w:val="Compact"/>
            </w:pPr>
            <w:r>
              <w:rPr>
                <w:lang w:val="nl-NL"/>
              </w:rPr>
              <w:t xml:space="preserve">[WORDEN BEVESTIGD – EU heeft de voorkeur]</w:t>
            </w:r>
          </w:p>
        </w:tc>
      </w:tr>
      <w:tr>
        <w:trPr>
          <w:cantSplit/>
        </w:trPr>
        <w:tc>
          <w:tcPr/>
          <w:p>
            <w:pPr>
              <w:pStyle w:val="Compact"/>
            </w:pPr>
            <w:r>
              <w:rPr>
                <w:lang w:val="nl-NL"/>
              </w:rPr>
              <w:t xml:space="preserve">Menselijke toegang tot gegevens</w:t>
            </w:r>
          </w:p>
        </w:tc>
        <w:tc>
          <w:tcPr/>
          <w:p>
            <w:pPr>
              <w:pStyle w:val="Compact"/>
            </w:pPr>
            <w:r>
              <w:rPr>
                <w:b/>
                <w:bCs/>
                <w:lang w:val="nl-NL"/>
              </w:rPr>
              <w:t xml:space="preserve">Nee</w:t>
            </w:r>
          </w:p>
        </w:tc>
      </w:tr>
      <w:tr>
        <w:trPr>
          <w:cantSplit/>
        </w:trPr>
        <w:tc>
          <w:tcPr/>
          <w:p>
            <w:pPr>
              <w:pStyle w:val="Compact"/>
            </w:pPr>
            <w:r>
              <w:rPr>
                <w:lang w:val="nl-NL"/>
              </w:rPr>
              <w:t xml:space="preserve">Contractuele garanties</w:t>
            </w:r>
          </w:p>
        </w:tc>
        <w:tc>
          <w:tcPr/>
          <w:p>
            <w:pPr>
              <w:pStyle w:val="Compact"/>
            </w:pPr>
            <w:r>
              <w:rPr>
                <w:lang w:val="nl-NL"/>
              </w:rPr>
              <w:t xml:space="preserve">Servicecontract, leverancier DPA, CCT indien buiten de EU — [WORDEN BEVESTIGD]</w:t>
            </w:r>
          </w:p>
        </w:tc>
      </w:tr>
    </w:tbl>
    <w:bookmarkEnd w:id="85"/>
    <w:bookmarkStart w:id="86" w:name="X2a3999304a2b98c303cb3c8bf84bf7852a985ad"/>
    <w:p>
      <w:pPr>
        <w:pStyle w:val="Heading3"/>
        <w:keepNext/>
        <w:keepLines/>
      </w:pPr>
      <w:r>
        <w:rPr>
          <w:color w:val="000000"/>
          <w:lang w:val="nl-NL"/>
        </w:rPr>
        <w:t xml:space="preserve">2.8 Toezicht en veiligheidstoezicht</w:t>
      </w:r>
    </w:p>
    <w:p>
      <w:pPr>
        <w:pStyle w:val="FirstParagraph"/>
      </w:pPr>
      <w:r>
        <w:rPr>
          <w:lang w:val="nl-NL"/>
        </w:rPr>
        <w:t xml:space="preserve">Technisch toezicht (wachtrij, schijf, certificaten, afhankelijkheden) en beveiligingstoezicht worden rechtstreeks </w:t>
      </w:r>
      <w:r>
        <w:rPr>
          <w:lang w:val="nl-NL"/>
        </w:rPr>
        <w:t xml:space="preserve"/>
      </w:r>
      <w:r>
        <w:rPr>
          <w:b/>
          <w:bCs/>
          <w:lang w:val="nl-NL"/>
        </w:rPr>
        <w:t xml:space="preserve">door OHADJA geleverd, </w:t>
      </w:r>
      <w:r>
        <w:rPr>
          <w:lang w:val="nl-NL"/>
        </w:rPr>
        <w:t xml:space="preserve">zonder een externe provider. In deze hoedanigheid komt geen subverwerker tussenbeide.</w:t>
      </w:r>
    </w:p>
    <w:bookmarkEnd w:id="86"/>
    <w:bookmarkEnd w:id="87"/>
    <w:bookmarkStart w:id="88" w:name="X0a7a632d6fa131b667612b4790ffc99111a837a"/>
    <w:p>
      <w:pPr>
        <w:pStyle w:val="Heading2"/>
        <w:keepNext/>
        <w:keepLines/>
      </w:pPr>
      <w:r>
        <w:rPr>
          <w:color w:val="000000"/>
          <w:lang w:val="nl-NL"/>
        </w:rPr>
        <w:t xml:space="preserve">3. Overzichtstabel — Optie A</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Verwerker</w:t>
            </w:r>
          </w:p>
        </w:tc>
        <w:tc>
          <w:tcPr>
            <w:tcW w:type="dxa" w:w="1872"/>
            <w:tcMar>
              <w:left w:type="dxa" w:w="80"/>
              <w:right w:type="dxa" w:w="80"/>
            </w:tcMar>
          </w:tcPr>
          <w:p>
            <w:pPr>
              <w:pStyle w:val="Compact"/>
            </w:pPr>
            <w:r>
              <w:rPr>
                <w:sz w:val="19"/>
                <w:szCs w:val="19"/>
                <w:lang w:val="nl-NL"/>
              </w:rPr>
              <w:t xml:space="preserve">Land van vestiging</w:t>
            </w:r>
          </w:p>
        </w:tc>
        <w:tc>
          <w:tcPr>
            <w:tcW w:type="dxa" w:w="1872"/>
            <w:tcMar>
              <w:left w:type="dxa" w:w="80"/>
              <w:right w:type="dxa" w:w="80"/>
            </w:tcMar>
          </w:tcPr>
          <w:p>
            <w:pPr>
              <w:pStyle w:val="Compact"/>
            </w:pPr>
            <w:r>
              <w:rPr>
                <w:sz w:val="19"/>
                <w:szCs w:val="19"/>
                <w:lang w:val="nl-NL"/>
              </w:rPr>
              <w:t xml:space="preserve">Rol</w:t>
            </w:r>
          </w:p>
        </w:tc>
        <w:tc>
          <w:tcPr>
            <w:tcW w:type="dxa" w:w="1872"/>
            <w:tcMar>
              <w:left w:type="dxa" w:w="80"/>
              <w:right w:type="dxa" w:w="80"/>
            </w:tcMar>
          </w:tcPr>
          <w:p>
            <w:pPr>
              <w:pStyle w:val="Compact"/>
            </w:pPr>
            <w:r>
              <w:rPr>
                <w:sz w:val="19"/>
                <w:szCs w:val="19"/>
                <w:lang w:val="nl-NL"/>
              </w:rPr>
              <w:t xml:space="preserve">Verwerking/opslag</w:t>
            </w:r>
          </w:p>
        </w:tc>
        <w:tc>
          <w:tcPr>
            <w:tcW w:type="dxa" w:w="1872"/>
            <w:tcMar>
              <w:left w:type="dxa" w:w="80"/>
              <w:right w:type="dxa" w:w="80"/>
            </w:tcMar>
          </w:tcPr>
          <w:p>
            <w:pPr>
              <w:pStyle w:val="Compact"/>
            </w:pPr>
            <w:r>
              <w:rPr>
                <w:sz w:val="19"/>
                <w:szCs w:val="19"/>
                <w:lang w:val="nl-NL"/>
              </w:rPr>
              <w:t xml:space="preserve">Menselijke toegang</w:t>
            </w:r>
          </w:p>
        </w:tc>
      </w:tr>
      <w:tr>
        <w:trPr>
          <w:cantSplit/>
        </w:trPr>
        <w:tc>
          <w:tcPr>
            <w:tcW w:type="dxa" w:w="1872"/>
            <w:tcMar>
              <w:left w:type="dxa" w:w="80"/>
              <w:right w:type="dxa" w:w="80"/>
            </w:tcMar>
          </w:tcPr>
          <w:p>
            <w:pPr>
              <w:pStyle w:val="Compact"/>
            </w:pPr>
            <w:r>
              <w:rPr>
                <w:sz w:val="19"/>
                <w:szCs w:val="19"/>
                <w:lang w:val="nl-NL"/>
              </w:rPr>
              <w:t xml:space="preserve">Hostinger</w:t>
            </w:r>
          </w:p>
        </w:tc>
        <w:tc>
          <w:tcPr>
            <w:tcW w:type="dxa" w:w="1872"/>
            <w:tcMar>
              <w:left w:type="dxa" w:w="80"/>
              <w:right w:type="dxa" w:w="80"/>
            </w:tcMar>
          </w:tcPr>
          <w:p>
            <w:pPr>
              <w:pStyle w:val="Compact"/>
            </w:pPr>
            <w:r>
              <w:rPr>
                <w:sz w:val="19"/>
                <w:szCs w:val="19"/>
                <w:lang w:val="nl-NL"/>
              </w:rPr>
              <w:t xml:space="preserve">Litouwen (EU)</w:t>
            </w:r>
          </w:p>
        </w:tc>
        <w:tc>
          <w:tcPr>
            <w:tcW w:type="dxa" w:w="1872"/>
            <w:tcMar>
              <w:left w:type="dxa" w:w="80"/>
              <w:right w:type="dxa" w:w="80"/>
            </w:tcMar>
          </w:tcPr>
          <w:p>
            <w:pPr>
              <w:pStyle w:val="Compact"/>
            </w:pPr>
            <w:r>
              <w:rPr>
                <w:sz w:val="19"/>
                <w:szCs w:val="19"/>
                <w:lang w:val="nl-NL"/>
              </w:rPr>
              <w:t xml:space="preserve">Accommodatie</w:t>
            </w:r>
          </w:p>
        </w:tc>
        <w:tc>
          <w:tcPr>
            <w:tcW w:type="dxa" w:w="1872"/>
            <w:tcMar>
              <w:left w:type="dxa" w:w="80"/>
              <w:right w:type="dxa" w:w="80"/>
            </w:tcMar>
          </w:tcPr>
          <w:p>
            <w:pPr>
              <w:pStyle w:val="Compact"/>
            </w:pPr>
            <w:r>
              <w:rPr>
                <w:sz w:val="19"/>
                <w:szCs w:val="19"/>
                <w:lang w:val="nl-NL"/>
              </w:rPr>
              <w:t xml:space="preserve">Frankrijk / Frankrijk</w:t>
            </w:r>
          </w:p>
        </w:tc>
        <w:tc>
          <w:tcPr>
            <w:tcW w:type="dxa" w:w="1872"/>
            <w:tcMar>
              <w:left w:type="dxa" w:w="80"/>
              <w:right w:type="dxa" w:w="80"/>
            </w:tcMar>
          </w:tcPr>
          <w:p>
            <w:pPr>
              <w:pStyle w:val="Compact"/>
            </w:pPr>
            <w:r>
              <w:rPr>
                <w:sz w:val="19"/>
                <w:szCs w:val="19"/>
                <w:lang w:val="nl-NL"/>
              </w:rPr>
              <w:t xml:space="preserve">Nee</w:t>
            </w:r>
          </w:p>
        </w:tc>
      </w:tr>
      <w:tr>
        <w:trPr>
          <w:cantSplit/>
        </w:trPr>
        <w:tc>
          <w:tcPr>
            <w:tcW w:type="dxa" w:w="1872"/>
            <w:tcMar>
              <w:left w:type="dxa" w:w="80"/>
              <w:right w:type="dxa" w:w="80"/>
            </w:tcMar>
          </w:tcPr>
          <w:p>
            <w:pPr>
              <w:pStyle w:val="Compact"/>
            </w:pPr>
            <w:r>
              <w:rPr>
                <w:sz w:val="19"/>
                <w:szCs w:val="19"/>
                <w:lang w:val="nl-NL"/>
              </w:rPr>
              <w:t xml:space="preserve">Scaleway</w:t>
            </w:r>
          </w:p>
        </w:tc>
        <w:tc>
          <w:tcPr>
            <w:tcW w:type="dxa" w:w="1872"/>
            <w:tcMar>
              <w:left w:type="dxa" w:w="80"/>
              <w:right w:type="dxa" w:w="80"/>
            </w:tcMar>
          </w:tcPr>
          <w:p>
            <w:pPr>
              <w:pStyle w:val="Compact"/>
            </w:pPr>
            <w:r>
              <w:rPr>
                <w:sz w:val="19"/>
                <w:szCs w:val="19"/>
                <w:lang w:val="nl-NL"/>
              </w:rPr>
              <w:t xml:space="preserve">Frankrijk (EU)</w:t>
            </w:r>
          </w:p>
        </w:tc>
        <w:tc>
          <w:tcPr>
            <w:tcW w:type="dxa" w:w="1872"/>
            <w:tcMar>
              <w:left w:type="dxa" w:w="80"/>
              <w:right w:type="dxa" w:w="80"/>
            </w:tcMar>
          </w:tcPr>
          <w:p>
            <w:pPr>
              <w:pStyle w:val="Compact"/>
            </w:pPr>
            <w:r>
              <w:rPr>
                <w:sz w:val="19"/>
                <w:szCs w:val="19"/>
                <w:lang w:val="nl-NL"/>
              </w:rPr>
              <w:t xml:space="preserve">Gecodeerde back-up</w:t>
            </w:r>
          </w:p>
        </w:tc>
        <w:tc>
          <w:tcPr>
            <w:tcW w:type="dxa" w:w="1872"/>
            <w:tcMar>
              <w:left w:type="dxa" w:w="80"/>
              <w:right w:type="dxa" w:w="80"/>
            </w:tcMar>
          </w:tcPr>
          <w:p>
            <w:pPr>
              <w:pStyle w:val="Compact"/>
            </w:pPr>
            <w:r>
              <w:rPr>
                <w:sz w:val="19"/>
                <w:szCs w:val="19"/>
                <w:lang w:val="nl-NL"/>
              </w:rPr>
              <w:t xml:space="preserve">Frankrijk (EU)</w:t>
            </w:r>
          </w:p>
        </w:tc>
        <w:tc>
          <w:tcPr>
            <w:tcW w:type="dxa" w:w="1872"/>
            <w:tcMar>
              <w:left w:type="dxa" w:w="80"/>
              <w:right w:type="dxa" w:w="80"/>
            </w:tcMar>
          </w:tcPr>
          <w:p>
            <w:pPr>
              <w:pStyle w:val="Compact"/>
            </w:pPr>
            <w:r>
              <w:rPr>
                <w:sz w:val="19"/>
                <w:szCs w:val="19"/>
                <w:lang w:val="nl-NL"/>
              </w:rPr>
              <w:t xml:space="preserve">Nee (versleuteld vóór verzending)</w:t>
            </w:r>
          </w:p>
        </w:tc>
      </w:tr>
      <w:tr>
        <w:trPr>
          <w:cantSplit/>
        </w:trPr>
        <w:tc>
          <w:tcPr>
            <w:tcW w:type="dxa" w:w="1872"/>
            <w:tcMar>
              <w:left w:type="dxa" w:w="80"/>
              <w:right w:type="dxa" w:w="80"/>
            </w:tcMar>
          </w:tcPr>
          <w:p>
            <w:pPr>
              <w:pStyle w:val="Compact"/>
            </w:pPr>
            <w:r>
              <w:rPr>
                <w:sz w:val="19"/>
                <w:szCs w:val="19"/>
                <w:lang w:val="nl-NL"/>
              </w:rPr>
              <w:t xml:space="preserve">Toegewijde GPU / Vast.ai</w:t>
            </w:r>
          </w:p>
        </w:tc>
        <w:tc>
          <w:tcPr>
            <w:tcW w:type="dxa" w:w="1872"/>
            <w:tcMar>
              <w:left w:type="dxa" w:w="80"/>
              <w:right w:type="dxa" w:w="80"/>
            </w:tcMar>
          </w:tcPr>
          <w:p>
            <w:pPr>
              <w:pStyle w:val="Compact"/>
            </w:pPr>
            <w:r>
              <w:rPr>
                <w:sz w:val="19"/>
                <w:szCs w:val="19"/>
                <w:lang w:val="nl-NL"/>
              </w:rPr>
              <w:t xml:space="preserve">EU / VS (marktplaats)</w:t>
            </w:r>
          </w:p>
        </w:tc>
        <w:tc>
          <w:tcPr>
            <w:tcW w:type="dxa" w:w="1872"/>
            <w:tcMar>
              <w:left w:type="dxa" w:w="80"/>
              <w:right w:type="dxa" w:w="80"/>
            </w:tcMar>
          </w:tcPr>
          <w:p>
            <w:pPr>
              <w:pStyle w:val="Compact"/>
            </w:pPr>
            <w:r>
              <w:rPr>
                <w:sz w:val="19"/>
                <w:szCs w:val="19"/>
                <w:lang w:val="nl-NL"/>
              </w:rPr>
              <w:t xml:space="preserve">Transcriptie, sprekerdiarisatie</w:t>
            </w:r>
          </w:p>
        </w:tc>
        <w:tc>
          <w:tcPr>
            <w:tcW w:type="dxa" w:w="1872"/>
            <w:tcMar>
              <w:left w:type="dxa" w:w="80"/>
              <w:right w:type="dxa" w:w="80"/>
            </w:tcMar>
          </w:tcPr>
          <w:p>
            <w:pPr>
              <w:pStyle w:val="Compact"/>
            </w:pPr>
            <w:r>
              <w:rPr>
                <w:sz w:val="19"/>
                <w:szCs w:val="19"/>
                <w:lang w:val="nl-NL"/>
              </w:rPr>
              <w:t xml:space="preserve">EU indien nodig / geen duurzame opslag</w:t>
            </w:r>
          </w:p>
        </w:tc>
        <w:tc>
          <w:tcPr>
            <w:tcW w:type="dxa" w:w="1872"/>
            <w:tcMar>
              <w:left w:type="dxa" w:w="80"/>
              <w:right w:type="dxa" w:w="80"/>
            </w:tcMar>
          </w:tcPr>
          <w:p>
            <w:pPr>
              <w:pStyle w:val="Compact"/>
            </w:pPr>
            <w:r>
              <w:rPr>
                <w:sz w:val="19"/>
                <w:szCs w:val="19"/>
                <w:lang w:val="nl-NL"/>
              </w:rPr>
              <w:t xml:space="preserve">Nee</w:t>
            </w:r>
          </w:p>
        </w:tc>
      </w:tr>
      <w:tr>
        <w:trPr>
          <w:cantSplit/>
        </w:trPr>
        <w:tc>
          <w:tcPr>
            <w:tcW w:type="dxa" w:w="1872"/>
            <w:tcMar>
              <w:left w:type="dxa" w:w="80"/>
              <w:right w:type="dxa" w:w="80"/>
            </w:tcMar>
          </w:tcPr>
          <w:p>
            <w:pPr>
              <w:pStyle w:val="Compact"/>
            </w:pPr>
            <w:r>
              <w:rPr>
                <w:b/>
                <w:bCs/>
                <w:sz w:val="19"/>
                <w:szCs w:val="19"/>
                <w:lang w:val="nl-NL"/>
              </w:rPr>
              <w:t xml:space="preserve">Beheerde vLLM-servers</w:t>
            </w:r>
          </w:p>
        </w:tc>
        <w:tc>
          <w:tcPr>
            <w:tcW w:type="dxa" w:w="1872"/>
            <w:tcMar>
              <w:left w:type="dxa" w:w="80"/>
              <w:right w:type="dxa" w:w="80"/>
            </w:tcMar>
          </w:tcPr>
          <w:p>
            <w:pPr>
              <w:pStyle w:val="Compact"/>
            </w:pPr>
            <w:r>
              <w:rPr>
                <w:sz w:val="19"/>
                <w:szCs w:val="19"/>
                <w:lang w:val="nl-NL"/>
              </w:rPr>
              <w:t xml:space="preserve">Frankrijk / EU</w:t>
            </w:r>
          </w:p>
        </w:tc>
        <w:tc>
          <w:tcPr>
            <w:tcW w:type="dxa" w:w="1872"/>
            <w:tcMar>
              <w:left w:type="dxa" w:w="80"/>
              <w:right w:type="dxa" w:w="80"/>
            </w:tcMar>
          </w:tcPr>
          <w:p>
            <w:pPr>
              <w:pStyle w:val="Compact"/>
            </w:pPr>
            <w:r>
              <w:rPr>
                <w:b/>
                <w:bCs/>
                <w:sz w:val="19"/>
                <w:szCs w:val="19"/>
                <w:lang w:val="nl-NL"/>
              </w:rPr>
              <w:t xml:space="preserve">AI-gevolgtrekking — primair traject</w:t>
            </w:r>
          </w:p>
        </w:tc>
        <w:tc>
          <w:tcPr>
            <w:tcW w:type="dxa" w:w="1872"/>
            <w:tcMar>
              <w:left w:type="dxa" w:w="80"/>
              <w:right w:type="dxa" w:w="80"/>
            </w:tcMar>
          </w:tcPr>
          <w:p>
            <w:pPr>
              <w:pStyle w:val="Compact"/>
            </w:pPr>
            <w:r>
              <w:rPr>
                <w:sz w:val="19"/>
                <w:szCs w:val="19"/>
                <w:lang w:val="nl-NL"/>
              </w:rPr>
              <w:t xml:space="preserve">EU (Straatsburg / Parijs) / geen duurzame opslag</w:t>
            </w:r>
          </w:p>
        </w:tc>
        <w:tc>
          <w:tcPr>
            <w:tcW w:type="dxa" w:w="1872"/>
            <w:tcMar>
              <w:left w:type="dxa" w:w="80"/>
              <w:right w:type="dxa" w:w="80"/>
            </w:tcMar>
          </w:tcPr>
          <w:p>
            <w:pPr>
              <w:pStyle w:val="Compact"/>
            </w:pPr>
            <w:r>
              <w:rPr>
                <w:sz w:val="19"/>
                <w:szCs w:val="19"/>
                <w:lang w:val="nl-NL"/>
              </w:rPr>
              <w:t xml:space="preserve">Nee</w:t>
            </w:r>
          </w:p>
        </w:tc>
      </w:tr>
      <w:tr>
        <w:trPr>
          <w:cantSplit/>
        </w:trPr>
        <w:tc>
          <w:tcPr>
            <w:tcW w:type="dxa" w:w="1872"/>
            <w:tcMar>
              <w:left w:type="dxa" w:w="80"/>
              <w:right w:type="dxa" w:w="80"/>
            </w:tcMar>
          </w:tcPr>
          <w:p>
            <w:pPr>
              <w:pStyle w:val="Compact"/>
            </w:pPr>
            <w:r>
              <w:rPr>
                <w:sz w:val="19"/>
                <w:szCs w:val="19"/>
                <w:lang w:val="nl-NL"/>
              </w:rPr>
              <w:t xml:space="preserve">OpenRouter</w:t>
            </w:r>
          </w:p>
        </w:tc>
        <w:tc>
          <w:tcPr>
            <w:tcW w:type="dxa" w:w="1872"/>
            <w:tcMar>
              <w:left w:type="dxa" w:w="80"/>
              <w:right w:type="dxa" w:w="80"/>
            </w:tcMar>
          </w:tcPr>
          <w:p>
            <w:pPr>
              <w:pStyle w:val="Compact"/>
            </w:pPr>
            <w:r>
              <w:rPr>
                <w:sz w:val="19"/>
                <w:szCs w:val="19"/>
                <w:lang w:val="nl-NL"/>
              </w:rPr>
              <w:t xml:space="preserve">VS</w:t>
            </w:r>
          </w:p>
        </w:tc>
        <w:tc>
          <w:tcPr>
            <w:tcW w:type="dxa" w:w="1872"/>
            <w:tcMar>
              <w:left w:type="dxa" w:w="80"/>
              <w:right w:type="dxa" w:w="80"/>
            </w:tcMar>
          </w:tcPr>
          <w:p>
            <w:pPr>
              <w:pStyle w:val="Compact"/>
            </w:pPr>
            <w:r>
              <w:rPr>
                <w:sz w:val="19"/>
                <w:szCs w:val="19"/>
                <w:lang w:val="nl-NL"/>
              </w:rPr>
              <w:t xml:space="preserve">AI-gateway </w:t>
            </w:r>
            <w:r>
              <w:rPr>
                <w:sz w:val="19"/>
                <w:szCs w:val="19"/>
                <w:lang w:val="nl-NL"/>
              </w:rPr>
              <w:t xml:space="preserve"/>
            </w:r>
            <w:r>
              <w:rPr>
                <w:b/>
                <w:bCs/>
                <w:sz w:val="19"/>
                <w:szCs w:val="19"/>
                <w:lang w:val="nl-NL"/>
              </w:rPr>
              <w:t xml:space="preserve">— failover, deactiveerbaar</w:t>
            </w:r>
          </w:p>
        </w:tc>
        <w:tc>
          <w:tcPr>
            <w:tcW w:type="dxa" w:w="1872"/>
            <w:tcMar>
              <w:left w:type="dxa" w:w="80"/>
              <w:right w:type="dxa" w:w="80"/>
            </w:tcMar>
          </w:tcPr>
          <w:p>
            <w:pPr>
              <w:pStyle w:val="Compact"/>
            </w:pPr>
            <w:r>
              <w:rPr>
                <w:sz w:val="19"/>
                <w:szCs w:val="19"/>
                <w:lang w:val="nl-NL"/>
              </w:rPr>
              <w:t xml:space="preserve">Amerikaanse routing mogelijk / geen duurzame opslag</w:t>
            </w:r>
          </w:p>
        </w:tc>
        <w:tc>
          <w:tcPr>
            <w:tcW w:type="dxa" w:w="1872"/>
            <w:tcMar>
              <w:left w:type="dxa" w:w="80"/>
              <w:right w:type="dxa" w:w="80"/>
            </w:tcMar>
          </w:tcPr>
          <w:p>
            <w:pPr>
              <w:pStyle w:val="Compact"/>
            </w:pPr>
            <w:r>
              <w:rPr>
                <w:sz w:val="19"/>
                <w:szCs w:val="19"/>
                <w:lang w:val="nl-NL"/>
              </w:rPr>
              <w:t xml:space="preserve">Nee</w:t>
            </w:r>
          </w:p>
        </w:tc>
      </w:tr>
      <w:tr>
        <w:trPr>
          <w:cantSplit/>
        </w:trPr>
        <w:tc>
          <w:tcPr>
            <w:tcW w:type="dxa" w:w="1872"/>
            <w:tcMar>
              <w:left w:type="dxa" w:w="80"/>
              <w:right w:type="dxa" w:w="80"/>
            </w:tcMar>
          </w:tcPr>
          <w:p>
            <w:pPr>
              <w:pStyle w:val="Compact"/>
            </w:pPr>
            <w:r>
              <w:rPr>
                <w:sz w:val="19"/>
                <w:szCs w:val="19"/>
                <w:lang w:val="nl-NL"/>
              </w:rPr>
              <w:t xml:space="preserve">Modelaanbieders</w:t>
            </w:r>
          </w:p>
        </w:tc>
        <w:tc>
          <w:tcPr>
            <w:tcW w:type="dxa" w:w="1872"/>
            <w:tcMar>
              <w:left w:type="dxa" w:w="80"/>
              <w:right w:type="dxa" w:w="80"/>
            </w:tcMar>
          </w:tcPr>
          <w:p>
            <w:pPr>
              <w:pStyle w:val="Compact"/>
            </w:pPr>
            <w:r>
              <w:rPr>
                <w:sz w:val="19"/>
                <w:szCs w:val="19"/>
                <w:lang w:val="nl-NL"/>
              </w:rPr>
              <w:t xml:space="preserve">VS</w:t>
            </w:r>
          </w:p>
        </w:tc>
        <w:tc>
          <w:tcPr>
            <w:tcW w:type="dxa" w:w="1872"/>
            <w:tcMar>
              <w:left w:type="dxa" w:w="80"/>
              <w:right w:type="dxa" w:w="80"/>
            </w:tcMar>
          </w:tcPr>
          <w:p>
            <w:pPr>
              <w:pStyle w:val="Compact"/>
            </w:pPr>
            <w:r>
              <w:rPr>
                <w:sz w:val="19"/>
                <w:szCs w:val="19"/>
                <w:lang w:val="nl-NL"/>
              </w:rPr>
              <w:t xml:space="preserve">LLM Inference: </w:t>
            </w:r>
            <w:r>
              <w:rPr>
                <w:sz w:val="19"/>
                <w:szCs w:val="19"/>
                <w:lang w:val="nl-NL"/>
              </w:rPr>
              <w:t xml:space="preserve"/>
            </w:r>
            <w:r>
              <w:rPr>
                <w:b/>
                <w:bCs/>
                <w:sz w:val="19"/>
                <w:szCs w:val="19"/>
                <w:lang w:val="nl-NL"/>
              </w:rPr>
              <w:t xml:space="preserve">alleen back-up</w:t>
            </w:r>
          </w:p>
        </w:tc>
        <w:tc>
          <w:tcPr>
            <w:tcW w:type="dxa" w:w="1872"/>
            <w:tcMar>
              <w:left w:type="dxa" w:w="80"/>
              <w:right w:type="dxa" w:w="80"/>
            </w:tcMar>
          </w:tcPr>
          <w:p>
            <w:pPr>
              <w:pStyle w:val="Compact"/>
            </w:pPr>
            <w:r>
              <w:rPr>
                <w:sz w:val="19"/>
                <w:szCs w:val="19"/>
                <w:lang w:val="nl-NL"/>
              </w:rPr>
              <w:t xml:space="preserve">VS/EU afhankelijk van model / beperkte retentie</w:t>
            </w:r>
          </w:p>
        </w:tc>
        <w:tc>
          <w:tcPr>
            <w:tcW w:type="dxa" w:w="1872"/>
            <w:tcMar>
              <w:left w:type="dxa" w:w="80"/>
              <w:right w:type="dxa" w:w="80"/>
            </w:tcMar>
          </w:tcPr>
          <w:p>
            <w:pPr>
              <w:pStyle w:val="Compact"/>
            </w:pPr>
            <w:r>
              <w:rPr>
                <w:sz w:val="19"/>
                <w:szCs w:val="19"/>
                <w:lang w:val="nl-NL"/>
              </w:rPr>
              <w:t xml:space="preserve">Nee (OHADJA-zijde)</w:t>
            </w:r>
          </w:p>
        </w:tc>
      </w:tr>
      <w:tr>
        <w:trPr>
          <w:cantSplit/>
        </w:trPr>
        <w:tc>
          <w:tcPr>
            <w:tcW w:type="dxa" w:w="1872"/>
            <w:tcMar>
              <w:left w:type="dxa" w:w="80"/>
              <w:right w:type="dxa" w:w="80"/>
            </w:tcMar>
          </w:tcPr>
          <w:p>
            <w:pPr>
              <w:pStyle w:val="Compact"/>
            </w:pPr>
            <w:r>
              <w:rPr>
                <w:sz w:val="19"/>
                <w:szCs w:val="19"/>
                <w:lang w:val="nl-NL"/>
              </w:rPr>
              <w:t xml:space="preserve">Transactionele e-mail (indien ingeschakeld)</w:t>
            </w:r>
          </w:p>
        </w:tc>
        <w:tc>
          <w:tcPr>
            <w:tcW w:type="dxa" w:w="1872"/>
            <w:tcMar>
              <w:left w:type="dxa" w:w="80"/>
              <w:right w:type="dxa" w:w="80"/>
            </w:tcMar>
          </w:tcPr>
          <w:p>
            <w:pPr>
              <w:pStyle w:val="Compact"/>
            </w:pPr>
            <w:r>
              <w:rPr>
                <w:sz w:val="19"/>
                <w:szCs w:val="19"/>
                <w:lang w:val="nl-NL"/>
              </w:rPr>
              <w:t xml:space="preserve">[WORDEN BEVESTIGD]</w:t>
            </w:r>
          </w:p>
        </w:tc>
        <w:tc>
          <w:tcPr>
            <w:tcW w:type="dxa" w:w="1872"/>
            <w:tcMar>
              <w:left w:type="dxa" w:w="80"/>
              <w:right w:type="dxa" w:w="80"/>
            </w:tcMar>
          </w:tcPr>
          <w:p>
            <w:pPr>
              <w:pStyle w:val="Compact"/>
            </w:pPr>
            <w:r>
              <w:rPr>
                <w:sz w:val="19"/>
                <w:szCs w:val="19"/>
                <w:lang w:val="nl-NL"/>
              </w:rPr>
              <w:t xml:space="preserve">Service-e-mails</w:t>
            </w:r>
          </w:p>
        </w:tc>
        <w:tc>
          <w:tcPr>
            <w:tcW w:type="dxa" w:w="1872"/>
            <w:tcMar>
              <w:left w:type="dxa" w:w="80"/>
              <w:right w:type="dxa" w:w="80"/>
            </w:tcMar>
          </w:tcPr>
          <w:p>
            <w:pPr>
              <w:pStyle w:val="Compact"/>
            </w:pPr>
            <w:r>
              <w:rPr>
                <w:sz w:val="19"/>
                <w:szCs w:val="19"/>
                <w:lang w:val="nl-NL"/>
              </w:rPr>
              <w:t xml:space="preserve">[WORDEN BEVESTIGD]</w:t>
            </w:r>
          </w:p>
        </w:tc>
        <w:tc>
          <w:tcPr>
            <w:tcW w:type="dxa" w:w="1872"/>
            <w:tcMar>
              <w:left w:type="dxa" w:w="80"/>
              <w:right w:type="dxa" w:w="80"/>
            </w:tcMar>
          </w:tcPr>
          <w:p>
            <w:pPr>
              <w:pStyle w:val="Compact"/>
            </w:pPr>
            <w:r>
              <w:rPr>
                <w:sz w:val="19"/>
                <w:szCs w:val="19"/>
                <w:lang w:val="nl-NL"/>
              </w:rPr>
              <w:t xml:space="preserve">Nee</w:t>
            </w:r>
          </w:p>
        </w:tc>
      </w:tr>
    </w:tbl>
    <w:bookmarkEnd w:id="88"/>
    <w:bookmarkStart w:id="89" w:name="X08845a517ee1e7974c0c5d43964a3ce7be5e432"/>
    <w:p>
      <w:pPr>
        <w:pStyle w:val="Heading2"/>
        <w:keepNext/>
        <w:keepLines/>
      </w:pPr>
      <w:r>
        <w:rPr>
          <w:color w:val="000000"/>
          <w:lang w:val="nl-NL"/>
        </w:rPr>
        <w:t xml:space="preserve">4. Optie B — variaties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Variantoptie B</w:t>
            </w:r>
          </w:p>
        </w:tc>
        <w:tc>
          <w:tcPr/>
          <w:p>
            <w:pPr>
              <w:pStyle w:val="Compact"/>
            </w:pPr>
            <w:r>
              <w:rPr>
                <w:lang w:val="nl-NL"/>
              </w:rPr>
              <w:t xml:space="preserve">Subverwerkers</w:t>
            </w:r>
          </w:p>
        </w:tc>
      </w:tr>
      <w:tr>
        <w:trPr>
          <w:cantSplit/>
        </w:trPr>
        <w:tc>
          <w:tcPr/>
          <w:p>
            <w:pPr>
              <w:pStyle w:val="Compact"/>
            </w:pPr>
            <w:r>
              <w:rPr>
                <w:b/>
                <w:bCs/>
                <w:lang w:val="nl-NL"/>
              </w:rPr>
              <w:t xml:space="preserve">Geïsoleerd op locatie </w:t>
            </w:r>
            <w:r>
              <w:rPr>
                <w:lang w:val="nl-NL"/>
              </w:rPr>
              <w:t xml:space="preserve"/>
            </w:r>
            <w:r>
              <w:rPr>
                <w:lang w:val="nl-NL"/>
              </w:rPr>
              <w:t xml:space="preserve">(zero cloud)</w:t>
            </w:r>
          </w:p>
        </w:tc>
        <w:tc>
          <w:tcPr/>
          <w:p>
            <w:pPr>
              <w:pStyle w:val="Compact"/>
            </w:pPr>
            <w:r>
              <w:rPr>
                <w:b/>
                <w:bCs/>
                <w:lang w:val="nl-NL"/>
              </w:rPr>
              <w:t xml:space="preserve">Geen. </w:t>
            </w:r>
            <w:r>
              <w:rPr>
                <w:lang w:val="nl-NL"/>
              </w:rPr>
              <w:t xml:space="preserve"/>
            </w:r>
            <w:r>
              <w:rPr>
                <w:lang w:val="nl-NL"/>
              </w:rPr>
              <w:t xml:space="preserve">Applicatie, basis, transcriptie-GPU-werker en zelf-gehoste LLM draaien op de client. Geen uitgaand debiet vereist voor nominaal bedrijf</w:t>
            </w:r>
          </w:p>
        </w:tc>
      </w:tr>
      <w:tr>
        <w:trPr>
          <w:cantSplit/>
        </w:trPr>
        <w:tc>
          <w:tcPr/>
          <w:p>
            <w:pPr>
              <w:pStyle w:val="Compact"/>
            </w:pPr>
            <w:r>
              <w:rPr>
                <w:b/>
                <w:bCs/>
                <w:lang w:val="nl-NL"/>
              </w:rPr>
              <w:t xml:space="preserve">Op locatie met optionele cloud-AI</w:t>
            </w:r>
          </w:p>
        </w:tc>
        <w:tc>
          <w:tcPr/>
          <w:p>
            <w:pPr>
              <w:pStyle w:val="Compact"/>
            </w:pPr>
            <w:r>
              <w:rPr>
                <w:lang w:val="nl-NL"/>
              </w:rPr>
              <w:t xml:space="preserve">Beperkte lijst: uitsluitend de door de Klant geactiveerde AI-aanbieder(s) (OpenRouter en modelaanbieder), indien de Klant een cloud-LLM kiest in plaats van een zelfgehost model. Hosting, back-ups en transcriptie blijven intern.</w:t>
            </w:r>
          </w:p>
        </w:tc>
      </w:tr>
    </w:tbl>
    <w:bookmarkEnd w:id="89"/>
    <w:bookmarkStart w:id="90" w:name="X30e8a8b53a585b3c4babd4e4f4bf9ffca2de72e"/>
    <w:p>
      <w:pPr>
        <w:pStyle w:val="Heading2"/>
        <w:keepNext/>
        <w:keepLines/>
      </w:pPr>
      <w:r>
        <w:rPr>
          <w:color w:val="000000"/>
          <w:lang w:val="nl-NL"/>
        </w:rPr>
        <w:t xml:space="preserve">5. Lijst evolutieprocedure</w:t>
      </w:r>
    </w:p>
    <w:p>
      <w:pPr>
        <w:pStyle w:val="FirstParagraph"/>
      </w:pPr>
      <w:r>
        <w:rPr>
          <w:lang w:val="nl-NL"/>
        </w:rPr>
        <w:t xml:space="preserve">In overeenstemming met §6 van de DPA (art. 28.2 AVG):</w:t>
      </w:r>
    </w:p>
    <w:p>
      <w:pPr>
        <w:pStyle w:val="Compact"/>
        <w:numPr>
          <w:ilvl w:val="0"/>
          <w:numId w:val="1019"/>
        </w:numPr>
      </w:pPr>
      <w:r>
        <w:rPr>
          <w:lang w:val="nl-NL"/>
        </w:rPr>
        <w:t xml:space="preserve">OHADJA brengt de Klant minstens </w:t>
      </w:r>
      <w:r>
        <w:rPr>
          <w:lang w:val="nl-NL"/>
        </w:rPr>
        <w:t xml:space="preserve">dertig </w:t>
      </w:r>
      <w:r>
        <w:rPr>
          <w:b/>
          <w:bCs/>
          <w:lang w:val="nl-NL"/>
        </w:rPr>
        <w:t xml:space="preserve">(30) kalenderdagen </w:t>
      </w:r>
      <w:r>
        <w:rPr>
          <w:lang w:val="nl-NL"/>
        </w:rPr>
        <w:t xml:space="preserve"/>
      </w:r>
      <w:r>
        <w:rPr>
          <w:lang w:val="nl-NL"/>
        </w:rPr>
        <w:t xml:space="preserve">vóór de implementatie ervan op de hoogte </w:t>
      </w:r>
      <w:r>
        <w:rPr>
          <w:lang w:val="nl-NL"/>
        </w:rPr>
        <w:t xml:space="preserve"/>
      </w:r>
      <w:r>
        <w:rPr>
          <w:b/>
          <w:bCs/>
          <w:lang w:val="nl-NL"/>
        </w:rPr>
        <w:t xml:space="preserve">van elke toevoeging of vervanging </w:t>
      </w:r>
      <w:r>
        <w:rPr>
          <w:lang w:val="nl-NL"/>
        </w:rPr>
        <w:t xml:space="preserve"/>
      </w:r>
      <w:r>
        <w:rPr>
          <w:lang w:val="nl-NL"/>
        </w:rPr>
        <w:t xml:space="preserve">van subverwerker, op schriftelijke wijze waarbij het bewijs ervan bewaard kan blijven.</w:t>
      </w:r>
    </w:p>
    <w:p>
      <w:pPr>
        <w:pStyle w:val="Compact"/>
        <w:numPr>
          <w:ilvl w:val="0"/>
          <w:numId w:val="1019"/>
        </w:numPr>
      </w:pPr>
      <w:r>
        <w:rPr>
          <w:lang w:val="nl-NL"/>
        </w:rPr>
        <w:t xml:space="preserve">Binnen deze termijn van 30 </w:t>
      </w:r>
      <w:r>
        <w:rPr>
          <w:lang w:val="nl-NL"/>
        </w:rPr>
        <w:t xml:space="preserve"/>
      </w:r>
      <w:r>
        <w:rPr>
          <w:b/>
          <w:bCs/>
          <w:lang w:val="nl-NL"/>
        </w:rPr>
        <w:t xml:space="preserve">dagen kan de Klant schriftelijk, gemotiveerd </w:t>
      </w:r>
      <w:r>
        <w:rPr>
          <w:lang w:val="nl-NL"/>
        </w:rPr>
        <w:t xml:space="preserve"/>
      </w:r>
      <w:r>
        <w:rPr>
          <w:lang w:val="nl-NL"/>
        </w:rPr>
        <w:t xml:space="preserve">en redelijk bezwaar indienen.</w:t>
      </w:r>
    </w:p>
    <w:p>
      <w:pPr>
        <w:pStyle w:val="Compact"/>
        <w:numPr>
          <w:ilvl w:val="0"/>
          <w:numId w:val="1019"/>
        </w:numPr>
      </w:pPr>
      <w:r>
        <w:rPr>
          <w:lang w:val="nl-NL"/>
        </w:rPr>
        <w:t xml:space="preserve">In geval van bezwaar zullen de partijen te goeder trouw overleggen; bij gebreke van een oplossing kan de Klant het betreffende deel van de dienst beëindigen onder de voorwaarden van het hoofdcontract.</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90"/>
    <w:bookmarkEnd w:id="91"/>
    <w:bookmarkStart w:id="102" w:name="Xb435d4e7743c18b26c55236ab6aa53f804247e6"/>
    <w:p>
      <w:pPr>
        <w:pStyle w:val="Heading1"/>
        <w:keepNext/>
        <w:keepLines/>
      </w:pPr>
      <w:r>
        <w:rPr>
          <w:color w:val="000000"/>
          <w:lang w:val="nl-NL"/>
        </w:rPr>
        <w:t xml:space="preserve">Overdrachten en toegang buiten de EER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OHA-RGPD-04</w:t>
            </w:r>
          </w:p>
        </w:tc>
      </w:tr>
      <w:tr>
        <w:trPr>
          <w:cantSplit/>
        </w:trPr>
        <w:tc>
          <w:tcPr/>
          <w:p>
            <w:pPr>
              <w:pStyle w:val="Compact"/>
            </w:pPr>
            <w:r>
              <w:rPr>
                <w:lang w:val="nl-NL"/>
              </w:rPr>
              <w:t xml:space="preserve">Doel</w:t>
            </w:r>
          </w:p>
        </w:tc>
        <w:tc>
          <w:tcPr/>
          <w:p>
            <w:pPr>
              <w:pStyle w:val="Compact"/>
            </w:pPr>
            <w:r>
              <w:rPr>
                <w:lang w:val="nl-NL"/>
              </w:rPr>
              <w:t xml:space="preserve">Internationale overdrachten en toegang buiten de EER: entiteiten, gegevens, mechanismen, maatregelen</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92" w:name="Xa89a5fc162ec66b9f66741ff8b73c0ba0340e32"/>
    <w:p>
      <w:pPr>
        <w:pStyle w:val="Heading2"/>
        <w:keepNext/>
        <w:keepLines/>
      </w:pPr>
      <w:r>
        <w:rPr>
          <w:color w:val="000000"/>
          <w:lang w:val="nl-NL"/>
        </w:rPr>
        <w:t xml:space="preserve">1. Doel en transparantiebeginsel</w:t>
      </w:r>
    </w:p>
    <w:p>
      <w:pPr>
        <w:pStyle w:val="FirstParagraph"/>
      </w:pPr>
      <w:r>
        <w:rPr>
          <w:lang w:val="nl-NL"/>
        </w:rPr>
        <w:t xml:space="preserve">Dit document vermeldt, zonder verhulling, alle overdrachten van en toegang tot gegevens die waarschijnlijk de Europese Economische Ruimte (EER) zullen verlaten binnen het kader van TranscribIA, en geeft details over de wettelijke mechanismen en technische maatregelen die zijn geïmplementeerd om deze te reguleren onder Hoofdstuk V van AVG.</w:t>
      </w:r>
    </w:p>
    <w:p>
      <w:pPr>
        <w:pStyle w:val="BodyText"/>
      </w:pPr>
      <w:r>
        <w:rPr>
          <w:lang w:val="nl-NL"/>
        </w:rPr>
        <w:t xml:space="preserve">Methode: de hoofdopslag, back-ups (Scaleway, Frankrijk) en AI-inferentie in het primaire kanaal (vLLM-servers gecontroleerd in de EU, voornamelijk Straatsburg en Parijs) blijven in de </w:t>
      </w:r>
      <w:r>
        <w:rPr>
          <w:lang w:val="nl-NL"/>
        </w:rPr>
        <w:t xml:space="preserve">EU, </w:t>
      </w:r>
      <w:r>
        <w:rPr>
          <w:b/>
          <w:bCs/>
          <w:lang w:val="nl-NL"/>
        </w:rPr>
        <w:t xml:space="preserve">zonder enige overdracht. </w:t>
      </w:r>
      <w:r>
        <w:rPr>
          <w:lang w:val="nl-NL"/>
        </w:rPr>
        <w:t xml:space="preserve">“Buiten de EER”-situaties zijn daarom beperkt tot </w:t>
      </w:r>
      <w:r>
        <w:rPr>
          <w:lang w:val="nl-NL"/>
        </w:rPr>
        <w:t xml:space="preserve"/>
      </w:r>
      <w:r>
        <w:rPr>
          <w:b/>
          <w:bCs/>
          <w:lang w:val="nl-NL"/>
        </w:rPr>
        <w:t xml:space="preserve">technische stromen (machinetoegang) </w:t>
      </w:r>
      <w:r>
        <w:rPr>
          <w:lang w:val="nl-NL"/>
        </w:rPr>
        <w:t xml:space="preserve"/>
      </w:r>
      <w:r>
        <w:rPr>
          <w:lang w:val="nl-NL"/>
        </w:rPr>
        <w:t xml:space="preserve">in optie A:</w:t>
      </w:r>
    </w:p>
    <w:p>
      <w:pPr>
        <w:pStyle w:val="Compact"/>
        <w:numPr>
          <w:ilvl w:val="0"/>
          <w:numId w:val="1020"/>
        </w:numPr>
      </w:pPr>
      <w:r>
        <w:rPr>
          <w:lang w:val="nl-NL"/>
        </w:rPr>
        <w:t xml:space="preserve">de </w:t>
      </w:r>
      <w:r>
        <w:rPr>
          <w:lang w:val="nl-NL"/>
        </w:rPr>
        <w:t xml:space="preserve"/>
      </w:r>
      <w:r>
        <w:rPr>
          <w:b/>
          <w:bCs/>
          <w:lang w:val="nl-NL"/>
        </w:rPr>
        <w:t xml:space="preserve">AI-noodroute </w:t>
      </w:r>
      <w:r>
        <w:rPr>
          <w:lang w:val="nl-NL"/>
        </w:rPr>
        <w:t xml:space="preserve"/>
      </w:r>
      <w:r>
        <w:rPr>
          <w:lang w:val="nl-NL"/>
        </w:rPr>
        <w:t xml:space="preserve">(OpenRouter en Amerikaanse modelleveranciers), die alleen ingrijpt bij onbeschikbaarheid van de primaire route en door </w:t>
      </w:r>
      <w:r>
        <w:rPr>
          <w:lang w:val="nl-NL"/>
        </w:rPr>
        <w:t xml:space="preserve">organisatie </w:t>
      </w:r>
      <w:r>
        <w:rPr>
          <w:b/>
          <w:bCs/>
          <w:lang w:val="nl-NL"/>
        </w:rPr>
        <w:t xml:space="preserve">kan worden </w:t>
      </w:r>
      <w:r>
        <w:rPr>
          <w:lang w:val="nl-NL"/>
        </w:rPr>
        <w:t xml:space="preserve"/>
      </w:r>
      <w:r>
        <w:rPr>
          <w:lang w:val="nl-NL"/>
        </w:rPr>
        <w:t xml:space="preserve">gedeactiveerd;</w:t>
      </w:r>
    </w:p>
    <w:p>
      <w:pPr>
        <w:pStyle w:val="Compact"/>
        <w:numPr>
          <w:ilvl w:val="0"/>
          <w:numId w:val="1020"/>
        </w:numPr>
      </w:pPr>
      <w:r>
        <w:rPr>
          <w:lang w:val="nl-NL"/>
        </w:rPr>
        <w:t xml:space="preserve">Vast.ai </w:t>
      </w:r>
      <w:r>
        <w:rPr>
          <w:lang w:val="nl-NL"/>
        </w:rPr>
        <w:t xml:space="preserve"/>
      </w:r>
      <w:r>
        <w:rPr>
          <w:b/>
          <w:bCs/>
          <w:lang w:val="nl-NL"/>
        </w:rPr>
        <w:t xml:space="preserve">GPU-berekening </w:t>
      </w:r>
      <w:r>
        <w:rPr>
          <w:lang w:val="nl-NL"/>
        </w:rPr>
        <w:t xml:space="preserve"/>
      </w:r>
      <w:r>
        <w:rPr>
          <w:lang w:val="nl-NL"/>
        </w:rPr>
        <w:t xml:space="preserve">indien ingeschakeld (geselecteerde machines in de EU indien vereist).</w:t>
      </w:r>
    </w:p>
    <w:p>
      <w:pPr>
        <w:pStyle w:val="FirstParagraph"/>
      </w:pPr>
      <w:r>
        <w:rPr>
          <w:lang w:val="nl-NL"/>
        </w:rPr>
        <w:t xml:space="preserve">De </w:t>
      </w:r>
      <w:r>
        <w:rPr>
          <w:lang w:val="nl-NL"/>
        </w:rPr>
        <w:t xml:space="preserve"/>
      </w:r>
      <w:r>
        <w:rPr>
          <w:b/>
          <w:bCs/>
          <w:lang w:val="nl-NL"/>
        </w:rPr>
        <w:t xml:space="preserve">toegang tot de menselijke </w:t>
      </w:r>
      <w:r>
        <w:rPr>
          <w:lang w:val="nl-NL"/>
        </w:rPr>
        <w:t xml:space="preserve"/>
      </w:r>
      <w:r>
        <w:rPr>
          <w:lang w:val="nl-NL"/>
        </w:rPr>
        <w:t xml:space="preserve">administratie vindt op zijn beurt </w:t>
      </w:r>
      <w:r>
        <w:rPr>
          <w:lang w:val="nl-NL"/>
        </w:rPr>
        <w:t xml:space="preserve"/>
      </w:r>
      <w:r>
        <w:rPr>
          <w:b/>
          <w:bCs/>
          <w:lang w:val="nl-NL"/>
        </w:rPr>
        <w:t xml:space="preserve">uitsluitend plaats vanuit Frankrijk/de </w:t>
      </w:r>
      <w:r>
        <w:rPr>
          <w:lang w:val="nl-NL"/>
        </w:rPr>
        <w:t xml:space="preserve"/>
      </w:r>
      <w:r>
        <w:rPr>
          <w:lang w:val="nl-NL"/>
        </w:rPr>
        <w:t xml:space="preserve">EU (contractuele verbintenis – sectie 7): het betreft dus </w:t>
      </w:r>
      <w:r>
        <w:rPr>
          <w:lang w:val="nl-NL"/>
        </w:rPr>
        <w:t xml:space="preserve"/>
      </w:r>
      <w:r>
        <w:rPr>
          <w:b/>
          <w:bCs/>
          <w:lang w:val="nl-NL"/>
        </w:rPr>
        <w:t xml:space="preserve">geen </w:t>
      </w:r>
      <w:r>
        <w:rPr>
          <w:lang w:val="nl-NL"/>
        </w:rPr>
        <w:t xml:space="preserve"/>
      </w:r>
      <w:r>
        <w:rPr>
          <w:lang w:val="nl-NL"/>
        </w:rPr>
        <w:t xml:space="preserve">toegang vanuit een derde land.</w:t>
      </w:r>
    </w:p>
    <w:p>
      <w:pPr>
        <w:pStyle w:val="BodyText"/>
      </w:pPr>
      <w:r>
        <w:rPr>
          <w:lang w:val="nl-NL"/>
        </w:rPr>
        <w:t xml:space="preserve">Bij </w:t>
      </w:r>
      <w:r>
        <w:rPr>
          <w:lang w:val="nl-NL"/>
        </w:rPr>
        <w:t xml:space="preserve"/>
      </w:r>
      <w:r>
        <w:rPr>
          <w:b/>
          <w:bCs/>
          <w:lang w:val="nl-NL"/>
        </w:rPr>
        <w:t xml:space="preserve">geïsoleerde </w:t>
      </w:r>
      <w:r>
        <w:rPr>
          <w:lang w:val="nl-NL"/>
        </w:rPr>
        <w:t xml:space="preserve">optie B is er geen </w:t>
      </w:r>
      <w:r>
        <w:rPr>
          <w:lang w:val="nl-NL"/>
        </w:rPr>
        <w:t xml:space="preserve"/>
      </w:r>
      <w:r>
        <w:rPr>
          <w:b/>
          <w:bCs/>
          <w:lang w:val="nl-NL"/>
        </w:rPr>
        <w:t xml:space="preserve">overdracht of toegang buiten de </w:t>
      </w:r>
      <w:r>
        <w:rPr>
          <w:lang w:val="nl-NL"/>
        </w:rPr>
        <w:t xml:space="preserve"/>
      </w:r>
      <w:r>
        <w:rPr>
          <w:lang w:val="nl-NL"/>
        </w:rPr>
        <w:t xml:space="preserve">EER (sectie 9).</w:t>
      </w:r>
    </w:p>
    <w:bookmarkEnd w:id="92"/>
    <w:bookmarkStart w:id="93" w:name="X7f2e6a9bf6ee1c3ce5e3abb00a360282c16220d"/>
    <w:p>
      <w:pPr>
        <w:pStyle w:val="Heading2"/>
        <w:keepNext/>
        <w:keepLines/>
      </w:pPr>
      <w:r>
        <w:rPr>
          <w:color w:val="000000"/>
          <w:lang w:val="nl-NL"/>
        </w:rPr>
        <w:t xml:space="preserve">2. (a) Betrokken landen en entiteiten</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nl-NL"/>
              </w:rPr>
              <w:t xml:space="preserve">Entiteit</w:t>
            </w:r>
          </w:p>
        </w:tc>
        <w:tc>
          <w:tcPr>
            <w:tcW w:type="dxa" w:w="2340"/>
            <w:tcMar>
              <w:left w:type="dxa" w:w="80"/>
              <w:right w:type="dxa" w:w="80"/>
            </w:tcMar>
          </w:tcPr>
          <w:p>
            <w:pPr>
              <w:pStyle w:val="Compact"/>
            </w:pPr>
            <w:r>
              <w:rPr>
                <w:sz w:val="19"/>
                <w:szCs w:val="19"/>
                <w:lang w:val="nl-NL"/>
              </w:rPr>
              <w:t xml:space="preserve">Land</w:t>
            </w:r>
          </w:p>
        </w:tc>
        <w:tc>
          <w:tcPr>
            <w:tcW w:type="dxa" w:w="2340"/>
            <w:tcMar>
              <w:left w:type="dxa" w:w="80"/>
              <w:right w:type="dxa" w:w="80"/>
            </w:tcMar>
          </w:tcPr>
          <w:p>
            <w:pPr>
              <w:pStyle w:val="Compact"/>
            </w:pPr>
            <w:r>
              <w:rPr>
                <w:sz w:val="19"/>
                <w:szCs w:val="19"/>
                <w:lang w:val="nl-NL"/>
              </w:rPr>
              <w:t xml:space="preserve">Typ</w:t>
            </w:r>
          </w:p>
        </w:tc>
        <w:tc>
          <w:tcPr>
            <w:tcW w:type="dxa" w:w="2340"/>
            <w:tcMar>
              <w:left w:type="dxa" w:w="80"/>
              <w:right w:type="dxa" w:w="80"/>
            </w:tcMar>
          </w:tcPr>
          <w:p>
            <w:pPr>
              <w:pStyle w:val="Compact"/>
            </w:pPr>
            <w:r>
              <w:rPr>
                <w:sz w:val="19"/>
                <w:szCs w:val="19"/>
                <w:lang w:val="nl-NL"/>
              </w:rPr>
              <w:t xml:space="preserve">Locatie</w:t>
            </w:r>
          </w:p>
        </w:tc>
      </w:tr>
      <w:tr>
        <w:trPr>
          <w:cantSplit/>
        </w:trPr>
        <w:tc>
          <w:tcPr>
            <w:tcW w:type="dxa" w:w="2340"/>
            <w:tcMar>
              <w:left w:type="dxa" w:w="80"/>
              <w:right w:type="dxa" w:w="80"/>
            </w:tcMar>
          </w:tcPr>
          <w:p>
            <w:pPr>
              <w:pStyle w:val="Compact"/>
            </w:pPr>
            <w:r>
              <w:rPr>
                <w:i/>
                <w:iCs/>
                <w:sz w:val="19"/>
                <w:szCs w:val="19"/>
                <w:lang w:val="nl-NL"/>
              </w:rPr>
              <w:t xml:space="preserve">(Primaire AI-route: gecontroleerde vLLM-servers)</w:t>
            </w:r>
          </w:p>
        </w:tc>
        <w:tc>
          <w:tcPr>
            <w:tcW w:type="dxa" w:w="2340"/>
            <w:tcMar>
              <w:left w:type="dxa" w:w="80"/>
              <w:right w:type="dxa" w:w="80"/>
            </w:tcMar>
          </w:tcPr>
          <w:p>
            <w:pPr>
              <w:pStyle w:val="Compact"/>
            </w:pPr>
            <w:r>
              <w:rPr>
                <w:i/>
                <w:iCs/>
                <w:sz w:val="19"/>
                <w:szCs w:val="19"/>
                <w:lang w:val="nl-NL"/>
              </w:rPr>
              <w:t xml:space="preserve">EU — Straatsburg/Parijs</w:t>
            </w:r>
          </w:p>
        </w:tc>
        <w:tc>
          <w:tcPr>
            <w:tcW w:type="dxa" w:w="2340"/>
            <w:tcMar>
              <w:left w:type="dxa" w:w="80"/>
              <w:right w:type="dxa" w:w="80"/>
            </w:tcMar>
          </w:tcPr>
          <w:p>
            <w:pPr>
              <w:pStyle w:val="Compact"/>
            </w:pPr>
            <w:r>
              <w:rPr>
                <w:i/>
                <w:iCs/>
                <w:sz w:val="19"/>
                <w:szCs w:val="19"/>
                <w:lang w:val="nl-NL"/>
              </w:rPr>
              <w:t xml:space="preserve">EU-behandeling</w:t>
            </w:r>
          </w:p>
        </w:tc>
        <w:tc>
          <w:tcPr>
            <w:tcW w:type="dxa" w:w="2340"/>
            <w:tcMar>
              <w:left w:type="dxa" w:w="80"/>
              <w:right w:type="dxa" w:w="80"/>
            </w:tcMar>
          </w:tcPr>
          <w:p>
            <w:pPr>
              <w:pStyle w:val="Compact"/>
            </w:pPr>
            <w:r>
              <w:rPr>
                <w:i/>
                <w:iCs/>
                <w:sz w:val="19"/>
                <w:szCs w:val="19"/>
                <w:lang w:val="nl-NL"/>
              </w:rPr>
              <w:t xml:space="preserve">Geen overdracht buiten de EER (herinnering)</w:t>
            </w:r>
          </w:p>
        </w:tc>
      </w:tr>
      <w:tr>
        <w:trPr>
          <w:cantSplit/>
        </w:trPr>
        <w:tc>
          <w:tcPr>
            <w:tcW w:type="dxa" w:w="2340"/>
            <w:tcMar>
              <w:left w:type="dxa" w:w="80"/>
              <w:right w:type="dxa" w:w="80"/>
            </w:tcMar>
          </w:tcPr>
          <w:p>
            <w:pPr>
              <w:pStyle w:val="Compact"/>
            </w:pPr>
            <w:r>
              <w:rPr>
                <w:i/>
                <w:iCs/>
                <w:sz w:val="19"/>
                <w:szCs w:val="19"/>
                <w:lang w:val="nl-NL"/>
              </w:rPr>
              <w:t xml:space="preserve">(back-ups: Scaleway)</w:t>
            </w:r>
          </w:p>
        </w:tc>
        <w:tc>
          <w:tcPr>
            <w:tcW w:type="dxa" w:w="2340"/>
            <w:tcMar>
              <w:left w:type="dxa" w:w="80"/>
              <w:right w:type="dxa" w:w="80"/>
            </w:tcMar>
          </w:tcPr>
          <w:p>
            <w:pPr>
              <w:pStyle w:val="Compact"/>
            </w:pPr>
            <w:r>
              <w:rPr>
                <w:i/>
                <w:iCs/>
                <w:sz w:val="19"/>
                <w:szCs w:val="19"/>
                <w:lang w:val="nl-NL"/>
              </w:rPr>
              <w:t xml:space="preserve">Frankrijk (EU)</w:t>
            </w:r>
          </w:p>
        </w:tc>
        <w:tc>
          <w:tcPr>
            <w:tcW w:type="dxa" w:w="2340"/>
            <w:tcMar>
              <w:left w:type="dxa" w:w="80"/>
              <w:right w:type="dxa" w:w="80"/>
            </w:tcMar>
          </w:tcPr>
          <w:p>
            <w:pPr>
              <w:pStyle w:val="Compact"/>
            </w:pPr>
            <w:r>
              <w:rPr>
                <w:i/>
                <w:iCs/>
                <w:sz w:val="19"/>
                <w:szCs w:val="19"/>
                <w:lang w:val="nl-NL"/>
              </w:rPr>
              <w:t xml:space="preserve">EU-opslag</w:t>
            </w:r>
          </w:p>
        </w:tc>
        <w:tc>
          <w:tcPr>
            <w:tcW w:type="dxa" w:w="2340"/>
            <w:tcMar>
              <w:left w:type="dxa" w:w="80"/>
              <w:right w:type="dxa" w:w="80"/>
            </w:tcMar>
          </w:tcPr>
          <w:p>
            <w:pPr>
              <w:pStyle w:val="Compact"/>
            </w:pPr>
            <w:r>
              <w:rPr>
                <w:i/>
                <w:iCs/>
                <w:sz w:val="19"/>
                <w:szCs w:val="19"/>
                <w:lang w:val="nl-NL"/>
              </w:rPr>
              <w:t xml:space="preserve">Geen overdracht buiten de EER (herinnering)</w:t>
            </w:r>
          </w:p>
        </w:tc>
      </w:tr>
      <w:tr>
        <w:trPr>
          <w:cantSplit/>
        </w:trPr>
        <w:tc>
          <w:tcPr>
            <w:tcW w:type="dxa" w:w="2340"/>
            <w:tcMar>
              <w:left w:type="dxa" w:w="80"/>
              <w:right w:type="dxa" w:w="80"/>
            </w:tcMar>
          </w:tcPr>
          <w:p>
            <w:pPr>
              <w:pStyle w:val="Compact"/>
            </w:pPr>
            <w:r>
              <w:rPr>
                <w:sz w:val="19"/>
                <w:szCs w:val="19"/>
                <w:lang w:val="nl-NL"/>
              </w:rPr>
              <w:t xml:space="preserve">OpenRouter Inc.</w:t>
            </w:r>
          </w:p>
        </w:tc>
        <w:tc>
          <w:tcPr>
            <w:tcW w:type="dxa" w:w="2340"/>
            <w:tcMar>
              <w:left w:type="dxa" w:w="80"/>
              <w:right w:type="dxa" w:w="80"/>
            </w:tcMar>
          </w:tcPr>
          <w:p>
            <w:pPr>
              <w:pStyle w:val="Compact"/>
            </w:pPr>
            <w:r>
              <w:rPr>
                <w:sz w:val="19"/>
                <w:szCs w:val="19"/>
                <w:lang w:val="nl-NL"/>
              </w:rPr>
              <w:t xml:space="preserve">VS</w:t>
            </w:r>
          </w:p>
        </w:tc>
        <w:tc>
          <w:tcPr>
            <w:tcW w:type="dxa" w:w="2340"/>
            <w:tcMar>
              <w:left w:type="dxa" w:w="80"/>
              <w:right w:type="dxa" w:w="80"/>
            </w:tcMar>
          </w:tcPr>
          <w:p>
            <w:pPr>
              <w:pStyle w:val="Compact"/>
            </w:pPr>
            <w:r>
              <w:rPr>
                <w:sz w:val="19"/>
                <w:szCs w:val="19"/>
                <w:lang w:val="nl-NL"/>
              </w:rPr>
              <w:t xml:space="preserve">Technische stroom (machine)</w:t>
            </w:r>
          </w:p>
        </w:tc>
        <w:tc>
          <w:tcPr>
            <w:tcW w:type="dxa" w:w="2340"/>
            <w:tcMar>
              <w:left w:type="dxa" w:w="80"/>
              <w:right w:type="dxa" w:w="80"/>
            </w:tcMar>
          </w:tcPr>
          <w:p>
            <w:pPr>
              <w:pStyle w:val="Compact"/>
            </w:pPr>
            <w:r>
              <w:rPr>
                <w:sz w:val="19"/>
                <w:szCs w:val="19"/>
                <w:lang w:val="nl-NL"/>
              </w:rPr>
              <w:t xml:space="preserve">AI-gateway </w:t>
            </w:r>
            <w:r>
              <w:rPr>
                <w:sz w:val="19"/>
                <w:szCs w:val="19"/>
                <w:lang w:val="nl-NL"/>
              </w:rPr>
              <w:t xml:space="preserve">als </w:t>
            </w:r>
            <w:r>
              <w:rPr>
                <w:b/>
                <w:bCs/>
                <w:sz w:val="19"/>
                <w:szCs w:val="19"/>
                <w:lang w:val="nl-NL"/>
              </w:rPr>
              <w:t xml:space="preserve">back-up (failover), deactiveerbaar</w:t>
            </w:r>
          </w:p>
        </w:tc>
      </w:tr>
      <w:tr>
        <w:trPr>
          <w:cantSplit/>
        </w:trPr>
        <w:tc>
          <w:tcPr>
            <w:tcW w:type="dxa" w:w="2340"/>
            <w:tcMar>
              <w:left w:type="dxa" w:w="80"/>
              <w:right w:type="dxa" w:w="80"/>
            </w:tcMar>
          </w:tcPr>
          <w:p>
            <w:pPr>
              <w:pStyle w:val="Compact"/>
            </w:pPr>
            <w:r>
              <w:rPr>
                <w:sz w:val="19"/>
                <w:szCs w:val="19"/>
                <w:lang w:val="nl-NL"/>
              </w:rPr>
              <w:t xml:space="preserve">Anthropic</w:t>
            </w:r>
          </w:p>
        </w:tc>
        <w:tc>
          <w:tcPr>
            <w:tcW w:type="dxa" w:w="2340"/>
            <w:tcMar>
              <w:left w:type="dxa" w:w="80"/>
              <w:right w:type="dxa" w:w="80"/>
            </w:tcMar>
          </w:tcPr>
          <w:p>
            <w:pPr>
              <w:pStyle w:val="Compact"/>
            </w:pPr>
            <w:r>
              <w:rPr>
                <w:sz w:val="19"/>
                <w:szCs w:val="19"/>
                <w:lang w:val="nl-NL"/>
              </w:rPr>
              <w:t xml:space="preserve">VS</w:t>
            </w:r>
          </w:p>
        </w:tc>
        <w:tc>
          <w:tcPr>
            <w:tcW w:type="dxa" w:w="2340"/>
            <w:tcMar>
              <w:left w:type="dxa" w:w="80"/>
              <w:right w:type="dxa" w:w="80"/>
            </w:tcMar>
          </w:tcPr>
          <w:p>
            <w:pPr>
              <w:pStyle w:val="Compact"/>
            </w:pPr>
            <w:r>
              <w:rPr>
                <w:sz w:val="19"/>
                <w:szCs w:val="19"/>
                <w:lang w:val="nl-NL"/>
              </w:rPr>
              <w:t xml:space="preserve">Technische stroom (machine)</w:t>
            </w:r>
          </w:p>
        </w:tc>
        <w:tc>
          <w:tcPr>
            <w:tcW w:type="dxa" w:w="2340"/>
            <w:tcMar>
              <w:left w:type="dxa" w:w="80"/>
              <w:right w:type="dxa" w:w="80"/>
            </w:tcMar>
          </w:tcPr>
          <w:p>
            <w:pPr>
              <w:pStyle w:val="Compact"/>
            </w:pPr>
            <w:r>
              <w:rPr>
                <w:sz w:val="19"/>
                <w:szCs w:val="19"/>
                <w:lang w:val="nl-NL"/>
              </w:rPr>
              <w:t xml:space="preserve">Modelprovider via OpenRouter – </w:t>
            </w:r>
            <w:r>
              <w:rPr>
                <w:sz w:val="19"/>
                <w:szCs w:val="19"/>
                <w:lang w:val="nl-NL"/>
              </w:rPr>
              <w:t xml:space="preserve"/>
            </w:r>
            <w:r>
              <w:rPr>
                <w:b/>
                <w:bCs/>
                <w:sz w:val="19"/>
                <w:szCs w:val="19"/>
                <w:lang w:val="nl-NL"/>
              </w:rPr>
              <w:t xml:space="preserve">alleen fallback</w:t>
            </w:r>
          </w:p>
        </w:tc>
      </w:tr>
      <w:tr>
        <w:trPr>
          <w:cantSplit/>
        </w:trPr>
        <w:tc>
          <w:tcPr>
            <w:tcW w:type="dxa" w:w="2340"/>
            <w:tcMar>
              <w:left w:type="dxa" w:w="80"/>
              <w:right w:type="dxa" w:w="80"/>
            </w:tcMar>
          </w:tcPr>
          <w:p>
            <w:pPr>
              <w:pStyle w:val="Compact"/>
            </w:pPr>
            <w:r>
              <w:rPr>
                <w:sz w:val="19"/>
                <w:szCs w:val="19"/>
                <w:lang w:val="nl-NL"/>
              </w:rPr>
              <w:t xml:space="preserve">OpenAI</w:t>
            </w:r>
          </w:p>
        </w:tc>
        <w:tc>
          <w:tcPr>
            <w:tcW w:type="dxa" w:w="2340"/>
            <w:tcMar>
              <w:left w:type="dxa" w:w="80"/>
              <w:right w:type="dxa" w:w="80"/>
            </w:tcMar>
          </w:tcPr>
          <w:p>
            <w:pPr>
              <w:pStyle w:val="Compact"/>
            </w:pPr>
            <w:r>
              <w:rPr>
                <w:sz w:val="19"/>
                <w:szCs w:val="19"/>
                <w:lang w:val="nl-NL"/>
              </w:rPr>
              <w:t xml:space="preserve">VS</w:t>
            </w:r>
          </w:p>
        </w:tc>
        <w:tc>
          <w:tcPr>
            <w:tcW w:type="dxa" w:w="2340"/>
            <w:tcMar>
              <w:left w:type="dxa" w:w="80"/>
              <w:right w:type="dxa" w:w="80"/>
            </w:tcMar>
          </w:tcPr>
          <w:p>
            <w:pPr>
              <w:pStyle w:val="Compact"/>
            </w:pPr>
            <w:r>
              <w:rPr>
                <w:sz w:val="19"/>
                <w:szCs w:val="19"/>
                <w:lang w:val="nl-NL"/>
              </w:rPr>
              <w:t xml:space="preserve">Technische stroom (machine)</w:t>
            </w:r>
          </w:p>
        </w:tc>
        <w:tc>
          <w:tcPr>
            <w:tcW w:type="dxa" w:w="2340"/>
            <w:tcMar>
              <w:left w:type="dxa" w:w="80"/>
              <w:right w:type="dxa" w:w="80"/>
            </w:tcMar>
          </w:tcPr>
          <w:p>
            <w:pPr>
              <w:pStyle w:val="Compact"/>
            </w:pPr>
            <w:r>
              <w:rPr>
                <w:sz w:val="19"/>
                <w:szCs w:val="19"/>
                <w:lang w:val="nl-NL"/>
              </w:rPr>
              <w:t xml:space="preserve">Modelprovider via OpenRouter – </w:t>
            </w:r>
            <w:r>
              <w:rPr>
                <w:sz w:val="19"/>
                <w:szCs w:val="19"/>
                <w:lang w:val="nl-NL"/>
              </w:rPr>
              <w:t xml:space="preserve"/>
            </w:r>
            <w:r>
              <w:rPr>
                <w:b/>
                <w:bCs/>
                <w:sz w:val="19"/>
                <w:szCs w:val="19"/>
                <w:lang w:val="nl-NL"/>
              </w:rPr>
              <w:t xml:space="preserve">alleen fallback</w:t>
            </w:r>
          </w:p>
        </w:tc>
      </w:tr>
      <w:tr>
        <w:trPr>
          <w:cantSplit/>
        </w:trPr>
        <w:tc>
          <w:tcPr>
            <w:tcW w:type="dxa" w:w="2340"/>
            <w:tcMar>
              <w:left w:type="dxa" w:w="80"/>
              <w:right w:type="dxa" w:w="80"/>
            </w:tcMar>
          </w:tcPr>
          <w:p>
            <w:pPr>
              <w:pStyle w:val="Compact"/>
            </w:pPr>
            <w:r>
              <w:rPr>
                <w:sz w:val="19"/>
                <w:szCs w:val="19"/>
                <w:lang w:val="nl-NL"/>
              </w:rPr>
              <w:t xml:space="preserve">Vast.ai</w:t>
            </w:r>
          </w:p>
        </w:tc>
        <w:tc>
          <w:tcPr>
            <w:tcW w:type="dxa" w:w="2340"/>
            <w:tcMar>
              <w:left w:type="dxa" w:w="80"/>
              <w:right w:type="dxa" w:w="80"/>
            </w:tcMar>
          </w:tcPr>
          <w:p>
            <w:pPr>
              <w:pStyle w:val="Compact"/>
            </w:pPr>
            <w:r>
              <w:rPr>
                <w:sz w:val="19"/>
                <w:szCs w:val="19"/>
                <w:lang w:val="nl-NL"/>
              </w:rPr>
              <w:t xml:space="preserve">VS (marktplaats)</w:t>
            </w:r>
          </w:p>
        </w:tc>
        <w:tc>
          <w:tcPr>
            <w:tcW w:type="dxa" w:w="2340"/>
            <w:tcMar>
              <w:left w:type="dxa" w:w="80"/>
              <w:right w:type="dxa" w:w="80"/>
            </w:tcMar>
          </w:tcPr>
          <w:p>
            <w:pPr>
              <w:pStyle w:val="Compact"/>
            </w:pPr>
            <w:r>
              <w:rPr>
                <w:sz w:val="19"/>
                <w:szCs w:val="19"/>
                <w:lang w:val="nl-NL"/>
              </w:rPr>
              <w:t xml:space="preserve">Technische stroom (machine)</w:t>
            </w:r>
          </w:p>
        </w:tc>
        <w:tc>
          <w:tcPr>
            <w:tcW w:type="dxa" w:w="2340"/>
            <w:tcMar>
              <w:left w:type="dxa" w:w="80"/>
              <w:right w:type="dxa" w:w="80"/>
            </w:tcMar>
          </w:tcPr>
          <w:p>
            <w:pPr>
              <w:pStyle w:val="Compact"/>
            </w:pPr>
            <w:r>
              <w:rPr>
                <w:sz w:val="19"/>
                <w:szCs w:val="19"/>
                <w:lang w:val="nl-NL"/>
              </w:rPr>
              <w:t xml:space="preserve">GPU-computing indien ingeschakeld: geselecteerde machines in de EU indien nodig</w:t>
            </w:r>
          </w:p>
        </w:tc>
      </w:tr>
    </w:tbl>
    <w:p>
      <w:pPr>
        <w:pStyle w:val="BlockText"/>
      </w:pPr>
      <w:r>
        <w:rPr>
          <w:lang w:val="nl-NL"/>
        </w:rPr>
        <w:t xml:space="preserve">Er is geen </w:t>
      </w:r>
      <w:r>
        <w:rPr>
          <w:lang w:val="nl-NL"/>
        </w:rPr>
        <w:t xml:space="preserve"/>
      </w:r>
      <w:r>
        <w:rPr>
          <w:b/>
          <w:bCs/>
          <w:lang w:val="nl-NL"/>
        </w:rPr>
        <w:t xml:space="preserve">menselijke toegang vanuit een derde land: </w:t>
      </w:r>
      <w:r>
        <w:rPr>
          <w:lang w:val="nl-NL"/>
        </w:rPr>
        <w:t xml:space="preserve"/>
      </w:r>
      <w:r>
        <w:rPr>
          <w:lang w:val="nl-NL"/>
        </w:rPr>
        <w:t xml:space="preserve">administratie en ondersteuning vallen onder de verantwoordelijkheid van OHADJA (gevestigd in Parijs) en worden uitsluitend uitgevoerd vanuit Frankrijk/de EU (sectie 7).</w:t>
      </w:r>
    </w:p>
    <w:bookmarkEnd w:id="93"/>
    <w:bookmarkStart w:id="94" w:name="X8a6ffe354f3a635abaebe378335f031f94ddf4f"/>
    <w:p>
      <w:pPr>
        <w:pStyle w:val="Heading2"/>
        <w:keepNext/>
        <w:keepLines/>
      </w:pPr>
      <w:r>
        <w:rPr>
          <w:color w:val="000000"/>
          <w:lang w:val="nl-NL"/>
        </w:rPr>
        <w:t xml:space="preserve">3. (b) Categorieën gegevens toegankelijk per entiteit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Entiteit</w:t>
            </w:r>
          </w:p>
        </w:tc>
        <w:tc>
          <w:tcPr/>
          <w:p>
            <w:pPr>
              <w:pStyle w:val="Compact"/>
            </w:pPr>
            <w:r>
              <w:rPr>
                <w:lang w:val="nl-NL"/>
              </w:rPr>
              <w:t xml:space="preserve">Betrokken categorieën gegevens</w:t>
            </w:r>
          </w:p>
        </w:tc>
      </w:tr>
      <w:tr>
        <w:trPr>
          <w:cantSplit/>
        </w:trPr>
        <w:tc>
          <w:tcPr/>
          <w:p>
            <w:pPr>
              <w:pStyle w:val="Compact"/>
            </w:pPr>
            <w:r>
              <w:rPr>
                <w:lang w:val="nl-NL"/>
              </w:rPr>
              <w:t xml:space="preserve">OpenRouter / Anthropic / OpenAI </w:t>
            </w:r>
            <w:r>
              <w:rPr>
                <w:b/>
                <w:bCs/>
                <w:lang w:val="nl-NL"/>
              </w:rPr>
              <w:t xml:space="preserve">(alleen </w:t>
            </w:r>
            <w:r>
              <w:rPr>
                <w:lang w:val="nl-NL"/>
              </w:rPr>
              <w:t xml:space="preserve">back-uproute)</w:t>
            </w:r>
          </w:p>
        </w:tc>
        <w:tc>
          <w:tcPr/>
          <w:p>
            <w:pPr>
              <w:pStyle w:val="Compact"/>
            </w:pPr>
            <w:r>
              <w:rPr>
                <w:lang w:val="nl-NL"/>
              </w:rPr>
              <w:t xml:space="preserve">Prompts = door de gebruiker geselecteerde bronnen (fragmenten uit transcripties, documenten, metadata), geminimaliseerd; gegenereerde uitgangen — alleen in geval van overschakeling naar noodtoestand</w:t>
            </w:r>
          </w:p>
        </w:tc>
      </w:tr>
      <w:tr>
        <w:trPr>
          <w:cantSplit/>
        </w:trPr>
        <w:tc>
          <w:tcPr/>
          <w:p>
            <w:pPr>
              <w:pStyle w:val="Compact"/>
            </w:pPr>
            <w:r>
              <w:rPr>
                <w:lang w:val="nl-NL"/>
              </w:rPr>
              <w:t xml:space="preserve">Vast.ai</w:t>
            </w:r>
          </w:p>
        </w:tc>
        <w:tc>
          <w:tcPr/>
          <w:p>
            <w:pPr>
              <w:pStyle w:val="Compact"/>
            </w:pPr>
            <w:r>
              <w:rPr>
                <w:lang w:val="nl-NL"/>
              </w:rPr>
              <w:t xml:space="preserve">Audio-/transcriptiesegmenten worden verwerkt (tijdens de taak) en vervolgens verwijderd</w:t>
            </w:r>
          </w:p>
        </w:tc>
      </w:tr>
    </w:tbl>
    <w:bookmarkEnd w:id="94"/>
    <w:bookmarkStart w:id="95" w:name="Xc88f5c870e9d040feecdae04696d5e79abdfa5b"/>
    <w:p>
      <w:pPr>
        <w:pStyle w:val="Heading2"/>
        <w:keepNext/>
        <w:keepLines/>
      </w:pPr>
      <w:r>
        <w:rPr>
          <w:color w:val="000000"/>
          <w:lang w:val="nl-NL"/>
        </w:rPr>
        <w:t xml:space="preserve">4. (c) Juridische mechanismen behouden</w:t>
      </w:r>
    </w:p>
    <w:p>
      <w:pPr>
        <w:pStyle w:val="Compact"/>
        <w:numPr>
          <w:ilvl w:val="0"/>
          <w:numId w:val="1021"/>
        </w:numPr>
      </w:pPr>
      <w:r>
        <w:rPr>
          <w:b/>
          <w:bCs/>
          <w:lang w:val="nl-NL"/>
        </w:rPr>
        <w:t xml:space="preserve">Standaardcontractbepalingen (CCT / SCC) </w:t>
      </w:r>
      <w:r>
        <w:rPr>
          <w:lang w:val="nl-NL"/>
        </w:rPr>
        <w:t xml:space="preserve"/>
      </w:r>
      <w:r>
        <w:rPr>
          <w:lang w:val="nl-NL"/>
        </w:rPr>
        <w:t xml:space="preserve">van leveranciers (modules van toepassing op rapport verwerker → subverwerker, module 3, of verantwoordelijk → verwerker afhankelijk van de configuratie).</w:t>
      </w:r>
    </w:p>
    <w:p>
      <w:pPr>
        <w:pStyle w:val="Compact"/>
        <w:numPr>
          <w:ilvl w:val="0"/>
          <w:numId w:val="1021"/>
        </w:numPr>
      </w:pPr>
      <w:r>
        <w:rPr>
          <w:b/>
          <w:bCs/>
          <w:lang w:val="nl-NL"/>
        </w:rPr>
        <w:t xml:space="preserve">EU-VS Data Privacy Framework </w:t>
      </w:r>
      <w:r>
        <w:rPr>
          <w:lang w:val="nl-NL"/>
        </w:rPr>
        <w:t xml:space="preserve"/>
      </w:r>
      <w:r>
        <w:rPr>
          <w:lang w:val="nl-NL"/>
        </w:rPr>
        <w:t xml:space="preserve">(DPF) </w:t>
      </w:r>
      <w:r>
        <w:rPr>
          <w:lang w:val="nl-NL"/>
        </w:rPr>
        <w:t xml:space="preserve"/>
      </w:r>
      <w:r>
        <w:rPr>
          <w:b/>
          <w:bCs/>
          <w:lang w:val="nl-NL"/>
        </w:rPr>
        <w:t xml:space="preserve">wanneer de leverancier is gecertificeerd </w:t>
      </w:r>
      <w:r>
        <w:rPr>
          <w:lang w:val="nl-NL"/>
        </w:rPr>
        <w:t xml:space="preserve">- </w:t>
      </w:r>
      <w:r>
        <w:rPr>
          <w:lang w:val="nl-NL"/>
        </w:rPr>
        <w:t xml:space="preserve"/>
      </w:r>
      <w:r>
        <w:rPr>
          <w:lang w:val="nl-NL"/>
        </w:rPr>
        <w:t xml:space="preserve"/>
      </w:r>
      <w:r>
        <w:rPr>
          <w:b/>
          <w:bCs/>
          <w:lang w:val="nl-NL"/>
        </w:rPr>
        <w:t xml:space="preserve">[WORDT VERIFIEERD door de </w:t>
      </w:r>
      <w:r>
        <w:rPr>
          <w:lang w:val="nl-NL"/>
        </w:rPr>
        <w:t xml:space="preserve">leverancier]: </w:t>
      </w:r>
      <w:r>
        <w:rPr>
          <w:lang w:val="nl-NL"/>
        </w:rPr>
        <w:t xml:space="preserve">De DPF-certificering van OpenRouter, Anthropic en OpenAI moet per leverancier worden geverifieerd voordat er op kan worden vertrouwd. Ga niet uit van een niet-geverifieerde certificering.</w:t>
      </w:r>
    </w:p>
    <w:p>
      <w:pPr>
        <w:pStyle w:val="Compact"/>
        <w:numPr>
          <w:ilvl w:val="0"/>
          <w:numId w:val="1021"/>
        </w:numPr>
      </w:pPr>
      <w:r>
        <w:rPr>
          <w:b/>
          <w:bCs/>
          <w:lang w:val="nl-NL"/>
        </w:rPr>
        <w:t xml:space="preserve">Aanvullende maatregelen </w:t>
      </w:r>
      <w:r>
        <w:rPr>
          <w:lang w:val="nl-NL"/>
        </w:rPr>
        <w:t xml:space="preserve"/>
      </w:r>
      <w:r>
        <w:rPr>
          <w:lang w:val="nl-NL"/>
        </w:rPr>
        <w:t xml:space="preserve">(zie paragraaf 5), overeenkomstig de aanbevelingen van het EDPB over maatregelen ter aanvulling van doorgifte-instrumenten.</w:t>
      </w:r>
    </w:p>
    <w:bookmarkEnd w:id="95"/>
    <w:bookmarkStart w:id="96" w:name="X0746e0ea3ea47c6136a496f999aa64ff85f02fe"/>
    <w:p>
      <w:pPr>
        <w:pStyle w:val="Heading2"/>
        <w:keepNext/>
        <w:keepLines/>
      </w:pPr>
      <w:r>
        <w:rPr>
          <w:color w:val="000000"/>
          <w:lang w:val="nl-NL"/>
        </w:rPr>
        <w:t xml:space="preserve">5. (e) Aanvullende maatregelen geïmplementeerd</w:t>
      </w:r>
    </w:p>
    <w:p>
      <w:pPr>
        <w:pStyle w:val="Compact"/>
        <w:numPr>
          <w:ilvl w:val="0"/>
          <w:numId w:val="1022"/>
        </w:numPr>
      </w:pPr>
      <w:r>
        <w:rPr>
          <w:b/>
          <w:bCs/>
          <w:lang w:val="nl-NL"/>
        </w:rPr>
        <w:t xml:space="preserve">Versleuteling tijdens de </w:t>
      </w:r>
      <w:r>
        <w:rPr>
          <w:lang w:val="nl-NL"/>
        </w:rPr>
        <w:t xml:space="preserve"/>
      </w:r>
      <w:r>
        <w:rPr>
          <w:lang w:val="nl-NL"/>
        </w:rPr>
        <w:t xml:space="preserve">overdracht: TLS 1.2+ voor alle applicatie- en API-stromen.</w:t>
      </w:r>
    </w:p>
    <w:p>
      <w:pPr>
        <w:pStyle w:val="Compact"/>
        <w:numPr>
          <w:ilvl w:val="0"/>
          <w:numId w:val="1022"/>
        </w:numPr>
      </w:pPr>
      <w:r>
        <w:rPr>
          <w:b/>
          <w:bCs/>
          <w:lang w:val="nl-NL"/>
        </w:rPr>
        <w:t xml:space="preserve">Versleuteling van back-ups: </w:t>
      </w:r>
      <w:r>
        <w:rPr>
          <w:lang w:val="nl-NL"/>
        </w:rPr>
        <w:t xml:space="preserve"/>
      </w:r>
      <w:r>
        <w:rPr>
          <w:lang w:val="nl-NL"/>
        </w:rPr>
        <w:t xml:space="preserve">versleuteling </w:t>
      </w:r>
      <w:r>
        <w:rPr>
          <w:lang w:val="nl-NL"/>
        </w:rPr>
        <w:t xml:space="preserve">met </w:t>
      </w:r>
      <w:r>
        <w:rPr>
          <w:b/>
          <w:bCs/>
          <w:lang w:val="nl-NL"/>
        </w:rPr>
        <w:t xml:space="preserve"/>
      </w:r>
      <w:r>
        <w:rPr>
          <w:lang w:val="nl-NL"/>
        </w:rPr>
        <w:t xml:space="preserve">age </w:t>
      </w:r>
      <w:r>
        <w:rPr>
          <w:lang w:val="nl-NL"/>
        </w:rPr>
        <w:t xml:space="preserve">(X25519 + ChaCha20-Poly1305) </w:t>
      </w:r>
      <w:r>
        <w:rPr>
          <w:lang w:val="nl-NL"/>
        </w:rPr>
        <w:t xml:space="preserve"/>
      </w:r>
      <w:r>
        <w:rPr>
          <w:b/>
          <w:bCs/>
          <w:lang w:val="nl-NL"/>
        </w:rPr>
        <w:t xml:space="preserve">vóór </w:t>
      </w:r>
      <w:r>
        <w:rPr>
          <w:lang w:val="nl-NL"/>
        </w:rPr>
        <w:t xml:space="preserve"/>
      </w:r>
      <w:r>
        <w:rPr>
          <w:lang w:val="nl-NL"/>
        </w:rPr>
        <w:t xml:space="preserve">externe opslag; sleutels worden door OHADJA in de EU bewaard. </w:t>
      </w:r>
      <w:r>
        <w:rPr>
          <w:lang w:val="nl-NL"/>
        </w:rPr>
        <w:t xml:space="preserve"/>
      </w:r>
      <w:r>
        <w:rPr>
          <w:b/>
          <w:bCs/>
          <w:lang w:val="nl-NL"/>
        </w:rPr>
        <w:t xml:space="preserve">De </w:t>
      </w:r>
      <w:r>
        <w:rPr>
          <w:lang w:val="nl-NL"/>
        </w:rPr>
        <w:t xml:space="preserve">opslagaanbieder (Scaleway, Frankrijk) beschikt uitsluitend over onleesbare gegevensblokken.</w:t>
      </w:r>
    </w:p>
    <w:p>
      <w:pPr>
        <w:pStyle w:val="Compact"/>
        <w:numPr>
          <w:ilvl w:val="0"/>
          <w:numId w:val="1022"/>
        </w:numPr>
      </w:pPr>
      <w:r>
        <w:rPr>
          <w:b/>
          <w:bCs/>
          <w:lang w:val="nl-NL"/>
        </w:rPr>
        <w:t xml:space="preserve">Minimalisering van prompts: </w:t>
      </w:r>
      <w:r>
        <w:rPr>
          <w:lang w:val="nl-NL"/>
        </w:rPr>
        <w:t xml:space="preserve"/>
      </w:r>
      <w:r>
        <w:rPr>
          <w:lang w:val="nl-NL"/>
        </w:rPr>
        <w:t xml:space="preserve">alleen door de gebruiker geselecteerde bronnen worden naar de modellen verzonden; vermindering van volume en inhoud.</w:t>
      </w:r>
    </w:p>
    <w:p>
      <w:pPr>
        <w:pStyle w:val="Compact"/>
        <w:numPr>
          <w:ilvl w:val="0"/>
          <w:numId w:val="1022"/>
        </w:numPr>
      </w:pPr>
      <w:r>
        <w:rPr>
          <w:b/>
          <w:bCs/>
          <w:lang w:val="nl-NL"/>
        </w:rPr>
        <w:t xml:space="preserve">no-train: </w:t>
      </w:r>
      <w:r>
        <w:rPr>
          <w:lang w:val="nl-NL"/>
        </w:rPr>
        <w:t xml:space="preserve"/>
      </w:r>
      <w:r>
        <w:rPr>
          <w:lang w:val="nl-NL"/>
        </w:rPr>
        <w:t xml:space="preserve">niet-trainingsverplichting (OpenRouter-vlag 'no-train', toezeggingen leverancier DPA) - gegevens worden niet gebruikt om modellen te trainen.</w:t>
      </w:r>
    </w:p>
    <w:p>
      <w:pPr>
        <w:pStyle w:val="Compact"/>
        <w:numPr>
          <w:ilvl w:val="0"/>
          <w:numId w:val="1022"/>
        </w:numPr>
      </w:pPr>
      <w:r>
        <w:rPr>
          <w:b/>
          <w:bCs/>
          <w:lang w:val="nl-NL"/>
        </w:rPr>
        <w:t xml:space="preserve">Geen duurzame opslag aan de kant van </w:t>
      </w:r>
      <w:r>
        <w:rPr>
          <w:lang w:val="nl-NL"/>
        </w:rPr>
        <w:t xml:space="preserve"/>
      </w:r>
      <w:r>
        <w:rPr>
          <w:lang w:val="nl-NL"/>
        </w:rPr>
        <w:t xml:space="preserve">de AI-aanbieder: aanwijzingen worden niet vastgehouden door modelaanbieders.</w:t>
      </w:r>
    </w:p>
    <w:p>
      <w:pPr>
        <w:pStyle w:val="Compact"/>
        <w:numPr>
          <w:ilvl w:val="0"/>
          <w:numId w:val="1022"/>
        </w:numPr>
      </w:pPr>
      <w:r>
        <w:rPr>
          <w:b/>
          <w:bCs/>
          <w:lang w:val="nl-NL"/>
        </w:rPr>
        <w:t xml:space="preserve">Gedeeltelijke pseudonimisering: </w:t>
      </w:r>
      <w:r>
        <w:rPr>
          <w:lang w:val="nl-NL"/>
        </w:rPr>
        <w:t xml:space="preserve"/>
      </w:r>
      <w:r>
        <w:rPr>
          <w:lang w:val="nl-NL"/>
        </w:rPr>
        <w:t xml:space="preserve">indien mogelijk, vermindering van directe identificatiegegevens in verzonden inhoud.</w:t>
      </w:r>
    </w:p>
    <w:bookmarkEnd w:id="96"/>
    <w:bookmarkStart w:id="97" w:name="X6339bad733b4d8019ab28156a753cf759c0b8d9"/>
    <w:p>
      <w:pPr>
        <w:pStyle w:val="Heading2"/>
        <w:keepNext/>
        <w:keepLines/>
      </w:pPr>
      <w:r>
        <w:rPr>
          <w:color w:val="000000"/>
          <w:lang w:val="nl-NL"/>
        </w:rPr>
        <w:t xml:space="preserve">6. (d) Status van overdrachtsimpactanalyses (AITD/TIA)</w:t>
      </w:r>
    </w:p>
    <w:p>
      <w:pPr>
        <w:pStyle w:val="FirstParagraph"/>
      </w:pPr>
      <w:r>
        <w:rPr>
          <w:lang w:val="nl-NL"/>
        </w:rPr>
        <w:t xml:space="preserve">De </w:t>
      </w:r>
      <w:r>
        <w:rPr>
          <w:lang w:val="nl-NL"/>
        </w:rPr>
        <w:t xml:space="preserve"/>
      </w:r>
      <w:r>
        <w:rPr>
          <w:b/>
          <w:bCs/>
          <w:lang w:val="nl-NL"/>
        </w:rPr>
        <w:t xml:space="preserve">doorgifte-effectbeoordelingen (TIA’s) voor terugval- en GPU-aanbieders moeten </w:t>
      </w:r>
      <w:r>
        <w:rPr>
          <w:lang w:val="nl-NL"/>
        </w:rPr>
        <w:t xml:space="preserve"/>
      </w:r>
      <w:r>
        <w:rPr>
          <w:lang w:val="nl-NL"/>
        </w:rPr>
        <w:t xml:space="preserve">nog worden afgerond en gevalideerd vóór elke doorgifte </w:t>
      </w:r>
      <w:r>
        <w:rPr>
          <w:lang w:val="nl-NL"/>
        </w:rPr>
        <w:t xml:space="preserve"/>
      </w:r>
      <w:r>
        <w:rPr>
          <w:b/>
          <w:bCs/>
          <w:lang w:val="nl-NL"/>
        </w:rPr>
        <w:t xml:space="preserve">waarvoor deze beoordeling </w:t>
      </w:r>
      <w:r>
        <w:rPr>
          <w:lang w:val="nl-NL"/>
        </w:rPr>
        <w:t xml:space="preserve"/>
      </w:r>
      <w:r>
        <w:rPr>
          <w:lang w:val="nl-NL"/>
        </w:rPr>
        <w:t xml:space="preserve">vereist is. Op 2026-07-24 waren zij niet afgerond [AAN TE VULLEN: </w:t>
      </w:r>
      <w:r>
        <w:rPr>
          <w:lang w:val="nl-NL"/>
        </w:rPr>
        <w:t xml:space="preserve"/>
      </w:r>
      <w:r>
        <w:rPr>
          <w:b/>
          <w:bCs/>
          <w:lang w:val="nl-NL"/>
        </w:rPr>
        <w:t xml:space="preserve">beoordeling per gegevensstroom, </w:t>
      </w:r>
      <w:r>
        <w:rPr>
          <w:lang w:val="nl-NL"/>
        </w:rPr>
        <w:t xml:space="preserve">aanbieder, land en mechanisme]. Geen doorgifte mag worden </w:t>
      </w:r>
      <w:r>
        <w:rPr>
          <w:lang w:val="nl-NL"/>
        </w:rPr>
        <w:t xml:space="preserve"/>
      </w:r>
      <w:r>
        <w:rPr>
          <w:b/>
          <w:bCs/>
          <w:lang w:val="nl-NL"/>
        </w:rPr>
        <w:t xml:space="preserve">gestart of voortgezet </w:t>
      </w:r>
      <w:r>
        <w:rPr>
          <w:lang w:val="nl-NL"/>
        </w:rPr>
        <w:t xml:space="preserve"/>
      </w:r>
      <w:r>
        <w:rPr>
          <w:lang w:val="nl-NL"/>
        </w:rPr>
        <w:t xml:space="preserve">zonder geldig mechanisme en daadwerkelijk geverifieerde waarborgen; anders moet de betrokken route uitgeschakeld blijven. Na validatie is op verzoek een samenvatting beschikbaar.</w:t>
      </w:r>
    </w:p>
    <w:p>
      <w:pPr>
        <w:pStyle w:val="BodyText"/>
      </w:pPr>
      <w:r>
        <w:rPr>
          <w:lang w:val="nl-NL"/>
        </w:rPr>
        <w:t xml:space="preserve">Deze formalisering omvat voor elke leverancier: het in kaart brengen van de stroom, de wetgeving van het derde land (in het bijzonder de toegang van de autoriteiten), de evaluatie van de effectiviteit van de aanvullende maatregelen en de conclusie over de toelaatbaarheid van de overdracht. De reikwijdte van deze analyses wordt beperkt doordat de noodroute kan worden gedeactiveerd (“strikt EU”-profiel).</w:t>
      </w:r>
    </w:p>
    <w:bookmarkEnd w:id="97"/>
    <w:bookmarkStart w:id="98" w:name="X56f4867122fc146617b334329af1bcb476100bf"/>
    <w:p>
      <w:pPr>
        <w:pStyle w:val="Heading2"/>
        <w:keepNext/>
        <w:keepLines/>
      </w:pPr>
      <w:r>
        <w:rPr>
          <w:color w:val="000000"/>
          <w:lang w:val="nl-NL"/>
        </w:rPr>
        <w:t xml:space="preserve">7. (f) Menselijke beheerstoegang — toezegging Frankrijk / EU operationeel te verifiëren</w:t>
      </w:r>
    </w:p>
    <w:p>
      <w:pPr>
        <w:pStyle w:val="FirstParagraph"/>
      </w:pPr>
      <w:r>
        <w:rPr>
          <w:b/>
          <w:bCs/>
          <w:lang w:val="nl-NL"/>
        </w:rPr>
        <w:t xml:space="preserve">Contractuele verplichting. </w:t>
      </w:r>
      <w:r>
        <w:rPr>
          <w:lang w:val="nl-NL"/>
        </w:rPr>
        <w:t xml:space="preserve"/>
      </w:r>
      <w:r>
        <w:rPr>
          <w:lang w:val="nl-NL"/>
        </w:rPr>
        <w:t xml:space="preserve">De uitgever en verwerker </w:t>
      </w:r>
      <w:r>
        <w:rPr>
          <w:lang w:val="nl-NL"/>
        </w:rPr>
        <w:t xml:space="preserve">OHADJA </w:t>
      </w:r>
      <w:r>
        <w:rPr>
          <w:b/>
          <w:bCs/>
          <w:lang w:val="nl-NL"/>
        </w:rPr>
        <w:t xml:space="preserve">is gevestigd in Parijs (Frankrijk). </w:t>
      </w:r>
      <w:r>
        <w:rPr>
          <w:lang w:val="nl-NL"/>
        </w:rPr>
        <w:t xml:space="preserve">Het beheer, de ondersteuning en de beveiliging van de dienst worden </w:t>
      </w:r>
      <w:r>
        <w:rPr>
          <w:lang w:val="nl-NL"/>
        </w:rPr>
        <w:t xml:space="preserve">uitsluitend </w:t>
      </w:r>
      <w:r>
        <w:rPr>
          <w:b/>
          <w:bCs/>
          <w:lang w:val="nl-NL"/>
        </w:rPr>
        <w:t xml:space="preserve">vanuit Frankrijk/de Europese Unie uitgevoerd. Deze </w:t>
      </w:r>
      <w:r>
        <w:rPr>
          <w:lang w:val="nl-NL"/>
        </w:rPr>
        <w:t xml:space="preserve">contractuele verplichting zorgt ervoor dat </w:t>
      </w:r>
      <w:r>
        <w:rPr>
          <w:b/>
          <w:bCs/>
          <w:lang w:val="nl-NL"/>
        </w:rPr>
        <w:t xml:space="preserve">er geen menselijke toegang tot productiegegevens vanuit een derde land </w:t>
      </w:r>
      <w:r>
        <w:rPr>
          <w:lang w:val="nl-NL"/>
        </w:rPr>
        <w:t xml:space="preserve">plaatsvindt.</w:t>
      </w:r>
    </w:p>
    <w:p>
      <w:pPr>
        <w:pStyle w:val="BodyText"/>
      </w:pPr>
      <w:r>
        <w:rPr>
          <w:b/>
          <w:bCs/>
          <w:lang w:val="nl-NL"/>
        </w:rPr>
        <w:t xml:space="preserve">Transparantie over de band met Monaco. AMBASSADIA </w:t>
      </w:r>
      <w:r>
        <w:rPr>
          <w:lang w:val="nl-NL"/>
        </w:rPr>
        <w:t xml:space="preserve"/>
      </w:r>
      <w:r>
        <w:rPr>
          <w:lang w:val="nl-NL"/>
        </w:rPr>
        <w:t xml:space="preserve">SARL wordt beschreven als commerciële wederverkoper/distributeur zonder toegang tot productiegegevens. De toezegging over beheer en </w:t>
      </w:r>
      <w:r>
        <w:rPr>
          <w:lang w:val="nl-NL"/>
        </w:rPr>
        <w:t xml:space="preserve"/>
      </w:r>
      <w:r>
        <w:rPr>
          <w:b/>
          <w:bCs/>
          <w:lang w:val="nl-NL"/>
        </w:rPr>
        <w:t xml:space="preserve">ondersteuning vanuit </w:t>
      </w:r>
      <w:r>
        <w:rPr>
          <w:lang w:val="nl-NL"/>
        </w:rPr>
        <w:t xml:space="preserve">Frankrijk/de EU moet worden </w:t>
      </w:r>
      <w:r>
        <w:rPr>
          <w:lang w:val="nl-NL"/>
        </w:rPr>
        <w:t xml:space="preserve"/>
      </w:r>
      <w:r>
        <w:rPr>
          <w:b/>
          <w:bCs/>
          <w:lang w:val="nl-NL"/>
        </w:rPr>
        <w:t xml:space="preserve">bevestigd aan de hand van bevoegde </w:t>
      </w:r>
      <w:r>
        <w:rPr>
          <w:lang w:val="nl-NL"/>
        </w:rPr>
        <w:t xml:space="preserve"/>
      </w:r>
      <w:r>
        <w:rPr>
          <w:lang w:val="nl-NL"/>
        </w:rPr>
        <w:t xml:space="preserve"/>
      </w:r>
      <w:r>
        <w:rPr>
          <w:lang w:val="nl-NL"/>
        </w:rPr>
        <w:t xml:space="preserve"/>
      </w:r>
      <w:r>
        <w:rPr>
          <w:b/>
          <w:bCs/>
          <w:lang w:val="nl-NL"/>
        </w:rPr>
        <w:t xml:space="preserve">personen, hun feitelijke toegangslocaties en operationele controles. </w:t>
      </w:r>
      <w:r>
        <w:rPr>
          <w:lang w:val="nl-NL"/>
        </w:rPr>
        <w:t xml:space="preserve"/>
      </w:r>
      <w:r>
        <w:rPr>
          <w:lang w:val="nl-NL"/>
        </w:rPr>
        <w:t xml:space="preserve">Een contractuele verklaring bewijst op zichzelf niet dat toegang vanuit Monaco of een ander derde land ontbreekt. </w:t>
      </w:r>
      <w:r>
        <w:rPr>
          <w:lang w:val="nl-NL"/>
        </w:rPr>
        <w:t xml:space="preserve">Elke </w:t>
      </w:r>
      <w:r>
        <w:rPr>
          <w:b/>
          <w:bCs/>
          <w:lang w:val="nl-NL"/>
        </w:rPr>
        <w:t xml:space="preserve">toegang buiten de </w:t>
      </w:r>
      <w:r>
        <w:rPr>
          <w:lang w:val="nl-NL"/>
        </w:rPr>
        <w:t xml:space="preserve"/>
      </w:r>
      <w:r>
        <w:rPr>
          <w:lang w:val="nl-NL"/>
        </w:rPr>
        <w:t xml:space="preserve">toegestane reikwijdte vereist vóór invoering een nieuwe beoordeling van rollen, risico’s en, indien van toepassing, hoofdstuk V.</w:t>
      </w:r>
    </w:p>
    <w:p>
      <w:pPr>
        <w:pStyle w:val="BodyText"/>
      </w:pPr>
      <w:r>
        <w:rPr>
          <w:b/>
          <w:bCs/>
          <w:lang w:val="nl-NL"/>
        </w:rPr>
        <w:t xml:space="preserve">Technisch toezicht op de toegang (Frankrijk/EU). </w:t>
      </w:r>
      <w:r>
        <w:rPr>
          <w:lang w:val="nl-NL"/>
        </w:rPr>
        <w:t xml:space="preserve"/>
      </w:r>
      <w:r>
        <w:rPr>
          <w:lang w:val="nl-NL"/>
        </w:rPr>
        <w:t xml:space="preserve">Persoonlijke toegang, SSH-sleutel, 2FA TOTP, TLS, </w:t>
      </w:r>
      <w:r>
        <w:rPr>
          <w:lang w:val="nl-NL"/>
        </w:rPr>
        <w:t xml:space="preserve"/>
      </w:r>
      <w:r>
        <w:rPr>
          <w:b/>
          <w:bCs/>
          <w:lang w:val="nl-NL"/>
        </w:rPr>
        <w:t xml:space="preserve">logging, geen lokale </w:t>
      </w:r>
      <w:r>
        <w:rPr>
          <w:lang w:val="nl-NL"/>
        </w:rPr>
        <w:t xml:space="preserve"/>
      </w:r>
      <w:r>
        <w:rPr>
          <w:lang w:val="nl-NL"/>
        </w:rPr>
        <w:t xml:space="preserve">kopie van productiegegevens.</w:t>
      </w:r>
    </w:p>
    <w:bookmarkEnd w:id="98"/>
    <w:bookmarkStart w:id="99" w:name="X034bb2e08dbf4a36e99bf05805e087826fb2045"/>
    <w:p>
      <w:pPr>
        <w:pStyle w:val="Heading2"/>
        <w:keepNext/>
        <w:keepLines/>
      </w:pPr>
      <w:r>
        <w:rPr>
          <w:color w:val="000000"/>
          <w:lang w:val="nl-NL"/>
        </w:rPr>
        <w:t xml:space="preserve">8. (g) Het “EU strikt” profiel kan worden geactiveerd</w:t>
      </w:r>
    </w:p>
    <w:p>
      <w:pPr>
        <w:pStyle w:val="FirstParagraph"/>
      </w:pPr>
      <w:r>
        <w:rPr>
          <w:lang w:val="nl-NL"/>
        </w:rPr>
        <w:t xml:space="preserve">De </w:t>
      </w:r>
      <w:r>
        <w:rPr>
          <w:lang w:val="nl-NL"/>
        </w:rPr>
        <w:t xml:space="preserve"/>
      </w:r>
      <w:r>
        <w:rPr>
          <w:b/>
          <w:bCs/>
          <w:lang w:val="nl-NL"/>
        </w:rPr>
        <w:t xml:space="preserve">primaire inferentieroute bevindt zich al </w:t>
      </w:r>
      <w:r>
        <w:rPr>
          <w:lang w:val="nl-NL"/>
        </w:rPr>
        <w:t xml:space="preserve">in </w:t>
      </w:r>
      <w:r>
        <w:rPr>
          <w:lang w:val="nl-NL"/>
        </w:rPr>
        <w:t xml:space="preserve">de EU (vLLM-servers gecontroleerd in Straatsburg/Parijs). TranscribIA biedt bovendien </w:t>
      </w:r>
      <w:r>
        <w:rPr>
          <w:lang w:val="nl-NL"/>
        </w:rPr>
        <w:t xml:space="preserve"/>
      </w:r>
      <w:r>
        <w:rPr>
          <w:b/>
          <w:bCs/>
          <w:lang w:val="nl-NL"/>
        </w:rPr>
        <w:t xml:space="preserve">per organisatie </w:t>
      </w:r>
      <w:r>
        <w:rPr>
          <w:lang w:val="nl-NL"/>
        </w:rPr>
        <w:t xml:space="preserve"/>
      </w:r>
      <w:r>
        <w:rPr>
          <w:lang w:val="nl-NL"/>
        </w:rPr>
        <w:t xml:space="preserve">(sinds versie 1.7.0) een “strikt EU”-profiel </w:t>
      </w:r>
      <w:r>
        <w:rPr>
          <w:lang w:val="nl-NL"/>
        </w:rPr>
        <w:t xml:space="preserve"/>
      </w:r>
      <w:r>
        <w:rPr>
          <w:b/>
          <w:bCs/>
          <w:lang w:val="nl-NL"/>
        </w:rPr>
        <w:t xml:space="preserve">dat de </w:t>
      </w:r>
      <w:r>
        <w:rPr>
          <w:lang w:val="nl-NL"/>
        </w:rPr>
        <w:t xml:space="preserve"/>
      </w:r>
      <w:r>
        <w:rPr>
          <w:lang w:val="nl-NL"/>
        </w:rPr>
        <w:t xml:space="preserve">OpenRouter </w:t>
      </w:r>
      <w:r>
        <w:rPr>
          <w:lang w:val="nl-NL"/>
        </w:rPr>
        <w:t xml:space="preserve"/>
      </w:r>
      <w:r>
        <w:rPr>
          <w:b/>
          <w:bCs/>
          <w:lang w:val="nl-NL"/>
        </w:rPr>
        <w:t xml:space="preserve">fallback-route deactiveert en een GPU </w:t>
      </w:r>
      <w:r>
        <w:rPr>
          <w:lang w:val="nl-NL"/>
        </w:rPr>
        <w:t xml:space="preserve">in </w:t>
      </w:r>
      <w:r>
        <w:rPr>
          <w:lang w:val="nl-NL"/>
        </w:rPr>
        <w:t xml:space="preserve">de EU oplegt </w:t>
      </w:r>
      <w:r>
        <w:rPr>
          <w:lang w:val="nl-NL"/>
        </w:rPr>
        <w:t xml:space="preserve"/>
      </w:r>
      <w:r>
        <w:rPr>
          <w:b/>
          <w:bCs/>
          <w:lang w:val="nl-NL"/>
        </w:rPr>
        <w:t xml:space="preserve">(indien </w:t>
      </w:r>
      <w:r>
        <w:rPr>
          <w:lang w:val="nl-NL"/>
        </w:rPr>
        <w:t xml:space="preserve">van </w:t>
      </w:r>
      <w:r>
        <w:rPr>
          <w:lang w:val="nl-NL"/>
        </w:rPr>
        <w:t xml:space="preserve">toepassing een zelf-gehoste LLM). Dit profiel </w:t>
      </w:r>
      <w:r>
        <w:rPr>
          <w:lang w:val="nl-NL"/>
        </w:rPr>
        <w:t xml:space="preserve"/>
      </w:r>
      <w:r>
        <w:rPr>
          <w:b/>
          <w:bCs/>
          <w:lang w:val="nl-NL"/>
        </w:rPr>
        <w:t xml:space="preserve">elimineert elke technische overdracht naar de Verenigde </w:t>
      </w:r>
      <w:r>
        <w:rPr>
          <w:lang w:val="nl-NL"/>
        </w:rPr>
        <w:t xml:space="preserve">Staten </w:t>
      </w:r>
      <w:r>
        <w:rPr>
          <w:lang w:val="nl-NL"/>
        </w:rPr>
        <w:t xml:space="preserve">(OpenRouter fallback/Amerikaanse leveranciers en Vast.ai US). Het kan voor de klantorganisatie mogelijk worden gemaakt om een ​​volledig EU AI-keten te garanderen, met behoud van Optie A (SaaS).</w:t>
      </w:r>
    </w:p>
    <w:bookmarkEnd w:id="99"/>
    <w:bookmarkStart w:id="100" w:name="Xde4efbcb23f51c6c03ba9662cf7bc2a20306427"/>
    <w:p>
      <w:pPr>
        <w:pStyle w:val="Heading2"/>
        <w:keepNext/>
        <w:keepLines/>
      </w:pPr>
      <w:r>
        <w:rPr>
          <w:color w:val="000000"/>
          <w:lang w:val="nl-NL"/>
        </w:rPr>
        <w:t xml:space="preserve">9. h) Geïsoleerde optie B — geen overdracht</w:t>
      </w:r>
    </w:p>
    <w:p>
      <w:pPr>
        <w:pStyle w:val="FirstParagraph"/>
      </w:pPr>
      <w:r>
        <w:rPr>
          <w:lang w:val="nl-NL"/>
        </w:rPr>
        <w:t xml:space="preserve">Bij </w:t>
      </w:r>
      <w:r>
        <w:rPr>
          <w:lang w:val="nl-NL"/>
        </w:rPr>
        <w:t xml:space="preserve"/>
      </w:r>
      <w:r>
        <w:rPr>
          <w:b/>
          <w:bCs/>
          <w:lang w:val="nl-NL"/>
        </w:rPr>
        <w:t xml:space="preserve">geïsoleerde </w:t>
      </w:r>
      <w:r>
        <w:rPr>
          <w:lang w:val="nl-NL"/>
        </w:rPr>
        <w:t xml:space="preserve">Optie </w:t>
      </w:r>
      <w:r>
        <w:rPr>
          <w:lang w:val="nl-NL"/>
        </w:rPr>
        <w:t xml:space="preserve">B (implementatie op locatie zonder </w:t>
      </w:r>
      <w:r>
        <w:rPr>
          <w:lang w:val="nl-NL"/>
        </w:rPr>
        <w:t xml:space="preserve"/>
      </w:r>
      <w:r>
        <w:rPr>
          <w:b/>
          <w:bCs/>
          <w:lang w:val="nl-NL"/>
        </w:rPr>
        <w:t xml:space="preserve">cloud) vindt er geen overdracht of </w:t>
      </w:r>
      <w:r>
        <w:rPr>
          <w:lang w:val="nl-NL"/>
        </w:rPr>
        <w:t xml:space="preserve"/>
      </w:r>
      <w:r>
        <w:rPr>
          <w:lang w:val="nl-NL"/>
        </w:rPr>
        <w:t xml:space="preserve">toegang buiten de EER plaats: de applicatie, de database, de transcriptie-GPU-werker en het zelf-gehoste taalmodel draaien volledig in de infrastructuur van de Klant. Het is deze modus die de verklaring “geen gegevens in de cloud” mogelijk maakt. De enige mogelijke externe toegang zou een onderhoudstoegang van OHADJA zijn, uitdrukkelijk geautoriseerd en geactiveerd door de Klant – onder voorbehoud van de toegangsverplichting uitsluitend vanuit Frankrijk / de EU.</w:t>
      </w:r>
    </w:p>
    <w:bookmarkEnd w:id="100"/>
    <w:bookmarkStart w:id="101" w:name="X6bfe4dd000e396369869c62fc9491b9e3c11286"/>
    <w:p>
      <w:pPr>
        <w:pStyle w:val="Heading2"/>
        <w:keepNext/>
        <w:keepLines/>
      </w:pPr>
      <w:r>
        <w:rPr>
          <w:color w:val="000000"/>
          <w:lang w:val="nl-NL"/>
        </w:rPr>
        <w:t xml:space="preserve">10. Samenvatting</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Locatie</w:t>
            </w:r>
          </w:p>
        </w:tc>
        <w:tc>
          <w:tcPr/>
          <w:p>
            <w:pPr>
              <w:pStyle w:val="Compact"/>
            </w:pPr>
            <w:r>
              <w:rPr>
                <w:lang w:val="nl-NL"/>
              </w:rPr>
              <w:t xml:space="preserve">Mechanisme</w:t>
            </w:r>
          </w:p>
        </w:tc>
        <w:tc>
          <w:tcPr/>
          <w:p>
            <w:pPr>
              <w:pStyle w:val="Compact"/>
            </w:pPr>
            <w:r>
              <w:rPr>
                <w:lang w:val="nl-NL"/>
              </w:rPr>
              <w:t xml:space="preserve">Status</w:t>
            </w:r>
          </w:p>
        </w:tc>
      </w:tr>
      <w:tr>
        <w:trPr>
          <w:cantSplit/>
        </w:trPr>
        <w:tc>
          <w:tcPr/>
          <w:p>
            <w:pPr>
              <w:pStyle w:val="Compact"/>
            </w:pPr>
            <w:r>
              <w:rPr>
                <w:lang w:val="nl-NL"/>
              </w:rPr>
              <w:t xml:space="preserve">AI-inferentie </w:t>
            </w:r>
            <w:r>
              <w:rPr>
                <w:lang w:val="nl-NL"/>
              </w:rPr>
              <w:t xml:space="preserve">— </w:t>
            </w:r>
            <w:r>
              <w:rPr>
                <w:b/>
                <w:bCs/>
                <w:lang w:val="nl-NL"/>
              </w:rPr>
              <w:t xml:space="preserve">primaire route (EU vLLM)</w:t>
            </w:r>
          </w:p>
        </w:tc>
        <w:tc>
          <w:tcPr/>
          <w:p>
            <w:pPr>
              <w:pStyle w:val="Compact"/>
            </w:pPr>
            <w:r>
              <w:rPr>
                <w:lang w:val="nl-NL"/>
              </w:rPr>
              <w:t xml:space="preserve">Servers gecontroleerd in de EU (Straatsburg / Parijs)</w:t>
            </w:r>
          </w:p>
        </w:tc>
        <w:tc>
          <w:tcPr/>
          <w:p>
            <w:pPr>
              <w:pStyle w:val="Compact"/>
            </w:pPr>
            <w:r>
              <w:rPr>
                <w:b/>
                <w:bCs/>
                <w:lang w:val="nl-NL"/>
              </w:rPr>
              <w:t xml:space="preserve">Geen overdracht buiten de EER</w:t>
            </w:r>
          </w:p>
        </w:tc>
      </w:tr>
      <w:tr>
        <w:trPr>
          <w:cantSplit/>
        </w:trPr>
        <w:tc>
          <w:tcPr/>
          <w:p>
            <w:pPr>
              <w:pStyle w:val="Compact"/>
            </w:pPr>
            <w:r>
              <w:rPr>
                <w:lang w:val="nl-NL"/>
              </w:rPr>
              <w:t xml:space="preserve">Back-ups (Scaleway, Frankrijk)</w:t>
            </w:r>
          </w:p>
        </w:tc>
        <w:tc>
          <w:tcPr/>
          <w:p>
            <w:pPr>
              <w:pStyle w:val="Compact"/>
            </w:pPr>
            <w:r>
              <w:rPr>
                <w:lang w:val="nl-NL"/>
              </w:rPr>
              <w:t xml:space="preserve">EU-opslag + versleuteling met age vóór verzending</w:t>
            </w:r>
          </w:p>
        </w:tc>
        <w:tc>
          <w:tcPr/>
          <w:p>
            <w:pPr>
              <w:pStyle w:val="Compact"/>
            </w:pPr>
            <w:r>
              <w:rPr>
                <w:b/>
                <w:bCs/>
                <w:lang w:val="nl-NL"/>
              </w:rPr>
              <w:t xml:space="preserve">Geen overdracht buiten de EER</w:t>
            </w:r>
          </w:p>
        </w:tc>
      </w:tr>
      <w:tr>
        <w:trPr>
          <w:cantSplit/>
        </w:trPr>
        <w:tc>
          <w:tcPr/>
          <w:p>
            <w:pPr>
              <w:pStyle w:val="Compact"/>
            </w:pPr>
            <w:r>
              <w:rPr>
                <w:lang w:val="nl-NL"/>
              </w:rPr>
              <w:t xml:space="preserve">Amerikaanse </w:t>
            </w:r>
            <w:r>
              <w:rPr>
                <w:lang w:val="nl-NL"/>
              </w:rPr>
              <w:t xml:space="preserve"/>
            </w:r>
            <w:r>
              <w:rPr>
                <w:b/>
                <w:bCs/>
                <w:lang w:val="nl-NL"/>
              </w:rPr>
              <w:t xml:space="preserve">AI-stroom — OpenRouter fallback (kan worden uitgeschakeld)</w:t>
            </w:r>
          </w:p>
        </w:tc>
        <w:tc>
          <w:tcPr/>
          <w:p>
            <w:pPr>
              <w:pStyle w:val="Compact"/>
            </w:pPr>
            <w:r>
              <w:rPr>
                <w:lang w:val="nl-NL"/>
              </w:rPr>
              <w:t xml:space="preserve">CCT + DPF [TO CHECK] + aanvullende maatregelen</w:t>
            </w:r>
          </w:p>
        </w:tc>
        <w:tc>
          <w:tcPr/>
          <w:p>
            <w:pPr>
              <w:pStyle w:val="Compact"/>
            </w:pPr>
            <w:r>
              <w:rPr>
                <w:lang w:val="nl-NL"/>
              </w:rPr>
              <w:t xml:space="preserve">Afhankelijk van voorafgaande </w:t>
            </w:r>
            <w:r>
              <w:rPr>
                <w:lang w:val="nl-NL"/>
              </w:rPr>
              <w:t xml:space="preserve"/>
            </w:r>
            <w:r>
              <w:rPr>
                <w:b/>
                <w:bCs/>
                <w:lang w:val="nl-NL"/>
              </w:rPr>
              <w:t xml:space="preserve">validatie van </w:t>
            </w:r>
            <w:r>
              <w:rPr>
                <w:lang w:val="nl-NL"/>
              </w:rPr>
              <w:t xml:space="preserve"/>
            </w:r>
            <w:r>
              <w:rPr>
                <w:lang w:val="nl-NL"/>
              </w:rPr>
              <w:t xml:space="preserve">mechanisme en waarborgen; betrokken route uitschakelen zolang validatie ontbreekt; te vermijden met een geverifieerd strikt-EU-profiel</w:t>
            </w:r>
          </w:p>
        </w:tc>
      </w:tr>
      <w:tr>
        <w:trPr>
          <w:cantSplit/>
        </w:trPr>
        <w:tc>
          <w:tcPr/>
          <w:p>
            <w:pPr>
              <w:pStyle w:val="Compact"/>
            </w:pPr>
            <w:r>
              <w:rPr>
                <w:lang w:val="nl-NL"/>
              </w:rPr>
              <w:t xml:space="preserve">Vast.ai US (indien ingeschakeld)</w:t>
            </w:r>
          </w:p>
        </w:tc>
        <w:tc>
          <w:tcPr/>
          <w:p>
            <w:pPr>
              <w:pStyle w:val="Compact"/>
            </w:pPr>
            <w:r>
              <w:rPr>
                <w:lang w:val="nl-NL"/>
              </w:rPr>
              <w:t xml:space="preserve">EU-selectie indien nodig; CCT anders</w:t>
            </w:r>
          </w:p>
        </w:tc>
        <w:tc>
          <w:tcPr/>
          <w:p>
            <w:pPr>
              <w:pStyle w:val="Compact"/>
            </w:pPr>
            <w:r>
              <w:rPr>
                <w:lang w:val="nl-NL"/>
              </w:rPr>
              <w:t xml:space="preserve">Onder waarborgen; te vermijden met een toegewezen GPU in de EU</w:t>
            </w:r>
          </w:p>
        </w:tc>
      </w:tr>
      <w:tr>
        <w:trPr>
          <w:cantSplit/>
        </w:trPr>
        <w:tc>
          <w:tcPr/>
          <w:p>
            <w:pPr>
              <w:pStyle w:val="Compact"/>
            </w:pPr>
            <w:r>
              <w:rPr>
                <w:lang w:val="nl-NL"/>
              </w:rPr>
              <w:t xml:space="preserve">Toegang tot menselijke administratie</w:t>
            </w:r>
          </w:p>
        </w:tc>
        <w:tc>
          <w:tcPr/>
          <w:p>
            <w:pPr>
              <w:pStyle w:val="Compact"/>
            </w:pPr>
            <w:r>
              <w:rPr>
                <w:b/>
                <w:bCs/>
                <w:lang w:val="nl-NL"/>
              </w:rPr>
              <w:t xml:space="preserve">Alleen verbintenis Frankrijk/EU</w:t>
            </w:r>
          </w:p>
        </w:tc>
        <w:tc>
          <w:tcPr/>
          <w:p>
            <w:pPr>
              <w:pStyle w:val="Compact"/>
            </w:pPr>
            <w:r>
              <w:rPr>
                <w:lang w:val="nl-NL"/>
              </w:rPr>
              <w:t xml:space="preserve">Toegang contractueel beperkt tot Frankrijk/EU; operationele verificatie nodig, ook voor Monaco</w:t>
            </w:r>
          </w:p>
        </w:tc>
      </w:tr>
      <w:tr>
        <w:trPr>
          <w:cantSplit/>
        </w:trPr>
        <w:tc>
          <w:tcPr/>
          <w:p>
            <w:pPr>
              <w:pStyle w:val="Compact"/>
            </w:pPr>
            <w:r>
              <w:rPr>
                <w:lang w:val="nl-NL"/>
              </w:rPr>
              <w:t xml:space="preserve">“Streng EU”-profiel</w:t>
            </w:r>
          </w:p>
        </w:tc>
        <w:tc>
          <w:tcPr/>
          <w:p>
            <w:pPr>
              <w:pStyle w:val="Compact"/>
            </w:pPr>
            <w:r>
              <w:rPr>
                <w:lang w:val="nl-NL"/>
              </w:rPr>
              <w:t xml:space="preserve">Alleen primaire route / EU LLM of zelf-gehost + EU GPU</w:t>
            </w:r>
          </w:p>
        </w:tc>
        <w:tc>
          <w:tcPr/>
          <w:p>
            <w:pPr>
              <w:pStyle w:val="Compact"/>
            </w:pPr>
            <w:r>
              <w:rPr>
                <w:lang w:val="nl-NL"/>
              </w:rPr>
              <w:t xml:space="preserve">Verwijder Amerikaanse overboekingen</w:t>
            </w:r>
          </w:p>
        </w:tc>
      </w:tr>
      <w:tr>
        <w:trPr>
          <w:cantSplit/>
        </w:trPr>
        <w:tc>
          <w:tcPr/>
          <w:p>
            <w:pPr>
              <w:pStyle w:val="Compact"/>
            </w:pPr>
            <w:r>
              <w:rPr>
                <w:lang w:val="nl-NL"/>
              </w:rPr>
              <w:t xml:space="preserve">Optie B geïsoleerd</w:t>
            </w:r>
          </w:p>
        </w:tc>
        <w:tc>
          <w:tcPr/>
          <w:p>
            <w:pPr>
              <w:pStyle w:val="Compact"/>
            </w:pPr>
            <w:r>
              <w:rPr>
                <w:lang w:val="nl-NL"/>
              </w:rPr>
              <w:t xml:space="preserve">—</w:t>
            </w:r>
          </w:p>
        </w:tc>
        <w:tc>
          <w:tcPr/>
          <w:p>
            <w:pPr>
              <w:pStyle w:val="Compact"/>
            </w:pPr>
            <w:r>
              <w:rPr>
                <w:b/>
                <w:bCs/>
                <w:lang w:val="nl-NL"/>
              </w:rPr>
              <w:t xml:space="preserve">Geen overdracht buiten de EER</w:t>
            </w:r>
          </w:p>
        </w:tc>
      </w:tr>
    </w:tbl>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101"/>
    <w:bookmarkEnd w:id="102"/>
    <w:bookmarkStart w:id="110" w:name="X7dfa085352667209966fa6cd7412a1e78b1fa3f"/>
    <w:p>
      <w:pPr>
        <w:pStyle w:val="Heading1"/>
        <w:keepNext/>
        <w:keepLines/>
      </w:pPr>
      <w:r>
        <w:rPr>
          <w:color w:val="000000"/>
          <w:lang w:val="nl-NL"/>
        </w:rPr>
        <w:t xml:space="preserve">Matrix met bewaartermijnen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OHA-RGPD-05</w:t>
            </w:r>
          </w:p>
        </w:tc>
      </w:tr>
      <w:tr>
        <w:trPr>
          <w:cantSplit/>
        </w:trPr>
        <w:tc>
          <w:tcPr/>
          <w:p>
            <w:pPr>
              <w:pStyle w:val="Compact"/>
            </w:pPr>
            <w:r>
              <w:rPr>
                <w:lang w:val="nl-NL"/>
              </w:rPr>
              <w:t xml:space="preserve">Doel</w:t>
            </w:r>
          </w:p>
        </w:tc>
        <w:tc>
          <w:tcPr/>
          <w:p>
            <w:pPr>
              <w:pStyle w:val="Compact"/>
            </w:pPr>
            <w:r>
              <w:rPr>
                <w:lang w:val="nl-NL"/>
              </w:rPr>
              <w:t xml:space="preserve">Beleid en matrix van bewaartermijnen, configuratie en samenhang met verwijdering</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103" w:name="Xb740074d2d8b3ab2a0aa99c5546089d0a9ea256"/>
    <w:p>
      <w:pPr>
        <w:pStyle w:val="Heading2"/>
        <w:keepNext/>
        <w:keepLines/>
      </w:pPr>
      <w:r>
        <w:rPr>
          <w:color w:val="000000"/>
          <w:lang w:val="nl-NL"/>
        </w:rPr>
        <w:t xml:space="preserve">1. Principe</w:t>
      </w:r>
    </w:p>
    <w:p>
      <w:pPr>
        <w:pStyle w:val="FirstParagraph"/>
      </w:pPr>
      <w:r>
        <w:rPr>
          <w:lang w:val="nl-NL"/>
        </w:rPr>
        <w:t xml:space="preserve">De bewaartermijnen die van toepassing zijn </w:t>
      </w:r>
      <w:r>
        <w:rPr>
          <w:lang w:val="nl-NL"/>
        </w:rPr>
        <w:t xml:space="preserve"/>
      </w:r>
      <w:r>
        <w:rPr>
          <w:b/>
          <w:bCs/>
          <w:lang w:val="nl-NL"/>
        </w:rPr>
        <w:t xml:space="preserve">op de </w:t>
      </w:r>
      <w:r>
        <w:rPr>
          <w:lang w:val="nl-NL"/>
        </w:rPr>
        <w:t xml:space="preserve"/>
      </w:r>
      <w:r>
        <w:rPr>
          <w:lang w:val="nl-NL"/>
        </w:rPr>
        <w:t xml:space="preserve">inhoud van Klant </w:t>
      </w:r>
      <w:r>
        <w:rPr>
          <w:lang w:val="nl-NL"/>
        </w:rPr>
        <w:t xml:space="preserve"/>
      </w:r>
      <w:r>
        <w:rPr>
          <w:b/>
          <w:bCs/>
          <w:lang w:val="nl-NL"/>
        </w:rPr>
        <w:t xml:space="preserve">kunnen per organisatie worden </w:t>
      </w:r>
      <w:r>
        <w:rPr>
          <w:lang w:val="nl-NL"/>
        </w:rPr>
        <w:t xml:space="preserve"/>
      </w:r>
      <w:r>
        <w:rPr>
          <w:lang w:val="nl-NL"/>
        </w:rPr>
        <w:t xml:space="preserve">geconfigureerd: Klant blijft als verwerkingsverantwoordelijke de regie houden. De onderstaande looptijden </w:t>
      </w:r>
      <w:r>
        <w:rPr>
          <w:lang w:val="nl-NL"/>
        </w:rPr>
        <w:t xml:space="preserve"/>
      </w:r>
      <w:r>
        <w:rPr>
          <w:b/>
          <w:bCs/>
          <w:lang w:val="nl-NL"/>
        </w:rPr>
        <w:t xml:space="preserve">vormen de standaardwaarden </w:t>
      </w:r>
      <w:r>
        <w:rPr>
          <w:lang w:val="nl-NL"/>
        </w:rPr>
        <w:t xml:space="preserve"/>
      </w:r>
      <w:r>
        <w:rPr>
          <w:lang w:val="nl-NL"/>
        </w:rPr>
        <w:t xml:space="preserve"/>
      </w:r>
      <w:r>
        <w:rPr>
          <w:lang w:val="nl-NL"/>
        </w:rPr>
        <w:t xml:space="preserve">en </w:t>
      </w:r>
      <w:r>
        <w:rPr>
          <w:b/>
          <w:bCs/>
          <w:lang w:val="nl-NL"/>
        </w:rPr>
        <w:t xml:space="preserve">technische plafonds </w:t>
      </w:r>
      <w:r>
        <w:rPr>
          <w:lang w:val="nl-NL"/>
        </w:rPr>
        <w:t xml:space="preserve"/>
      </w:r>
      <w:r>
        <w:rPr>
          <w:lang w:val="nl-NL"/>
        </w:rPr>
        <w:t xml:space="preserve">die door het platform worden toegepast. Bepaalde duur (logboeken, back-ups) voldoen aan beveiligings- en bewijsvereisten en zijn onderworpen aan maxima.</w:t>
      </w:r>
    </w:p>
    <w:bookmarkEnd w:id="103"/>
    <w:bookmarkStart w:id="104" w:name="Xd608f4a84f7477e85b8d19a34807e655aa9cf03"/>
    <w:p>
      <w:pPr>
        <w:pStyle w:val="Heading2"/>
        <w:keepNext/>
        <w:keepLines/>
      </w:pPr>
      <w:r>
        <w:rPr>
          <w:color w:val="000000"/>
          <w:lang w:val="nl-NL"/>
        </w:rPr>
        <w:t xml:space="preserve">2. Matrix met bewaartermijnen</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Categorie</w:t>
            </w:r>
          </w:p>
        </w:tc>
        <w:tc>
          <w:tcPr>
            <w:tcW w:type="dxa" w:w="1872"/>
            <w:tcMar>
              <w:left w:type="dxa" w:w="80"/>
              <w:right w:type="dxa" w:w="80"/>
            </w:tcMar>
          </w:tcPr>
          <w:p>
            <w:pPr>
              <w:pStyle w:val="Compact"/>
            </w:pPr>
            <w:r>
              <w:rPr>
                <w:sz w:val="19"/>
                <w:szCs w:val="19"/>
                <w:lang w:val="nl-NL"/>
              </w:rPr>
              <w:t xml:space="preserve">Standaardwaarde</w:t>
            </w:r>
          </w:p>
        </w:tc>
        <w:tc>
          <w:tcPr>
            <w:tcW w:type="dxa" w:w="1872"/>
            <w:tcMar>
              <w:left w:type="dxa" w:w="80"/>
              <w:right w:type="dxa" w:w="80"/>
            </w:tcMar>
          </w:tcPr>
          <w:p>
            <w:pPr>
              <w:pStyle w:val="Compact"/>
            </w:pPr>
            <w:r>
              <w:rPr>
                <w:sz w:val="19"/>
                <w:szCs w:val="19"/>
                <w:lang w:val="nl-NL"/>
              </w:rPr>
              <w:t xml:space="preserve">Configureerbaar door de organisatie</w:t>
            </w:r>
          </w:p>
        </w:tc>
        <w:tc>
          <w:tcPr>
            <w:tcW w:type="dxa" w:w="1872"/>
            <w:tcMar>
              <w:left w:type="dxa" w:w="80"/>
              <w:right w:type="dxa" w:w="80"/>
            </w:tcMar>
          </w:tcPr>
          <w:p>
            <w:pPr>
              <w:pStyle w:val="Compact"/>
            </w:pPr>
            <w:r>
              <w:rPr>
                <w:sz w:val="19"/>
                <w:szCs w:val="19"/>
                <w:lang w:val="nl-NL"/>
              </w:rPr>
              <w:t xml:space="preserve">Gedrag bij het verstrijken van de bewaartermijn</w:t>
            </w:r>
          </w:p>
        </w:tc>
        <w:tc>
          <w:tcPr>
            <w:tcW w:type="dxa" w:w="1872"/>
            <w:tcMar>
              <w:left w:type="dxa" w:w="80"/>
              <w:right w:type="dxa" w:w="80"/>
            </w:tcMar>
          </w:tcPr>
          <w:p>
            <w:pPr>
              <w:pStyle w:val="Compact"/>
            </w:pPr>
            <w:r>
              <w:rPr>
                <w:sz w:val="19"/>
                <w:szCs w:val="19"/>
                <w:lang w:val="nl-NL"/>
              </w:rPr>
              <w:t xml:space="preserve">Modus</w:t>
            </w:r>
          </w:p>
        </w:tc>
      </w:tr>
      <w:tr>
        <w:trPr>
          <w:cantSplit/>
        </w:trPr>
        <w:tc>
          <w:tcPr>
            <w:tcW w:type="dxa" w:w="1872"/>
            <w:tcMar>
              <w:left w:type="dxa" w:w="80"/>
              <w:right w:type="dxa" w:w="80"/>
            </w:tcMar>
          </w:tcPr>
          <w:p>
            <w:pPr>
              <w:pStyle w:val="Compact"/>
            </w:pPr>
            <w:r>
              <w:rPr>
                <w:sz w:val="19"/>
                <w:szCs w:val="19"/>
                <w:lang w:val="nl-NL"/>
              </w:rPr>
              <w:t xml:space="preserve">Actieve gebruikersaccounts</w:t>
            </w:r>
          </w:p>
        </w:tc>
        <w:tc>
          <w:tcPr>
            <w:tcW w:type="dxa" w:w="1872"/>
            <w:tcMar>
              <w:left w:type="dxa" w:w="80"/>
              <w:right w:type="dxa" w:w="80"/>
            </w:tcMar>
          </w:tcPr>
          <w:p>
            <w:pPr>
              <w:pStyle w:val="Compact"/>
            </w:pPr>
            <w:r>
              <w:rPr>
                <w:sz w:val="19"/>
                <w:szCs w:val="19"/>
                <w:lang w:val="nl-NL"/>
              </w:rPr>
              <w:t xml:space="preserve">Duur van account en contract</w:t>
            </w:r>
          </w:p>
        </w:tc>
        <w:tc>
          <w:tcPr>
            <w:tcW w:type="dxa" w:w="1872"/>
            <w:tcMar>
              <w:left w:type="dxa" w:w="80"/>
              <w:right w:type="dxa" w:w="80"/>
            </w:tcMar>
          </w:tcPr>
          <w:p>
            <w:pPr>
              <w:pStyle w:val="Compact"/>
            </w:pPr>
            <w:r>
              <w:rPr>
                <w:sz w:val="19"/>
                <w:szCs w:val="19"/>
                <w:lang w:val="nl-NL"/>
              </w:rPr>
              <w:t xml:space="preserve">Nee (gerelateerd aan de levenscyclus van het account)</w:t>
            </w:r>
          </w:p>
        </w:tc>
        <w:tc>
          <w:tcPr>
            <w:tcW w:type="dxa" w:w="1872"/>
            <w:tcMar>
              <w:left w:type="dxa" w:w="80"/>
              <w:right w:type="dxa" w:w="80"/>
            </w:tcMar>
          </w:tcPr>
          <w:p>
            <w:pPr>
              <w:pStyle w:val="Compact"/>
            </w:pPr>
            <w:r>
              <w:rPr>
                <w:sz w:val="19"/>
                <w:szCs w:val="19"/>
                <w:lang w:val="nl-NL"/>
              </w:rPr>
              <w:t xml:space="preserve">Gehandhaafd als actief</w:t>
            </w:r>
          </w:p>
        </w:tc>
        <w:tc>
          <w:tcPr>
            <w:tcW w:type="dxa" w:w="1872"/>
            <w:tcMar>
              <w:left w:type="dxa" w:w="80"/>
              <w:right w:type="dxa" w:w="80"/>
            </w:tcMar>
          </w:tcPr>
          <w:p>
            <w:pPr>
              <w:pStyle w:val="Compact"/>
            </w:pPr>
            <w:r>
              <w:rPr>
                <w:sz w:val="19"/>
                <w:szCs w:val="19"/>
                <w:lang w:val="nl-NL"/>
              </w:rPr>
              <w:t xml:space="preserve">A / B</w:t>
            </w:r>
          </w:p>
        </w:tc>
      </w:tr>
      <w:tr>
        <w:trPr>
          <w:cantSplit/>
        </w:trPr>
        <w:tc>
          <w:tcPr>
            <w:tcW w:type="dxa" w:w="1872"/>
            <w:tcMar>
              <w:left w:type="dxa" w:w="80"/>
              <w:right w:type="dxa" w:w="80"/>
            </w:tcMar>
          </w:tcPr>
          <w:p>
            <w:pPr>
              <w:pStyle w:val="Compact"/>
            </w:pPr>
            <w:r>
              <w:rPr>
                <w:sz w:val="19"/>
                <w:szCs w:val="19"/>
                <w:lang w:val="nl-NL"/>
              </w:rPr>
              <w:t xml:space="preserve">Uitgeschakelde gebruikersaccounts</w:t>
            </w:r>
          </w:p>
        </w:tc>
        <w:tc>
          <w:tcPr>
            <w:tcW w:type="dxa" w:w="1872"/>
            <w:tcMar>
              <w:left w:type="dxa" w:w="80"/>
              <w:right w:type="dxa" w:w="80"/>
            </w:tcMar>
          </w:tcPr>
          <w:p>
            <w:pPr>
              <w:pStyle w:val="Compact"/>
            </w:pPr>
            <w:r>
              <w:rPr>
                <w:sz w:val="19"/>
                <w:szCs w:val="19"/>
                <w:lang w:val="nl-NL"/>
              </w:rPr>
              <w:t xml:space="preserve">Verwijdering/anonimisering volgens instructies; anders einde contract</w:t>
            </w:r>
          </w:p>
        </w:tc>
        <w:tc>
          <w:tcPr>
            <w:tcW w:type="dxa" w:w="1872"/>
            <w:tcMar>
              <w:left w:type="dxa" w:w="80"/>
              <w:right w:type="dxa" w:w="80"/>
            </w:tcMar>
          </w:tcPr>
          <w:p>
            <w:pPr>
              <w:pStyle w:val="Compact"/>
            </w:pPr>
            <w:r>
              <w:rPr>
                <w:sz w:val="19"/>
                <w:szCs w:val="19"/>
                <w:lang w:val="nl-NL"/>
              </w:rPr>
              <w:t xml:space="preserve">Ja (klantinstructie)</w:t>
            </w:r>
          </w:p>
        </w:tc>
        <w:tc>
          <w:tcPr>
            <w:tcW w:type="dxa" w:w="1872"/>
            <w:tcMar>
              <w:left w:type="dxa" w:w="80"/>
              <w:right w:type="dxa" w:w="80"/>
            </w:tcMar>
          </w:tcPr>
          <w:p>
            <w:pPr>
              <w:pStyle w:val="Compact"/>
            </w:pPr>
            <w:r>
              <w:rPr>
                <w:sz w:val="19"/>
                <w:szCs w:val="19"/>
                <w:lang w:val="nl-NL"/>
              </w:rPr>
              <w:t xml:space="preserve">Verwijderd of geanonimiseerd</w:t>
            </w:r>
          </w:p>
        </w:tc>
        <w:tc>
          <w:tcPr>
            <w:tcW w:type="dxa" w:w="1872"/>
            <w:tcMar>
              <w:left w:type="dxa" w:w="80"/>
              <w:right w:type="dxa" w:w="80"/>
            </w:tcMar>
          </w:tcPr>
          <w:p>
            <w:pPr>
              <w:pStyle w:val="Compact"/>
            </w:pPr>
            <w:r>
              <w:rPr>
                <w:sz w:val="19"/>
                <w:szCs w:val="19"/>
                <w:lang w:val="nl-NL"/>
              </w:rPr>
              <w:t xml:space="preserve">A / B</w:t>
            </w:r>
          </w:p>
        </w:tc>
      </w:tr>
      <w:tr>
        <w:trPr>
          <w:cantSplit/>
        </w:trPr>
        <w:tc>
          <w:tcPr>
            <w:tcW w:type="dxa" w:w="1872"/>
            <w:tcMar>
              <w:left w:type="dxa" w:w="80"/>
              <w:right w:type="dxa" w:w="80"/>
            </w:tcMar>
          </w:tcPr>
          <w:p>
            <w:pPr>
              <w:pStyle w:val="Compact"/>
            </w:pPr>
            <w:r>
              <w:rPr>
                <w:sz w:val="19"/>
                <w:szCs w:val="19"/>
                <w:lang w:val="nl-NL"/>
              </w:rPr>
              <w:t xml:space="preserve">Audiobestanden</w:t>
            </w:r>
          </w:p>
        </w:tc>
        <w:tc>
          <w:tcPr>
            <w:tcW w:type="dxa" w:w="1872"/>
            <w:tcMar>
              <w:left w:type="dxa" w:w="80"/>
              <w:right w:type="dxa" w:w="80"/>
            </w:tcMar>
          </w:tcPr>
          <w:p>
            <w:pPr>
              <w:pStyle w:val="Compact"/>
            </w:pPr>
            <w:r>
              <w:rPr>
                <w:sz w:val="19"/>
                <w:szCs w:val="19"/>
                <w:lang w:val="nl-NL"/>
              </w:rPr>
              <w:t xml:space="preserve">Duur geconfigureerd; anders duur van het contract</w:t>
            </w:r>
          </w:p>
        </w:tc>
        <w:tc>
          <w:tcPr>
            <w:tcW w:type="dxa" w:w="1872"/>
            <w:tcMar>
              <w:left w:type="dxa" w:w="80"/>
              <w:right w:type="dxa" w:w="80"/>
            </w:tcMar>
          </w:tcPr>
          <w:p>
            <w:pPr>
              <w:pStyle w:val="Compact"/>
            </w:pPr>
            <w:r>
              <w:rPr>
                <w:b/>
                <w:bCs/>
                <w:sz w:val="19"/>
                <w:szCs w:val="19"/>
                <w:lang w:val="nl-NL"/>
              </w:rPr>
              <w:t xml:space="preserve">Ja</w:t>
            </w:r>
          </w:p>
        </w:tc>
        <w:tc>
          <w:tcPr>
            <w:tcW w:type="dxa" w:w="1872"/>
            <w:tcMar>
              <w:left w:type="dxa" w:w="80"/>
              <w:right w:type="dxa" w:w="80"/>
            </w:tcMar>
          </w:tcPr>
          <w:p>
            <w:pPr>
              <w:pStyle w:val="Compact"/>
            </w:pPr>
            <w:r>
              <w:rPr>
                <w:sz w:val="19"/>
                <w:szCs w:val="19"/>
                <w:lang w:val="nl-NL"/>
              </w:rPr>
              <w:t xml:space="preserve">Verwijdering</w:t>
            </w:r>
          </w:p>
        </w:tc>
        <w:tc>
          <w:tcPr>
            <w:tcW w:type="dxa" w:w="1872"/>
            <w:tcMar>
              <w:left w:type="dxa" w:w="80"/>
              <w:right w:type="dxa" w:w="80"/>
            </w:tcMar>
          </w:tcPr>
          <w:p>
            <w:pPr>
              <w:pStyle w:val="Compact"/>
            </w:pPr>
            <w:r>
              <w:rPr>
                <w:sz w:val="19"/>
                <w:szCs w:val="19"/>
                <w:lang w:val="nl-NL"/>
              </w:rPr>
              <w:t xml:space="preserve">A / B</w:t>
            </w:r>
          </w:p>
        </w:tc>
      </w:tr>
      <w:tr>
        <w:trPr>
          <w:cantSplit/>
        </w:trPr>
        <w:tc>
          <w:tcPr>
            <w:tcW w:type="dxa" w:w="1872"/>
            <w:tcMar>
              <w:left w:type="dxa" w:w="80"/>
              <w:right w:type="dxa" w:w="80"/>
            </w:tcMar>
          </w:tcPr>
          <w:p>
            <w:pPr>
              <w:pStyle w:val="Compact"/>
            </w:pPr>
            <w:r>
              <w:rPr>
                <w:sz w:val="19"/>
                <w:szCs w:val="19"/>
                <w:lang w:val="nl-NL"/>
              </w:rPr>
              <w:t xml:space="preserve">Transcripties en versies</w:t>
            </w:r>
          </w:p>
        </w:tc>
        <w:tc>
          <w:tcPr>
            <w:tcW w:type="dxa" w:w="1872"/>
            <w:tcMar>
              <w:left w:type="dxa" w:w="80"/>
              <w:right w:type="dxa" w:w="80"/>
            </w:tcMar>
          </w:tcPr>
          <w:p>
            <w:pPr>
              <w:pStyle w:val="Compact"/>
            </w:pPr>
            <w:r>
              <w:rPr>
                <w:sz w:val="19"/>
                <w:szCs w:val="19"/>
                <w:lang w:val="nl-NL"/>
              </w:rPr>
              <w:t xml:space="preserve">Duur geconfigureerd; anders duur van het contract</w:t>
            </w:r>
          </w:p>
        </w:tc>
        <w:tc>
          <w:tcPr>
            <w:tcW w:type="dxa" w:w="1872"/>
            <w:tcMar>
              <w:left w:type="dxa" w:w="80"/>
              <w:right w:type="dxa" w:w="80"/>
            </w:tcMar>
          </w:tcPr>
          <w:p>
            <w:pPr>
              <w:pStyle w:val="Compact"/>
            </w:pPr>
            <w:r>
              <w:rPr>
                <w:b/>
                <w:bCs/>
                <w:sz w:val="19"/>
                <w:szCs w:val="19"/>
                <w:lang w:val="nl-NL"/>
              </w:rPr>
              <w:t xml:space="preserve">Ja</w:t>
            </w:r>
          </w:p>
        </w:tc>
        <w:tc>
          <w:tcPr>
            <w:tcW w:type="dxa" w:w="1872"/>
            <w:tcMar>
              <w:left w:type="dxa" w:w="80"/>
              <w:right w:type="dxa" w:w="80"/>
            </w:tcMar>
          </w:tcPr>
          <w:p>
            <w:pPr>
              <w:pStyle w:val="Compact"/>
            </w:pPr>
            <w:r>
              <w:rPr>
                <w:sz w:val="19"/>
                <w:szCs w:val="19"/>
                <w:lang w:val="nl-NL"/>
              </w:rPr>
              <w:t xml:space="preserve">Verwijdering</w:t>
            </w:r>
          </w:p>
        </w:tc>
        <w:tc>
          <w:tcPr>
            <w:tcW w:type="dxa" w:w="1872"/>
            <w:tcMar>
              <w:left w:type="dxa" w:w="80"/>
              <w:right w:type="dxa" w:w="80"/>
            </w:tcMar>
          </w:tcPr>
          <w:p>
            <w:pPr>
              <w:pStyle w:val="Compact"/>
            </w:pPr>
            <w:r>
              <w:rPr>
                <w:sz w:val="19"/>
                <w:szCs w:val="19"/>
                <w:lang w:val="nl-NL"/>
              </w:rPr>
              <w:t xml:space="preserve">A / B</w:t>
            </w:r>
          </w:p>
        </w:tc>
      </w:tr>
      <w:tr>
        <w:trPr>
          <w:cantSplit/>
        </w:trPr>
        <w:tc>
          <w:tcPr>
            <w:tcW w:type="dxa" w:w="1872"/>
            <w:tcMar>
              <w:left w:type="dxa" w:w="80"/>
              <w:right w:type="dxa" w:w="80"/>
            </w:tcMar>
          </w:tcPr>
          <w:p>
            <w:pPr>
              <w:pStyle w:val="Compact"/>
            </w:pPr>
            <w:r>
              <w:rPr>
                <w:sz w:val="19"/>
                <w:szCs w:val="19"/>
                <w:lang w:val="nl-NL"/>
              </w:rPr>
              <w:t xml:space="preserve">Voorbereidende documenten</w:t>
            </w:r>
          </w:p>
        </w:tc>
        <w:tc>
          <w:tcPr>
            <w:tcW w:type="dxa" w:w="1872"/>
            <w:tcMar>
              <w:left w:type="dxa" w:w="80"/>
              <w:right w:type="dxa" w:w="80"/>
            </w:tcMar>
          </w:tcPr>
          <w:p>
            <w:pPr>
              <w:pStyle w:val="Compact"/>
            </w:pPr>
            <w:r>
              <w:rPr>
                <w:sz w:val="19"/>
                <w:szCs w:val="19"/>
                <w:lang w:val="nl-NL"/>
              </w:rPr>
              <w:t xml:space="preserve">Duur geconfigureerd; anders duur van het contract</w:t>
            </w:r>
          </w:p>
        </w:tc>
        <w:tc>
          <w:tcPr>
            <w:tcW w:type="dxa" w:w="1872"/>
            <w:tcMar>
              <w:left w:type="dxa" w:w="80"/>
              <w:right w:type="dxa" w:w="80"/>
            </w:tcMar>
          </w:tcPr>
          <w:p>
            <w:pPr>
              <w:pStyle w:val="Compact"/>
            </w:pPr>
            <w:r>
              <w:rPr>
                <w:b/>
                <w:bCs/>
                <w:sz w:val="19"/>
                <w:szCs w:val="19"/>
                <w:lang w:val="nl-NL"/>
              </w:rPr>
              <w:t xml:space="preserve">Ja</w:t>
            </w:r>
          </w:p>
        </w:tc>
        <w:tc>
          <w:tcPr>
            <w:tcW w:type="dxa" w:w="1872"/>
            <w:tcMar>
              <w:left w:type="dxa" w:w="80"/>
              <w:right w:type="dxa" w:w="80"/>
            </w:tcMar>
          </w:tcPr>
          <w:p>
            <w:pPr>
              <w:pStyle w:val="Compact"/>
            </w:pPr>
            <w:r>
              <w:rPr>
                <w:sz w:val="19"/>
                <w:szCs w:val="19"/>
                <w:lang w:val="nl-NL"/>
              </w:rPr>
              <w:t xml:space="preserve">Verwijdering</w:t>
            </w:r>
          </w:p>
        </w:tc>
        <w:tc>
          <w:tcPr>
            <w:tcW w:type="dxa" w:w="1872"/>
            <w:tcMar>
              <w:left w:type="dxa" w:w="80"/>
              <w:right w:type="dxa" w:w="80"/>
            </w:tcMar>
          </w:tcPr>
          <w:p>
            <w:pPr>
              <w:pStyle w:val="Compact"/>
            </w:pPr>
            <w:r>
              <w:rPr>
                <w:sz w:val="19"/>
                <w:szCs w:val="19"/>
                <w:lang w:val="nl-NL"/>
              </w:rPr>
              <w:t xml:space="preserve">A / B</w:t>
            </w:r>
          </w:p>
        </w:tc>
      </w:tr>
      <w:tr>
        <w:trPr>
          <w:cantSplit/>
        </w:trPr>
        <w:tc>
          <w:tcPr>
            <w:tcW w:type="dxa" w:w="1872"/>
            <w:tcMar>
              <w:left w:type="dxa" w:w="80"/>
              <w:right w:type="dxa" w:w="80"/>
            </w:tcMar>
          </w:tcPr>
          <w:p>
            <w:pPr>
              <w:pStyle w:val="Compact"/>
            </w:pPr>
            <w:r>
              <w:rPr>
                <w:sz w:val="19"/>
                <w:szCs w:val="19"/>
                <w:lang w:val="nl-NL"/>
              </w:rPr>
              <w:t xml:space="preserve">AI-generaties en export</w:t>
            </w:r>
          </w:p>
        </w:tc>
        <w:tc>
          <w:tcPr>
            <w:tcW w:type="dxa" w:w="1872"/>
            <w:tcMar>
              <w:left w:type="dxa" w:w="80"/>
              <w:right w:type="dxa" w:w="80"/>
            </w:tcMar>
          </w:tcPr>
          <w:p>
            <w:pPr>
              <w:pStyle w:val="Compact"/>
            </w:pPr>
            <w:r>
              <w:rPr>
                <w:sz w:val="19"/>
                <w:szCs w:val="19"/>
                <w:lang w:val="nl-NL"/>
              </w:rPr>
              <w:t xml:space="preserve">Duur geconfigureerd; anders duur van het contract</w:t>
            </w:r>
          </w:p>
        </w:tc>
        <w:tc>
          <w:tcPr>
            <w:tcW w:type="dxa" w:w="1872"/>
            <w:tcMar>
              <w:left w:type="dxa" w:w="80"/>
              <w:right w:type="dxa" w:w="80"/>
            </w:tcMar>
          </w:tcPr>
          <w:p>
            <w:pPr>
              <w:pStyle w:val="Compact"/>
            </w:pPr>
            <w:r>
              <w:rPr>
                <w:b/>
                <w:bCs/>
                <w:sz w:val="19"/>
                <w:szCs w:val="19"/>
                <w:lang w:val="nl-NL"/>
              </w:rPr>
              <w:t xml:space="preserve">Ja</w:t>
            </w:r>
          </w:p>
        </w:tc>
        <w:tc>
          <w:tcPr>
            <w:tcW w:type="dxa" w:w="1872"/>
            <w:tcMar>
              <w:left w:type="dxa" w:w="80"/>
              <w:right w:type="dxa" w:w="80"/>
            </w:tcMar>
          </w:tcPr>
          <w:p>
            <w:pPr>
              <w:pStyle w:val="Compact"/>
            </w:pPr>
            <w:r>
              <w:rPr>
                <w:sz w:val="19"/>
                <w:szCs w:val="19"/>
                <w:lang w:val="nl-NL"/>
              </w:rPr>
              <w:t xml:space="preserve">Verwijdering</w:t>
            </w:r>
          </w:p>
        </w:tc>
        <w:tc>
          <w:tcPr>
            <w:tcW w:type="dxa" w:w="1872"/>
            <w:tcMar>
              <w:left w:type="dxa" w:w="80"/>
              <w:right w:type="dxa" w:w="80"/>
            </w:tcMar>
          </w:tcPr>
          <w:p>
            <w:pPr>
              <w:pStyle w:val="Compact"/>
            </w:pPr>
            <w:r>
              <w:rPr>
                <w:sz w:val="19"/>
                <w:szCs w:val="19"/>
                <w:lang w:val="nl-NL"/>
              </w:rPr>
              <w:t xml:space="preserve">A / B</w:t>
            </w:r>
          </w:p>
        </w:tc>
      </w:tr>
      <w:tr>
        <w:trPr>
          <w:cantSplit/>
        </w:trPr>
        <w:tc>
          <w:tcPr>
            <w:tcW w:type="dxa" w:w="1872"/>
            <w:tcMar>
              <w:left w:type="dxa" w:w="80"/>
              <w:right w:type="dxa" w:w="80"/>
            </w:tcMar>
          </w:tcPr>
          <w:p>
            <w:pPr>
              <w:pStyle w:val="Compact"/>
            </w:pPr>
            <w:r>
              <w:rPr>
                <w:sz w:val="19"/>
                <w:szCs w:val="19"/>
                <w:lang w:val="nl-NL"/>
              </w:rPr>
              <w:t xml:space="preserve">Auditlogboeken van applicaties</w:t>
            </w:r>
          </w:p>
        </w:tc>
        <w:tc>
          <w:tcPr>
            <w:tcW w:type="dxa" w:w="1872"/>
            <w:tcMar>
              <w:left w:type="dxa" w:w="80"/>
              <w:right w:type="dxa" w:w="80"/>
            </w:tcMar>
          </w:tcPr>
          <w:p>
            <w:pPr>
              <w:pStyle w:val="Compact"/>
            </w:pPr>
            <w:r>
              <w:rPr>
                <w:b/>
                <w:bCs/>
                <w:sz w:val="19"/>
                <w:szCs w:val="19"/>
                <w:lang w:val="nl-NL"/>
              </w:rPr>
              <w:t xml:space="preserve">≤ 12 maanden</w:t>
            </w:r>
          </w:p>
        </w:tc>
        <w:tc>
          <w:tcPr>
            <w:tcW w:type="dxa" w:w="1872"/>
            <w:tcMar>
              <w:left w:type="dxa" w:w="80"/>
              <w:right w:type="dxa" w:w="80"/>
            </w:tcMar>
          </w:tcPr>
          <w:p>
            <w:pPr>
              <w:pStyle w:val="Compact"/>
            </w:pPr>
            <w:r>
              <w:rPr>
                <w:sz w:val="19"/>
                <w:szCs w:val="19"/>
                <w:lang w:val="nl-NL"/>
              </w:rPr>
              <w:t xml:space="preserve">Binnen de grenzen van het plafond</w:t>
            </w:r>
          </w:p>
        </w:tc>
        <w:tc>
          <w:tcPr>
            <w:tcW w:type="dxa" w:w="1872"/>
            <w:tcMar>
              <w:left w:type="dxa" w:w="80"/>
              <w:right w:type="dxa" w:w="80"/>
            </w:tcMar>
          </w:tcPr>
          <w:p>
            <w:pPr>
              <w:pStyle w:val="Compact"/>
            </w:pPr>
            <w:r>
              <w:rPr>
                <w:sz w:val="19"/>
                <w:szCs w:val="19"/>
                <w:lang w:val="nl-NL"/>
              </w:rPr>
              <w:t xml:space="preserve">Zuiveren</w:t>
            </w:r>
          </w:p>
        </w:tc>
        <w:tc>
          <w:tcPr>
            <w:tcW w:type="dxa" w:w="1872"/>
            <w:tcMar>
              <w:left w:type="dxa" w:w="80"/>
              <w:right w:type="dxa" w:w="80"/>
            </w:tcMar>
          </w:tcPr>
          <w:p>
            <w:pPr>
              <w:pStyle w:val="Compact"/>
            </w:pPr>
            <w:r>
              <w:rPr>
                <w:sz w:val="19"/>
                <w:szCs w:val="19"/>
                <w:lang w:val="nl-NL"/>
              </w:rPr>
              <w:t xml:space="preserve">A / B</w:t>
            </w:r>
          </w:p>
        </w:tc>
      </w:tr>
      <w:tr>
        <w:trPr>
          <w:cantSplit/>
        </w:trPr>
        <w:tc>
          <w:tcPr>
            <w:tcW w:type="dxa" w:w="1872"/>
            <w:tcMar>
              <w:left w:type="dxa" w:w="80"/>
              <w:right w:type="dxa" w:w="80"/>
            </w:tcMar>
          </w:tcPr>
          <w:p>
            <w:pPr>
              <w:pStyle w:val="Compact"/>
            </w:pPr>
            <w:r>
              <w:rPr>
                <w:sz w:val="19"/>
                <w:szCs w:val="19"/>
                <w:lang w:val="nl-NL"/>
              </w:rPr>
              <w:t xml:space="preserve">Technische logboeken</w:t>
            </w:r>
          </w:p>
        </w:tc>
        <w:tc>
          <w:tcPr>
            <w:tcW w:type="dxa" w:w="1872"/>
            <w:tcMar>
              <w:left w:type="dxa" w:w="80"/>
              <w:right w:type="dxa" w:w="80"/>
            </w:tcMar>
          </w:tcPr>
          <w:p>
            <w:pPr>
              <w:pStyle w:val="Compact"/>
            </w:pPr>
            <w:r>
              <w:rPr>
                <w:b/>
                <w:bCs/>
                <w:sz w:val="19"/>
                <w:szCs w:val="19"/>
                <w:lang w:val="nl-NL"/>
              </w:rPr>
              <w:t xml:space="preserve">~90 dagen</w:t>
            </w:r>
          </w:p>
        </w:tc>
        <w:tc>
          <w:tcPr>
            <w:tcW w:type="dxa" w:w="1872"/>
            <w:tcMar>
              <w:left w:type="dxa" w:w="80"/>
              <w:right w:type="dxa" w:w="80"/>
            </w:tcMar>
          </w:tcPr>
          <w:p>
            <w:pPr>
              <w:pStyle w:val="Compact"/>
            </w:pPr>
            <w:r>
              <w:rPr>
                <w:sz w:val="19"/>
                <w:szCs w:val="19"/>
                <w:lang w:val="nl-NL"/>
              </w:rPr>
              <w:t xml:space="preserve">Binnen de grenzen van het plafond</w:t>
            </w:r>
          </w:p>
        </w:tc>
        <w:tc>
          <w:tcPr>
            <w:tcW w:type="dxa" w:w="1872"/>
            <w:tcMar>
              <w:left w:type="dxa" w:w="80"/>
              <w:right w:type="dxa" w:w="80"/>
            </w:tcMar>
          </w:tcPr>
          <w:p>
            <w:pPr>
              <w:pStyle w:val="Compact"/>
            </w:pPr>
            <w:r>
              <w:rPr>
                <w:sz w:val="19"/>
                <w:szCs w:val="19"/>
                <w:lang w:val="nl-NL"/>
              </w:rPr>
              <w:t xml:space="preserve">Zuiveren</w:t>
            </w:r>
          </w:p>
        </w:tc>
        <w:tc>
          <w:tcPr>
            <w:tcW w:type="dxa" w:w="1872"/>
            <w:tcMar>
              <w:left w:type="dxa" w:w="80"/>
              <w:right w:type="dxa" w:w="80"/>
            </w:tcMar>
          </w:tcPr>
          <w:p>
            <w:pPr>
              <w:pStyle w:val="Compact"/>
            </w:pPr>
            <w:r>
              <w:rPr>
                <w:sz w:val="19"/>
                <w:szCs w:val="19"/>
                <w:lang w:val="nl-NL"/>
              </w:rPr>
              <w:t xml:space="preserve">A / B</w:t>
            </w:r>
          </w:p>
        </w:tc>
      </w:tr>
      <w:tr>
        <w:trPr>
          <w:cantSplit/>
        </w:trPr>
        <w:tc>
          <w:tcPr>
            <w:tcW w:type="dxa" w:w="1872"/>
            <w:tcMar>
              <w:left w:type="dxa" w:w="80"/>
              <w:right w:type="dxa" w:w="80"/>
            </w:tcMar>
          </w:tcPr>
          <w:p>
            <w:pPr>
              <w:pStyle w:val="Compact"/>
            </w:pPr>
            <w:r>
              <w:rPr>
                <w:sz w:val="19"/>
                <w:szCs w:val="19"/>
                <w:lang w:val="nl-NL"/>
              </w:rPr>
              <w:t xml:space="preserve">Back-ups</w:t>
            </w:r>
          </w:p>
        </w:tc>
        <w:tc>
          <w:tcPr>
            <w:tcW w:type="dxa" w:w="1872"/>
            <w:tcMar>
              <w:left w:type="dxa" w:w="80"/>
              <w:right w:type="dxa" w:w="80"/>
            </w:tcMar>
          </w:tcPr>
          <w:p>
            <w:pPr>
              <w:pStyle w:val="Compact"/>
            </w:pPr>
            <w:r>
              <w:rPr>
                <w:b/>
                <w:bCs/>
                <w:sz w:val="19"/>
                <w:szCs w:val="19"/>
                <w:lang w:val="nl-NL"/>
              </w:rPr>
              <w:t xml:space="preserve">≤ 90 dagen </w:t>
            </w:r>
            <w:r>
              <w:rPr>
                <w:sz w:val="19"/>
                <w:szCs w:val="19"/>
                <w:lang w:val="nl-NL"/>
              </w:rPr>
              <w:t xml:space="preserve"/>
            </w:r>
            <w:r>
              <w:rPr>
                <w:sz w:val="19"/>
                <w:szCs w:val="19"/>
                <w:lang w:val="nl-NL"/>
              </w:rPr>
              <w:t xml:space="preserve">(rotatie); 30 dagen per organisatie</w:t>
            </w:r>
          </w:p>
        </w:tc>
        <w:tc>
          <w:tcPr>
            <w:tcW w:type="dxa" w:w="1872"/>
            <w:tcMar>
              <w:left w:type="dxa" w:w="80"/>
              <w:right w:type="dxa" w:w="80"/>
            </w:tcMar>
          </w:tcPr>
          <w:p>
            <w:pPr>
              <w:pStyle w:val="Compact"/>
            </w:pPr>
            <w:r>
              <w:rPr>
                <w:sz w:val="19"/>
                <w:szCs w:val="19"/>
                <w:lang w:val="nl-NL"/>
              </w:rPr>
              <w:t xml:space="preserve">Nee (veiligheidscyclus)</w:t>
            </w:r>
          </w:p>
        </w:tc>
        <w:tc>
          <w:tcPr>
            <w:tcW w:type="dxa" w:w="1872"/>
            <w:tcMar>
              <w:left w:type="dxa" w:w="80"/>
              <w:right w:type="dxa" w:w="80"/>
            </w:tcMar>
          </w:tcPr>
          <w:p>
            <w:pPr>
              <w:pStyle w:val="Compact"/>
            </w:pPr>
            <w:r>
              <w:rPr>
                <w:sz w:val="19"/>
                <w:szCs w:val="19"/>
                <w:lang w:val="nl-NL"/>
              </w:rPr>
              <w:t xml:space="preserve">Draai zuivering</w:t>
            </w:r>
          </w:p>
        </w:tc>
        <w:tc>
          <w:tcPr>
            <w:tcW w:type="dxa" w:w="1872"/>
            <w:tcMar>
              <w:left w:type="dxa" w:w="80"/>
              <w:right w:type="dxa" w:w="80"/>
            </w:tcMar>
          </w:tcPr>
          <w:p>
            <w:pPr>
              <w:pStyle w:val="Compact"/>
            </w:pPr>
            <w:r>
              <w:rPr>
                <w:sz w:val="19"/>
                <w:szCs w:val="19"/>
                <w:lang w:val="nl-NL"/>
              </w:rPr>
              <w:t xml:space="preserve">A (B: clientinfrastructuur)</w:t>
            </w:r>
          </w:p>
        </w:tc>
      </w:tr>
      <w:tr>
        <w:trPr>
          <w:cantSplit/>
        </w:trPr>
        <w:tc>
          <w:tcPr>
            <w:tcW w:type="dxa" w:w="1872"/>
            <w:tcMar>
              <w:left w:type="dxa" w:w="80"/>
              <w:right w:type="dxa" w:w="80"/>
            </w:tcMar>
          </w:tcPr>
          <w:p>
            <w:pPr>
              <w:pStyle w:val="Compact"/>
            </w:pPr>
            <w:r>
              <w:rPr>
                <w:sz w:val="19"/>
                <w:szCs w:val="19"/>
                <w:lang w:val="nl-NL"/>
              </w:rPr>
              <w:t xml:space="preserve">Tijdelijke steminsluitingen</w:t>
            </w:r>
          </w:p>
        </w:tc>
        <w:tc>
          <w:tcPr>
            <w:tcW w:type="dxa" w:w="1872"/>
            <w:tcMar>
              <w:left w:type="dxa" w:w="80"/>
              <w:right w:type="dxa" w:w="80"/>
            </w:tcMar>
          </w:tcPr>
          <w:p>
            <w:pPr>
              <w:pStyle w:val="Compact"/>
            </w:pPr>
            <w:r>
              <w:rPr>
                <w:b/>
                <w:bCs/>
                <w:sz w:val="19"/>
                <w:szCs w:val="19"/>
                <w:lang w:val="nl-NL"/>
              </w:rPr>
              <w:t xml:space="preserve">Alleen duur van de zoekopdracht</w:t>
            </w:r>
          </w:p>
        </w:tc>
        <w:tc>
          <w:tcPr>
            <w:tcW w:type="dxa" w:w="1872"/>
            <w:tcMar>
              <w:left w:type="dxa" w:w="80"/>
              <w:right w:type="dxa" w:w="80"/>
            </w:tcMar>
          </w:tcPr>
          <w:p>
            <w:pPr>
              <w:pStyle w:val="Compact"/>
            </w:pPr>
            <w:r>
              <w:rPr>
                <w:sz w:val="19"/>
                <w:szCs w:val="19"/>
                <w:lang w:val="nl-NL"/>
              </w:rPr>
              <w:t xml:space="preserve">Nee (vergankelijk van opzet)</w:t>
            </w:r>
          </w:p>
        </w:tc>
        <w:tc>
          <w:tcPr>
            <w:tcW w:type="dxa" w:w="1872"/>
            <w:tcMar>
              <w:left w:type="dxa" w:w="80"/>
              <w:right w:type="dxa" w:w="80"/>
            </w:tcMar>
          </w:tcPr>
          <w:p>
            <w:pPr>
              <w:pStyle w:val="Compact"/>
            </w:pPr>
            <w:r>
              <w:rPr>
                <w:sz w:val="19"/>
                <w:szCs w:val="19"/>
                <w:lang w:val="nl-NL"/>
              </w:rPr>
              <w:t xml:space="preserve">Vernietiging aan het einde van de verwerking (</w:t>
            </w:r>
            <w:r>
              <w:rPr>
                <w:rStyle w:val="VerbatimChar"/>
                <w:sz w:val="19"/>
                <w:szCs w:val="19"/>
                <w:lang w:val="nl-NL"/>
              </w:rPr>
              <w:t xml:space="preserve">finally</w:t>
            </w:r>
            <w:r>
              <w:rPr>
                <w:sz w:val="19"/>
                <w:szCs w:val="19"/>
                <w:lang w:val="nl-NL"/>
              </w:rPr>
              <w:t xml:space="preserve">)</w:t>
            </w:r>
          </w:p>
        </w:tc>
        <w:tc>
          <w:tcPr>
            <w:tcW w:type="dxa" w:w="1872"/>
            <w:tcMar>
              <w:left w:type="dxa" w:w="80"/>
              <w:right w:type="dxa" w:w="80"/>
            </w:tcMar>
          </w:tcPr>
          <w:p>
            <w:pPr>
              <w:pStyle w:val="Compact"/>
            </w:pPr>
            <w:r>
              <w:rPr>
                <w:sz w:val="19"/>
                <w:szCs w:val="19"/>
                <w:lang w:val="nl-NL"/>
              </w:rPr>
              <w:t xml:space="preserve">A / B</w:t>
            </w:r>
          </w:p>
        </w:tc>
      </w:tr>
    </w:tbl>
    <w:bookmarkEnd w:id="104"/>
    <w:bookmarkStart w:id="105" w:name="X83fd0475445342c9f5387005de00552eb48e9d8"/>
    <w:p>
      <w:pPr>
        <w:pStyle w:val="Heading2"/>
        <w:keepNext/>
        <w:keepLines/>
      </w:pPr>
      <w:r>
        <w:rPr>
          <w:color w:val="000000"/>
          <w:lang w:val="nl-NL"/>
        </w:rPr>
        <w:t xml:space="preserve">3. Configuratie per organisatie</w:t>
      </w:r>
    </w:p>
    <w:p>
      <w:pPr>
        <w:pStyle w:val="Compact"/>
        <w:numPr>
          <w:ilvl w:val="0"/>
          <w:numId w:val="1023"/>
        </w:numPr>
      </w:pPr>
      <w:r>
        <w:rPr>
          <w:b/>
          <w:bCs/>
          <w:lang w:val="nl-NL"/>
        </w:rPr>
        <w:t xml:space="preserve">Wie kan configureren. </w:t>
      </w:r>
      <w:r>
        <w:rPr>
          <w:lang w:val="nl-NL"/>
        </w:rPr>
        <w:t xml:space="preserve"/>
      </w:r>
      <w:r>
        <w:rPr>
          <w:lang w:val="nl-NL"/>
        </w:rPr>
        <w:t xml:space="preserve">De administratieve rollen van de organisatie van de Klant </w:t>
      </w:r>
      <w:r>
        <w:rPr>
          <w:lang w:val="nl-NL"/>
        </w:rPr>
        <w:t xml:space="preserve">(</w:t>
      </w:r>
      <w:r>
        <w:rPr>
          <w:rStyle w:val="VerbatimChar"/>
          <w:lang w:val="nl-NL"/>
        </w:rPr>
        <w:t xml:space="preserve">manager</w:t>
      </w:r>
      <w:r>
        <w:rPr>
          <w:lang w:val="nl-NL"/>
        </w:rPr>
        <w:t xml:space="preserve"> </w:t>
      </w:r>
      <w:r>
        <w:rPr>
          <w:lang w:val="nl-NL"/>
        </w:rPr>
        <w:t xml:space="preserve">/ organisatiebeheerderprofielen, volgens de door de Klant besliste opdracht).</w:t>
      </w:r>
    </w:p>
    <w:p>
      <w:pPr>
        <w:pStyle w:val="Compact"/>
        <w:numPr>
          <w:ilvl w:val="0"/>
          <w:numId w:val="1023"/>
        </w:numPr>
      </w:pPr>
      <w:r>
        <w:rPr>
          <w:b/>
          <w:bCs/>
          <w:lang w:val="nl-NL"/>
        </w:rPr>
        <w:t xml:space="preserve">Waar in het product. </w:t>
      </w:r>
      <w:r>
        <w:rPr>
          <w:lang w:val="nl-NL"/>
        </w:rPr>
        <w:t xml:space="preserve"/>
      </w:r>
      <w:r>
        <w:rPr>
          <w:lang w:val="nl-NL"/>
        </w:rPr>
        <w:t xml:space="preserve">Organisatie-instellingen (instellingen voor het bewaren van inhoud). De standaardwaarden beschreven in §2 zijn van toepassing als er geen configuratie is.</w:t>
      </w:r>
    </w:p>
    <w:p>
      <w:pPr>
        <w:pStyle w:val="Compact"/>
        <w:numPr>
          <w:ilvl w:val="0"/>
          <w:numId w:val="1023"/>
        </w:numPr>
      </w:pPr>
      <w:r>
        <w:rPr>
          <w:b/>
          <w:bCs/>
          <w:lang w:val="nl-NL"/>
        </w:rPr>
        <w:t xml:space="preserve">Reikwijdte. </w:t>
      </w:r>
      <w:r>
        <w:rPr>
          <w:lang w:val="nl-NL"/>
        </w:rPr>
        <w:t xml:space="preserve"/>
      </w:r>
      <w:r>
        <w:rPr>
          <w:lang w:val="nl-NL"/>
        </w:rPr>
        <w:t xml:space="preserve">De configuratie betreft de inhoud (audio, transcripties, documenten, AI-generaties). De duur van logs en back-ups wordt bepaald door beveiligingsplafonds die niet kunnen worden verlengd tot voorbij de aangegeven maxima.</w:t>
      </w:r>
    </w:p>
    <w:p>
      <w:pPr>
        <w:pStyle w:val="BlockText"/>
      </w:pPr>
      <w:r>
        <w:rPr>
          <w:b/>
          <w:bCs/>
          <w:lang w:val="nl-NL"/>
        </w:rPr>
        <w:t xml:space="preserve">[WORDEN BEVESTIGD]: </w:t>
      </w:r>
      <w:r>
        <w:rPr>
          <w:lang w:val="nl-NL"/>
        </w:rPr>
        <w:t xml:space="preserve"/>
      </w:r>
      <w:r>
        <w:rPr>
          <w:lang w:val="nl-NL"/>
        </w:rPr>
        <w:t xml:space="preserve">exacte granulariteit van het instellingenscherm dat aan de Klant wordt getoond (per inhoudscategorie versus algemeen) moet worden gespecificeerd tijdens de implementatie.</w:t>
      </w:r>
    </w:p>
    <w:bookmarkEnd w:id="105"/>
    <w:bookmarkStart w:id="106" w:name="X1d0319beef65ea0df674594c854de041152a72f"/>
    <w:p>
      <w:pPr>
        <w:pStyle w:val="Heading2"/>
        <w:keepNext/>
        <w:keepLines/>
      </w:pPr>
      <w:r>
        <w:rPr>
          <w:color w:val="000000"/>
          <w:lang w:val="nl-NL"/>
        </w:rPr>
        <w:t xml:space="preserve">4. Gedrag bij het verstrijken van de bewaartermijn</w:t>
      </w:r>
    </w:p>
    <w:p>
      <w:pPr>
        <w:pStyle w:val="FirstParagraph"/>
      </w:pPr>
      <w:r>
        <w:rPr>
          <w:lang w:val="nl-NL"/>
        </w:rPr>
        <w:t xml:space="preserve">Aan het einde van de geconfigureerde duur wordt de betreffende inhoud </w:t>
      </w:r>
      <w:r>
        <w:rPr>
          <w:lang w:val="nl-NL"/>
        </w:rPr>
        <w:t xml:space="preserve"/>
      </w:r>
      <w:r>
        <w:rPr>
          <w:b/>
          <w:bCs/>
          <w:lang w:val="nl-NL"/>
        </w:rPr>
        <w:t xml:space="preserve">uit de </w:t>
      </w:r>
      <w:r>
        <w:rPr>
          <w:lang w:val="nl-NL"/>
        </w:rPr>
        <w:t xml:space="preserve"/>
      </w:r>
      <w:r>
        <w:rPr>
          <w:lang w:val="nl-NL"/>
        </w:rPr>
        <w:t xml:space="preserve">productiedatabase verwijderd. De verwijdering wordt vervolgens weergegeven op de back-ups volgens hun rotatiecyclus (uiterlijk binnen 90 dagen). Steminbedding wordt nooit beïnvloed door deze cyclus: ze worden aan het einde van het verzoek vernietigd, zonder persistentie.</w:t>
      </w:r>
    </w:p>
    <w:bookmarkEnd w:id="106"/>
    <w:bookmarkStart w:id="109" w:name="X642f55ef0aa0c247a15d6aa27fe4cf2e6ba3f07"/>
    <w:p>
      <w:pPr>
        <w:pStyle w:val="Heading2"/>
        <w:keepNext/>
        <w:keepLines/>
      </w:pPr>
      <w:r>
        <w:rPr>
          <w:color w:val="000000"/>
          <w:lang w:val="nl-NL"/>
        </w:rPr>
        <w:t xml:space="preserve">5. Verbinding met verwijdering (artikel 17) en einde contract</w:t>
      </w:r>
    </w:p>
    <w:bookmarkStart w:id="107" w:name="X654578143815b3d75c0d5ff552a26ad0ff2644e"/>
    <w:p>
      <w:pPr>
        <w:pStyle w:val="Heading3"/>
        <w:keepNext/>
        <w:keepLines/>
      </w:pPr>
      <w:r>
        <w:rPr>
          <w:color w:val="000000"/>
          <w:lang w:val="nl-NL"/>
        </w:rPr>
        <w:t xml:space="preserve">5.1 Wissing op verzoek (artikel 17)</w:t>
      </w:r>
    </w:p>
    <w:p>
      <w:pPr>
        <w:pStyle w:val="Compact"/>
        <w:numPr>
          <w:ilvl w:val="0"/>
          <w:numId w:val="1024"/>
        </w:numPr>
      </w:pPr>
      <w:r>
        <w:rPr>
          <w:lang w:val="nl-NL"/>
        </w:rPr>
        <w:t xml:space="preserve">Verwijdering is mogelijk via een </w:t>
      </w:r>
      <w:r>
        <w:rPr>
          <w:lang w:val="nl-NL"/>
        </w:rPr>
        <w:t xml:space="preserve"/>
      </w:r>
      <w:r>
        <w:rPr>
          <w:b/>
          <w:bCs/>
          <w:lang w:val="nl-NL"/>
        </w:rPr>
        <w:t xml:space="preserve">gecertificeerd getraceerd </w:t>
      </w:r>
      <w:r>
        <w:rPr>
          <w:lang w:val="nl-NL"/>
        </w:rPr>
        <w:t xml:space="preserve">verzoek </w:t>
      </w:r>
      <w:r>
        <w:rPr>
          <w:lang w:val="nl-NL"/>
        </w:rPr>
        <w:t xml:space="preserve">(Instellingen → Portabiliteit): het verzoek wordt vastgelegd in de </w:t>
      </w:r>
      <w:r>
        <w:rPr>
          <w:lang w:val="nl-NL"/>
        </w:rPr>
        <w:t xml:space="preserve"/>
      </w:r>
      <w:r>
        <w:rPr>
          <w:rStyle w:val="VerbatimChar"/>
          <w:lang w:val="nl-NL"/>
        </w:rPr>
        <w:t xml:space="preserve">audit_logs</w:t>
      </w:r>
      <w:r>
        <w:rPr>
          <w:lang w:val="nl-NL"/>
        </w:rPr>
        <w:t xml:space="preserve">, er </w:t>
      </w:r>
      <w:r>
        <w:rPr>
          <w:lang w:val="nl-NL"/>
        </w:rPr>
        <w:t xml:space="preserve"/>
      </w:r>
      <w:r>
        <w:rPr>
          <w:b/>
          <w:bCs/>
          <w:lang w:val="nl-NL"/>
        </w:rPr>
        <w:t xml:space="preserve">wordt binnen de wettelijke </w:t>
      </w:r>
      <w:r>
        <w:rPr>
          <w:lang w:val="nl-NL"/>
        </w:rPr>
        <w:t xml:space="preserve"/>
      </w:r>
      <w:r>
        <w:rPr>
          <w:lang w:val="nl-NL"/>
        </w:rPr>
        <w:t xml:space="preserve">deadline een opschoningsworkflow geactiveerd en er </w:t>
      </w:r>
      <w:r>
        <w:rPr>
          <w:lang w:val="nl-NL"/>
        </w:rPr>
        <w:t xml:space="preserve"/>
      </w:r>
      <w:r>
        <w:rPr>
          <w:b/>
          <w:bCs/>
          <w:lang w:val="nl-NL"/>
        </w:rPr>
        <w:t xml:space="preserve">wordt een verwijderingscertificaat </w:t>
      </w:r>
      <w:r>
        <w:rPr>
          <w:lang w:val="nl-NL"/>
        </w:rPr>
        <w:t xml:space="preserve"/>
      </w:r>
      <w:r>
        <w:rPr>
          <w:lang w:val="nl-NL"/>
        </w:rPr>
        <w:t xml:space="preserve">uitgegeven.</w:t>
      </w:r>
    </w:p>
    <w:p>
      <w:pPr>
        <w:pStyle w:val="Compact"/>
        <w:numPr>
          <w:ilvl w:val="0"/>
          <w:numId w:val="1024"/>
        </w:numPr>
      </w:pPr>
      <w:r>
        <w:rPr>
          <w:lang w:val="nl-NL"/>
        </w:rPr>
        <w:t xml:space="preserve">De opschoning van de productie wordt weerspiegeld op de back-ups volgens rotatie (≤ 90 dagen).</w:t>
      </w:r>
    </w:p>
    <w:bookmarkEnd w:id="107"/>
    <w:bookmarkStart w:id="108" w:name="X24c1a499b9b0bdbba0fe8f8d5e8b857df025d88"/>
    <w:p>
      <w:pPr>
        <w:pStyle w:val="Heading3"/>
        <w:keepNext/>
        <w:keepLines/>
      </w:pPr>
      <w:r>
        <w:rPr>
          <w:color w:val="000000"/>
          <w:lang w:val="nl-NL"/>
        </w:rPr>
        <w:t xml:space="preserve">5.2 Einde contract (DPA §11)</w:t>
      </w:r>
    </w:p>
    <w:p>
      <w:pPr>
        <w:pStyle w:val="FirstParagraph"/>
      </w:pPr>
      <w:r>
        <w:rPr>
          <w:lang w:val="nl-NL"/>
        </w:rPr>
        <w:t xml:space="preserve">Aan het einde van het contract kiest de Klant via schriftelijke instructie </w:t>
      </w:r>
      <w:r>
        <w:rPr>
          <w:lang w:val="nl-NL"/>
        </w:rPr>
        <w:t xml:space="preserve"/>
      </w:r>
      <w:r>
        <w:rPr>
          <w:b/>
          <w:bCs/>
          <w:lang w:val="nl-NL"/>
        </w:rPr>
        <w:t xml:space="preserve">tussen restitutie </w:t>
      </w:r>
      <w:r>
        <w:rPr>
          <w:lang w:val="nl-NL"/>
        </w:rPr>
        <w:t xml:space="preserve"/>
      </w:r>
      <w:r>
        <w:rPr>
          <w:lang w:val="nl-NL"/>
        </w:rPr>
        <w:t xml:space="preserve"/>
      </w:r>
      <w:r>
        <w:rPr>
          <w:lang w:val="nl-NL"/>
        </w:rPr>
        <w:t xml:space="preserve"/>
      </w:r>
      <w:r>
        <w:rPr>
          <w:b/>
          <w:bCs/>
          <w:lang w:val="nl-NL"/>
        </w:rPr>
        <w:t xml:space="preserve">en </w:t>
      </w:r>
      <w:r>
        <w:rPr>
          <w:lang w:val="nl-NL"/>
        </w:rPr>
        <w:t xml:space="preserve"/>
      </w:r>
      <w:r>
        <w:rPr>
          <w:lang w:val="nl-NL"/>
        </w:rPr>
        <w:t xml:space="preserve">verwijdering:</w:t>
      </w:r>
    </w:p>
    <w:p>
      <w:pPr>
        <w:pStyle w:val="Compact"/>
        <w:numPr>
          <w:ilvl w:val="0"/>
          <w:numId w:val="1025"/>
        </w:numPr>
      </w:pPr>
      <w:r>
        <w:rPr>
          <w:b/>
          <w:bCs/>
          <w:lang w:val="nl-NL"/>
        </w:rPr>
        <w:t xml:space="preserve">Restitutie: </w:t>
      </w:r>
      <w:r>
        <w:rPr>
          <w:lang w:val="nl-NL"/>
        </w:rPr>
        <w:t xml:space="preserve"/>
      </w:r>
      <w:r>
        <w:rPr>
          <w:lang w:val="nl-NL"/>
        </w:rPr>
        <w:t xml:space="preserve">verstrekking van een standaard export (</w:t>
      </w:r>
      <w:r>
        <w:rPr>
          <w:rStyle w:val="VerbatimChar"/>
          <w:lang w:val="nl-NL"/>
        </w:rPr>
        <w:t xml:space="preserve">.tar.gz</w:t>
      </w:r>
      <w:r>
        <w:rPr>
          <w:lang w:val="nl-NL"/>
        </w:rPr>
        <w:t xml:space="preserve"> </w:t>
      </w:r>
      <w:r>
        <w:rPr>
          <w:lang w:val="nl-NL"/>
        </w:rPr>
        <w:t xml:space="preserve">ondertekend SHA-256 door huurder).</w:t>
      </w:r>
    </w:p>
    <w:p>
      <w:pPr>
        <w:pStyle w:val="Compact"/>
        <w:numPr>
          <w:ilvl w:val="0"/>
          <w:numId w:val="1025"/>
        </w:numPr>
      </w:pPr>
      <w:r>
        <w:rPr>
          <w:b/>
          <w:bCs/>
          <w:lang w:val="nl-NL"/>
        </w:rPr>
        <w:t xml:space="preserve">Verwijdering </w:t>
      </w:r>
      <w:r>
        <w:rPr>
          <w:lang w:val="nl-NL"/>
        </w:rPr>
        <w:t xml:space="preserve"/>
      </w:r>
      <w:r>
        <w:rPr>
          <w:lang w:val="nl-NL"/>
        </w:rPr>
        <w:t xml:space="preserve">van productiegegevens: ≤ </w:t>
      </w:r>
      <w:r>
        <w:rPr>
          <w:lang w:val="nl-NL"/>
        </w:rPr>
        <w:t xml:space="preserve">30 </w:t>
      </w:r>
      <w:r>
        <w:rPr>
          <w:b/>
          <w:bCs/>
          <w:lang w:val="nl-NL"/>
        </w:rPr>
        <w:t xml:space="preserve">kalenderdagen </w:t>
      </w:r>
      <w:r>
        <w:rPr>
          <w:lang w:val="nl-NL"/>
        </w:rPr>
        <w:t xml:space="preserve"/>
      </w:r>
      <w:r>
        <w:rPr>
          <w:lang w:val="nl-NL"/>
        </w:rPr>
        <w:t xml:space="preserve">na het effectieve einde van het contract of ontvangst van de instructie (afhankelijk van wat later valt).</w:t>
      </w:r>
    </w:p>
    <w:p>
      <w:pPr>
        <w:pStyle w:val="Compact"/>
        <w:numPr>
          <w:ilvl w:val="0"/>
          <w:numId w:val="1025"/>
        </w:numPr>
      </w:pPr>
      <w:r>
        <w:rPr>
          <w:b/>
          <w:bCs/>
          <w:lang w:val="nl-NL"/>
        </w:rPr>
        <w:t xml:space="preserve">Opschonen van resterende </w:t>
      </w:r>
      <w:r>
        <w:rPr>
          <w:lang w:val="nl-NL"/>
        </w:rPr>
        <w:t xml:space="preserve"/>
      </w:r>
      <w:r>
        <w:rPr>
          <w:lang w:val="nl-NL"/>
        </w:rPr>
        <w:t xml:space="preserve">back-ups: </w:t>
      </w:r>
      <w:r>
        <w:rPr>
          <w:lang w:val="nl-NL"/>
        </w:rPr>
        <w:t xml:space="preserve"/>
      </w:r>
      <w:r>
        <w:rPr>
          <w:b/>
          <w:bCs/>
          <w:lang w:val="nl-NL"/>
        </w:rPr>
        <w:t xml:space="preserve">≤ 90 </w:t>
      </w:r>
      <w:r>
        <w:rPr>
          <w:lang w:val="nl-NL"/>
        </w:rPr>
        <w:t xml:space="preserve"/>
      </w:r>
      <w:r>
        <w:rPr>
          <w:lang w:val="nl-NL"/>
        </w:rPr>
        <w:t xml:space="preserve">kalenderdagen (rotatiecyclus), tenzij wettelijk vereist.</w:t>
      </w:r>
    </w:p>
    <w:p>
      <w:pPr>
        <w:pStyle w:val="Compact"/>
        <w:numPr>
          <w:ilvl w:val="0"/>
          <w:numId w:val="1025"/>
        </w:numPr>
      </w:pPr>
      <w:r>
        <w:rPr>
          <w:b/>
          <w:bCs/>
          <w:lang w:val="nl-NL"/>
        </w:rPr>
        <w:t xml:space="preserve">Certificaat </w:t>
      </w:r>
      <w:r>
        <w:rPr>
          <w:lang w:val="nl-NL"/>
        </w:rPr>
        <w:t xml:space="preserve"/>
      </w:r>
      <w:r>
        <w:rPr>
          <w:lang w:val="nl-NL"/>
        </w:rPr>
        <w:t xml:space="preserve">van verwijdering of retournering: verstrekt </w:t>
      </w:r>
      <w:r>
        <w:rPr>
          <w:lang w:val="nl-NL"/>
        </w:rPr>
        <w:t xml:space="preserve"/>
      </w:r>
      <w:r>
        <w:rPr>
          <w:b/>
          <w:bCs/>
          <w:lang w:val="nl-NL"/>
        </w:rPr>
        <w:t xml:space="preserve">binnen 30 </w:t>
      </w:r>
      <w:r>
        <w:rPr>
          <w:lang w:val="nl-NL"/>
        </w:rPr>
        <w:t xml:space="preserve"/>
      </w:r>
      <w:r>
        <w:rPr>
          <w:lang w:val="nl-NL"/>
        </w:rPr>
        <w:t xml:space="preserve">dagen na voltooiing van de operatie.</w:t>
      </w:r>
    </w:p>
    <w:p>
      <w:pPr>
        <w:pStyle w:val="SourceCode"/>
      </w:pPr>
      <w:r>
        <w:rPr>
          <w:rStyle w:val="VerbatimChar"/>
          <w:rFonts w:ascii="Courier New" w:hAnsi="Courier New" w:eastAsia="Courier New" w:cs="Courier New"/>
          <w:sz w:val="20"/>
          <w:szCs w:val="20"/>
        </w:rPr>
        <w:t xml:space="preserve">Einde contract</w:t>
        <w:br/>
        <w:t xml:space="preserve">  |-- schriftelijke keuze van Klant</w:t>
        <w:br/>
        <w:t xml:space="preserve">  |     |-- Teruggave: ondertekende .tar.gz-export (SHA-256)</w:t>
        <w:br/>
        <w:t xml:space="preserve">  |     \-- Wissing:</w:t>
        <w:br/>
        <w:t xml:space="preserve">  |            [D+30 max] productiegegevens verwijderen</w:t>
        <w:br/>
        <w:t xml:space="preserve">  |            [D+90 max] back-ups verwijderen</w:t>
        <w:br/>
        <w:t xml:space="preserve">  \-- Wis- / teruggavecertificaat [+30 dagen na voltooiing]</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108"/>
    <w:bookmarkEnd w:id="109"/>
    <w:bookmarkEnd w:id="110"/>
    <w:bookmarkStart w:id="122" w:name="Xdce4b62ecfec95499a77a7d1958b03ff9ff737c"/>
    <w:p>
      <w:pPr>
        <w:pStyle w:val="Heading1"/>
        <w:keepNext/>
        <w:keepLines/>
      </w:pPr>
      <w:r>
        <w:rPr>
          <w:color w:val="000000"/>
          <w:lang w:val="nl-NL"/>
        </w:rPr>
        <w:t xml:space="preserve">Modellen en aanbieders van kunstmatige intelligentie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OHA-RGPD-06</w:t>
            </w:r>
          </w:p>
        </w:tc>
      </w:tr>
      <w:tr>
        <w:trPr>
          <w:cantSplit/>
        </w:trPr>
        <w:tc>
          <w:tcPr/>
          <w:p>
            <w:pPr>
              <w:pStyle w:val="Compact"/>
            </w:pPr>
            <w:r>
              <w:rPr>
                <w:lang w:val="nl-NL"/>
              </w:rPr>
              <w:t xml:space="preserve">Doel</w:t>
            </w:r>
          </w:p>
        </w:tc>
        <w:tc>
          <w:tcPr/>
          <w:p>
            <w:pPr>
              <w:pStyle w:val="Compact"/>
            </w:pPr>
            <w:r>
              <w:rPr>
                <w:lang w:val="nl-NL"/>
              </w:rPr>
              <w:t xml:space="preserve">Documentatie van AI-modellen en providers: verzonden gegevens, retentie, niet-training</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111" w:name="Xf1e621f1e00816d4df6a5d87990d4fe96ac2cec"/>
    <w:p>
      <w:pPr>
        <w:pStyle w:val="Heading2"/>
        <w:keepNext/>
        <w:keepLines/>
      </w:pPr>
      <w:r>
        <w:rPr>
          <w:color w:val="000000"/>
          <w:lang w:val="nl-NL"/>
        </w:rPr>
        <w:t xml:space="preserve">1. Doel</w:t>
      </w:r>
    </w:p>
    <w:p>
      <w:pPr>
        <w:pStyle w:val="FirstParagraph"/>
      </w:pPr>
      <w:r>
        <w:rPr>
          <w:lang w:val="nl-NL"/>
        </w:rPr>
        <w:t xml:space="preserve">Dit document documenteert de kunstmatige-intelligentiemodellen en leveranciers die waarschijnlijk door TranscribIA zullen worden gebruikt, de gegevens die naar elk daarvan worden verzonden, de bewaartermijnen aan de kant van de leverancier, mogelijke menselijke toegang, niet-trainingsgaranties en de voorwaarden voor het veranderen van modellen of leveranciers.</w:t>
      </w:r>
    </w:p>
    <w:bookmarkEnd w:id="111"/>
    <w:bookmarkStart w:id="115" w:name="Xd1e5903fdf70abcf5368fef1c81a5eb86161bbb"/>
    <w:p>
      <w:pPr>
        <w:pStyle w:val="Heading2"/>
        <w:keepNext/>
        <w:keepLines/>
      </w:pPr>
      <w:r>
        <w:rPr>
          <w:color w:val="000000"/>
          <w:lang w:val="nl-NL"/>
        </w:rPr>
        <w:t xml:space="preserve">2. Modellen en leveranciers die waarschijnlijk zullen worden gebruikt</w:t>
      </w:r>
    </w:p>
    <w:bookmarkStart w:id="112" w:name="X94ec6f3ea1c75825c24d0d3494eaefc6983c2a1"/>
    <w:p>
      <w:pPr>
        <w:pStyle w:val="Heading3"/>
        <w:keepNext/>
        <w:keepLines/>
      </w:pPr>
      <w:r>
        <w:rPr>
          <w:color w:val="000000"/>
          <w:lang w:val="nl-NL"/>
        </w:rPr>
        <w:t xml:space="preserve">2.1 Tekstgeneratie (LLM) — tweerichtingsarchitectuur</w:t>
      </w:r>
    </w:p>
    <w:p>
      <w:pPr>
        <w:pStyle w:val="FirstParagraph"/>
      </w:pPr>
      <w:r>
        <w:rPr>
          <w:lang w:val="nl-NL"/>
        </w:rPr>
        <w:t xml:space="preserve">De IA-functies (correctie, samenvatting, rapport, hoofdstukindeling, analyse) zijn gebaseerd op een multi-configuratie gateway (</w:t>
      </w:r>
      <w:r>
        <w:rPr>
          <w:rStyle w:val="VerbatimChar"/>
          <w:lang w:val="nl-NL"/>
        </w:rPr>
        <w:t xml:space="preserve">LlmGateway</w:t>
      </w:r>
      <w:r>
        <w:rPr>
          <w:lang w:val="nl-NL"/>
        </w:rPr>
        <w:t xml:space="preserve">) met omschakeling op prioriteit (3 pogingen, uitstel, maximale vertraging 300 s) en rotatie van meerdere accounts. In de gekozen architectuur (besluit 24-07-2026) wordt onderscheid </w:t>
      </w:r>
      <w:r>
        <w:rPr>
          <w:lang w:val="nl-NL"/>
        </w:rPr>
        <w:t xml:space="preserve"/>
      </w:r>
      <w:r>
        <w:rPr>
          <w:b/>
          <w:bCs/>
          <w:lang w:val="nl-NL"/>
        </w:rPr>
        <w:t xml:space="preserve">gemaakt tussen een </w:t>
      </w:r>
      <w:r>
        <w:rPr>
          <w:lang w:val="nl-NL"/>
        </w:rPr>
        <w:t xml:space="preserve"/>
      </w:r>
      <w:r>
        <w:rPr>
          <w:lang w:val="nl-NL"/>
        </w:rPr>
        <w:t xml:space="preserve">hoofdroute </w:t>
      </w:r>
      <w:r>
        <w:rPr>
          <w:lang w:val="nl-NL"/>
        </w:rPr>
        <w:t xml:space="preserve"/>
      </w:r>
      <w:r>
        <w:rPr>
          <w:b/>
          <w:bCs/>
          <w:lang w:val="nl-NL"/>
        </w:rPr>
        <w:t xml:space="preserve">en een </w:t>
      </w:r>
      <w:r>
        <w:rPr>
          <w:lang w:val="nl-NL"/>
        </w:rPr>
        <w:t xml:space="preserve">noodroute.</w:t>
      </w:r>
    </w:p>
    <w:p>
      <w:pPr>
        <w:pStyle w:val="BodyText"/>
      </w:pPr>
      <w:r>
        <w:rPr>
          <w:b/>
          <w:bCs/>
          <w:lang w:val="nl-NL"/>
        </w:rPr>
        <w:t xml:space="preserve">Primaire route — vLLM-servers beheerd in de EU. </w:t>
      </w:r>
      <w:r>
        <w:rPr>
          <w:lang w:val="nl-NL"/>
        </w:rPr>
        <w:t xml:space="preserve"/>
      </w:r>
      <w:r>
        <w:rPr>
          <w:lang w:val="nl-NL"/>
        </w:rPr>
        <w:t xml:space="preserve">Standaard worden AI-query's verwerkt op GPU-servers die worden </w:t>
      </w:r>
      <w:r>
        <w:rPr>
          <w:lang w:val="nl-NL"/>
        </w:rPr>
        <w:t xml:space="preserve"/>
      </w:r>
      <w:r>
        <w:rPr>
          <w:b/>
          <w:bCs/>
          <w:lang w:val="nl-NL"/>
        </w:rPr>
        <w:t xml:space="preserve">beheerd door OHADJA waarop vLLM wordt uitgevoerd met modellen met open </w:t>
      </w:r>
      <w:r>
        <w:rPr>
          <w:lang w:val="nl-NL"/>
        </w:rPr>
        <w:t xml:space="preserve">gewichten. Deze servers </w:t>
      </w:r>
      <w:r>
        <w:rPr>
          <w:lang w:val="nl-NL"/>
        </w:rPr>
        <w:t xml:space="preserve">worden </w:t>
      </w:r>
      <w:r>
        <w:rPr>
          <w:b/>
          <w:bCs/>
          <w:lang w:val="nl-NL"/>
        </w:rPr>
        <w:t xml:space="preserve">gehost in Europa, voornamelijk in Straatsburg </w:t>
      </w:r>
      <w:r>
        <w:rPr>
          <w:lang w:val="nl-NL"/>
        </w:rPr>
        <w:t xml:space="preserve">en </w:t>
      </w:r>
      <w:r>
        <w:rPr>
          <w:lang w:val="nl-NL"/>
        </w:rPr>
        <w:t xml:space="preserve">Parijs (of in de infrastructuur van de Klant in Optie B). Op dit </w:t>
      </w:r>
      <w:r>
        <w:rPr>
          <w:lang w:val="nl-NL"/>
        </w:rPr>
        <w:t xml:space="preserve"/>
      </w:r>
      <w:r>
        <w:rPr>
          <w:b/>
          <w:bCs/>
          <w:lang w:val="nl-NL"/>
        </w:rPr>
        <w:t xml:space="preserve">pad worden geen gegevens verzonden naar een externe </w:t>
      </w:r>
      <w:r>
        <w:rPr>
          <w:lang w:val="nl-NL"/>
        </w:rPr>
        <w:t xml:space="preserve">modelaanbieder.</w:t>
      </w:r>
    </w:p>
    <w:p>
      <w:pPr>
        <w:pStyle w:val="BodyText"/>
      </w:pPr>
      <w:r>
        <w:rPr>
          <w:b/>
          <w:bCs/>
          <w:lang w:val="nl-NL"/>
        </w:rPr>
        <w:t xml:space="preserve">Terugvalroute — OpenRouter (failover, deactiveerbaar). </w:t>
      </w:r>
      <w:r>
        <w:rPr>
          <w:lang w:val="nl-NL"/>
        </w:rPr>
        <w:t xml:space="preserve"/>
      </w:r>
      <w:r>
        <w:rPr>
          <w:lang w:val="nl-NL"/>
        </w:rPr>
        <w:t xml:space="preserve">Als de primaire route niet beschikbaar is, kan de gateway overschakelen naar </w:t>
      </w:r>
      <w:r>
        <w:rPr>
          <w:lang w:val="nl-NL"/>
        </w:rPr>
        <w:t xml:space="preserve"/>
      </w:r>
      <w:r>
        <w:rPr>
          <w:b/>
          <w:bCs/>
          <w:lang w:val="nl-NL"/>
        </w:rPr>
        <w:t xml:space="preserve">OpenRouter (Claude, </w:t>
      </w:r>
      <w:r>
        <w:rPr>
          <w:lang w:val="nl-NL"/>
        </w:rPr>
        <w:t xml:space="preserve"/>
      </w:r>
      <w:r>
        <w:rPr>
          <w:lang w:val="nl-NL"/>
        </w:rPr>
        <w:t xml:space="preserve">GPT, enz.), no-train. Deze noodroute kan door organisatie </w:t>
      </w:r>
      <w:r>
        <w:rPr>
          <w:lang w:val="nl-NL"/>
        </w:rPr>
        <w:t xml:space="preserve"/>
      </w:r>
      <w:r>
        <w:rPr>
          <w:b/>
          <w:bCs/>
          <w:lang w:val="nl-NL"/>
        </w:rPr>
        <w:t xml:space="preserve">worden gedeactiveerd; het </w:t>
      </w:r>
      <w:r>
        <w:rPr>
          <w:lang w:val="nl-NL"/>
        </w:rPr>
        <w:t xml:space="preserve"/>
      </w:r>
      <w:r>
        <w:rPr>
          <w:lang w:val="nl-NL"/>
        </w:rPr>
        <w:t xml:space="preserve">‘Strict </w:t>
      </w:r>
      <w:r>
        <w:rPr>
          <w:lang w:val="nl-NL"/>
        </w:rPr>
        <w:t xml:space="preserve"/>
      </w:r>
      <w:r>
        <w:rPr>
          <w:b/>
          <w:bCs/>
          <w:lang w:val="nl-NL"/>
        </w:rPr>
        <w:t xml:space="preserve">EU’-profiel </w:t>
      </w:r>
      <w:r>
        <w:rPr>
          <w:lang w:val="nl-NL"/>
        </w:rPr>
        <w:t xml:space="preserve">neutraliseert </w:t>
      </w:r>
      <w:r>
        <w:rPr>
          <w:lang w:val="nl-NL"/>
        </w:rPr>
        <w:t xml:space="preserve">dit en zorgt ervoor dat geen enkele AI-verzoek de EU verlaat.</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nl-NL"/>
              </w:rPr>
              <w:t xml:space="preserve">Laan</w:t>
            </w:r>
          </w:p>
        </w:tc>
        <w:tc>
          <w:tcPr>
            <w:tcW w:type="dxa" w:w="1872"/>
            <w:tcMar>
              <w:left w:type="dxa" w:w="80"/>
              <w:right w:type="dxa" w:w="80"/>
            </w:tcMar>
          </w:tcPr>
          <w:p>
            <w:pPr>
              <w:pStyle w:val="Compact"/>
            </w:pPr>
            <w:r>
              <w:rPr>
                <w:sz w:val="19"/>
                <w:szCs w:val="19"/>
                <w:lang w:val="nl-NL"/>
              </w:rPr>
              <w:t xml:space="preserve">Modellen</w:t>
            </w:r>
          </w:p>
        </w:tc>
        <w:tc>
          <w:tcPr>
            <w:tcW w:type="dxa" w:w="1872"/>
            <w:tcMar>
              <w:left w:type="dxa" w:w="80"/>
              <w:right w:type="dxa" w:w="80"/>
            </w:tcMar>
          </w:tcPr>
          <w:p>
            <w:pPr>
              <w:pStyle w:val="Compact"/>
            </w:pPr>
            <w:r>
              <w:rPr>
                <w:sz w:val="19"/>
                <w:szCs w:val="19"/>
                <w:lang w:val="nl-NL"/>
              </w:rPr>
              <w:t xml:space="preserve">Leverancier / uitvoering</w:t>
            </w:r>
          </w:p>
        </w:tc>
        <w:tc>
          <w:tcPr>
            <w:tcW w:type="dxa" w:w="1872"/>
            <w:tcMar>
              <w:left w:type="dxa" w:w="80"/>
              <w:right w:type="dxa" w:w="80"/>
            </w:tcMar>
          </w:tcPr>
          <w:p>
            <w:pPr>
              <w:pStyle w:val="Compact"/>
            </w:pPr>
            <w:r>
              <w:rPr>
                <w:sz w:val="19"/>
                <w:szCs w:val="19"/>
                <w:lang w:val="nl-NL"/>
              </w:rPr>
              <w:t xml:space="preserve">Locatie</w:t>
            </w:r>
          </w:p>
        </w:tc>
        <w:tc>
          <w:tcPr>
            <w:tcW w:type="dxa" w:w="1872"/>
            <w:tcMar>
              <w:left w:type="dxa" w:w="80"/>
              <w:right w:type="dxa" w:w="80"/>
            </w:tcMar>
          </w:tcPr>
          <w:p>
            <w:pPr>
              <w:pStyle w:val="Compact"/>
            </w:pPr>
            <w:r>
              <w:rPr>
                <w:sz w:val="19"/>
                <w:szCs w:val="19"/>
                <w:lang w:val="nl-NL"/>
              </w:rPr>
              <w:t xml:space="preserve">Overdracht buiten de EER</w:t>
            </w:r>
          </w:p>
        </w:tc>
      </w:tr>
      <w:tr>
        <w:trPr>
          <w:cantSplit/>
        </w:trPr>
        <w:tc>
          <w:tcPr>
            <w:tcW w:type="dxa" w:w="1872"/>
            <w:tcMar>
              <w:left w:type="dxa" w:w="80"/>
              <w:right w:type="dxa" w:w="80"/>
            </w:tcMar>
          </w:tcPr>
          <w:p>
            <w:pPr>
              <w:pStyle w:val="Compact"/>
            </w:pPr>
            <w:r>
              <w:rPr>
                <w:b/>
                <w:bCs/>
                <w:sz w:val="19"/>
                <w:szCs w:val="19"/>
                <w:lang w:val="nl-NL"/>
              </w:rPr>
              <w:t xml:space="preserve">Primair</w:t>
            </w:r>
          </w:p>
        </w:tc>
        <w:tc>
          <w:tcPr>
            <w:tcW w:type="dxa" w:w="1872"/>
            <w:tcMar>
              <w:left w:type="dxa" w:w="80"/>
              <w:right w:type="dxa" w:w="80"/>
            </w:tcMar>
          </w:tcPr>
          <w:p>
            <w:pPr>
              <w:pStyle w:val="Compact"/>
            </w:pPr>
            <w:r>
              <w:rPr>
                <w:sz w:val="19"/>
                <w:szCs w:val="19"/>
                <w:lang w:val="nl-NL"/>
              </w:rPr>
              <w:t xml:space="preserve">Open gewichten: Qwen 3.6 of Mistral [versies nog te bevestigen]</w:t>
            </w:r>
          </w:p>
        </w:tc>
        <w:tc>
          <w:tcPr>
            <w:tcW w:type="dxa" w:w="1872"/>
            <w:tcMar>
              <w:left w:type="dxa" w:w="80"/>
              <w:right w:type="dxa" w:w="80"/>
            </w:tcMar>
          </w:tcPr>
          <w:p>
            <w:pPr>
              <w:pStyle w:val="Compact"/>
            </w:pPr>
            <w:r>
              <w:rPr>
                <w:sz w:val="19"/>
                <w:szCs w:val="19"/>
                <w:lang w:val="nl-NL"/>
              </w:rPr>
              <w:t xml:space="preserve">vLLM-servers beheerd door OHADJA (of infra-client in optie B)</w:t>
            </w:r>
          </w:p>
        </w:tc>
        <w:tc>
          <w:tcPr>
            <w:tcW w:type="dxa" w:w="1872"/>
            <w:tcMar>
              <w:left w:type="dxa" w:w="80"/>
              <w:right w:type="dxa" w:w="80"/>
            </w:tcMar>
          </w:tcPr>
          <w:p>
            <w:pPr>
              <w:pStyle w:val="Compact"/>
            </w:pPr>
            <w:r>
              <w:rPr>
                <w:sz w:val="19"/>
                <w:szCs w:val="19"/>
                <w:lang w:val="nl-NL"/>
              </w:rPr>
              <w:t xml:space="preserve">EU — Straatsburg/Parijs</w:t>
            </w:r>
          </w:p>
        </w:tc>
        <w:tc>
          <w:tcPr>
            <w:tcW w:type="dxa" w:w="1872"/>
            <w:tcMar>
              <w:left w:type="dxa" w:w="80"/>
              <w:right w:type="dxa" w:w="80"/>
            </w:tcMar>
          </w:tcPr>
          <w:p>
            <w:pPr>
              <w:pStyle w:val="Compact"/>
            </w:pPr>
            <w:r>
              <w:rPr>
                <w:sz w:val="19"/>
                <w:szCs w:val="19"/>
                <w:lang w:val="nl-NL"/>
              </w:rPr>
              <w:t xml:space="preserve">Nee</w:t>
            </w:r>
          </w:p>
        </w:tc>
      </w:tr>
      <w:tr>
        <w:trPr>
          <w:cantSplit/>
        </w:trPr>
        <w:tc>
          <w:tcPr>
            <w:tcW w:type="dxa" w:w="1872"/>
            <w:tcMar>
              <w:left w:type="dxa" w:w="80"/>
              <w:right w:type="dxa" w:w="80"/>
            </w:tcMar>
          </w:tcPr>
          <w:p>
            <w:pPr>
              <w:pStyle w:val="Compact"/>
            </w:pPr>
            <w:r>
              <w:rPr>
                <w:b/>
                <w:bCs/>
                <w:sz w:val="19"/>
                <w:szCs w:val="19"/>
                <w:lang w:val="nl-NL"/>
              </w:rPr>
              <w:t xml:space="preserve">Failover</w:t>
            </w:r>
          </w:p>
        </w:tc>
        <w:tc>
          <w:tcPr>
            <w:tcW w:type="dxa" w:w="1872"/>
            <w:tcMar>
              <w:left w:type="dxa" w:w="80"/>
              <w:right w:type="dxa" w:w="80"/>
            </w:tcMar>
          </w:tcPr>
          <w:p>
            <w:pPr>
              <w:pStyle w:val="Compact"/>
            </w:pPr>
            <w:r>
              <w:rPr>
                <w:sz w:val="19"/>
                <w:szCs w:val="19"/>
                <w:lang w:val="nl-NL"/>
              </w:rPr>
              <w:t xml:space="preserve">Claude, GPT...</w:t>
            </w:r>
          </w:p>
        </w:tc>
        <w:tc>
          <w:tcPr>
            <w:tcW w:type="dxa" w:w="1872"/>
            <w:tcMar>
              <w:left w:type="dxa" w:w="80"/>
              <w:right w:type="dxa" w:w="80"/>
            </w:tcMar>
          </w:tcPr>
          <w:p>
            <w:pPr>
              <w:pStyle w:val="Compact"/>
            </w:pPr>
            <w:r>
              <w:rPr>
                <w:sz w:val="19"/>
                <w:szCs w:val="19"/>
                <w:lang w:val="nl-NL"/>
              </w:rPr>
              <w:t xml:space="preserve">via OpenRouter</w:t>
            </w:r>
          </w:p>
        </w:tc>
        <w:tc>
          <w:tcPr>
            <w:tcW w:type="dxa" w:w="1872"/>
            <w:tcMar>
              <w:left w:type="dxa" w:w="80"/>
              <w:right w:type="dxa" w:w="80"/>
            </w:tcMar>
          </w:tcPr>
          <w:p>
            <w:pPr>
              <w:pStyle w:val="Compact"/>
            </w:pPr>
            <w:r>
              <w:rPr>
                <w:sz w:val="19"/>
                <w:szCs w:val="19"/>
                <w:lang w:val="nl-NL"/>
              </w:rPr>
              <w:t xml:space="preserve">Amerikaanse routering mogelijk</w:t>
            </w:r>
          </w:p>
        </w:tc>
        <w:tc>
          <w:tcPr>
            <w:tcW w:type="dxa" w:w="1872"/>
            <w:tcMar>
              <w:left w:type="dxa" w:w="80"/>
              <w:right w:type="dxa" w:w="80"/>
            </w:tcMar>
          </w:tcPr>
          <w:p>
            <w:pPr>
              <w:pStyle w:val="Compact"/>
            </w:pPr>
            <w:r>
              <w:rPr>
                <w:sz w:val="19"/>
                <w:szCs w:val="19"/>
                <w:lang w:val="nl-NL"/>
              </w:rPr>
              <w:t xml:space="preserve">Ja – </w:t>
            </w:r>
            <w:r>
              <w:rPr>
                <w:sz w:val="19"/>
                <w:szCs w:val="19"/>
                <w:lang w:val="nl-NL"/>
              </w:rPr>
              <w:t xml:space="preserve"/>
            </w:r>
            <w:r>
              <w:rPr>
                <w:b/>
                <w:bCs/>
                <w:sz w:val="19"/>
                <w:szCs w:val="19"/>
                <w:lang w:val="nl-NL"/>
              </w:rPr>
              <w:t xml:space="preserve">vermijdbaar </w:t>
            </w:r>
            <w:r>
              <w:rPr>
                <w:sz w:val="19"/>
                <w:szCs w:val="19"/>
                <w:lang w:val="nl-NL"/>
              </w:rPr>
              <w:t xml:space="preserve"/>
            </w:r>
            <w:r>
              <w:rPr>
                <w:sz w:val="19"/>
                <w:szCs w:val="19"/>
                <w:lang w:val="nl-NL"/>
              </w:rPr>
              <w:t xml:space="preserve">(traject dat kan worden overgeslagen, strikt EU-profiel)</w:t>
            </w:r>
          </w:p>
        </w:tc>
      </w:tr>
      <w:tr>
        <w:trPr>
          <w:cantSplit/>
        </w:trPr>
        <w:tc>
          <w:tcPr>
            <w:tcW w:type="dxa" w:w="1872"/>
            <w:tcMar>
              <w:left w:type="dxa" w:w="80"/>
              <w:right w:type="dxa" w:w="80"/>
            </w:tcMar>
          </w:tcPr>
          <w:p>
            <w:pPr>
              <w:pStyle w:val="Compact"/>
            </w:pPr>
            <w:r>
              <w:rPr>
                <w:b/>
                <w:bCs/>
                <w:sz w:val="19"/>
                <w:szCs w:val="19"/>
                <w:lang w:val="nl-NL"/>
              </w:rPr>
              <w:t xml:space="preserve">Per organisatie</w:t>
            </w:r>
          </w:p>
        </w:tc>
        <w:tc>
          <w:tcPr>
            <w:tcW w:type="dxa" w:w="1872"/>
            <w:tcMar>
              <w:left w:type="dxa" w:w="80"/>
              <w:right w:type="dxa" w:w="80"/>
            </w:tcMar>
          </w:tcPr>
          <w:p>
            <w:pPr>
              <w:pStyle w:val="Compact"/>
            </w:pPr>
            <w:r>
              <w:rPr>
                <w:sz w:val="19"/>
                <w:szCs w:val="19"/>
                <w:lang w:val="nl-NL"/>
              </w:rPr>
              <w:t xml:space="preserve">Jouw keuze (sinds v1.7.0)</w:t>
            </w:r>
          </w:p>
        </w:tc>
        <w:tc>
          <w:tcPr>
            <w:tcW w:type="dxa" w:w="1872"/>
            <w:tcMar>
              <w:left w:type="dxa" w:w="80"/>
              <w:right w:type="dxa" w:w="80"/>
            </w:tcMar>
          </w:tcPr>
          <w:p>
            <w:pPr>
              <w:pStyle w:val="Compact"/>
            </w:pPr>
            <w:r>
              <w:rPr>
                <w:sz w:val="19"/>
                <w:szCs w:val="19"/>
                <w:lang w:val="nl-NL"/>
              </w:rPr>
              <w:t xml:space="preserve">Door de organisatie gedefinieerde provider/eindpunt, inclusief zelf-gehost</w:t>
            </w:r>
          </w:p>
        </w:tc>
        <w:tc>
          <w:tcPr>
            <w:tcW w:type="dxa" w:w="1872"/>
            <w:tcMar>
              <w:left w:type="dxa" w:w="80"/>
              <w:right w:type="dxa" w:w="80"/>
            </w:tcMar>
          </w:tcPr>
          <w:p>
            <w:pPr>
              <w:pStyle w:val="Compact"/>
            </w:pPr>
            <w:r>
              <w:rPr>
                <w:sz w:val="19"/>
                <w:szCs w:val="19"/>
                <w:lang w:val="nl-NL"/>
              </w:rPr>
              <w:t xml:space="preserve">Volgens de keuze van de organisatie</w:t>
            </w:r>
          </w:p>
        </w:tc>
        <w:tc>
          <w:tcPr>
            <w:tcW w:type="dxa" w:w="1872"/>
            <w:tcMar>
              <w:left w:type="dxa" w:w="80"/>
              <w:right w:type="dxa" w:w="80"/>
            </w:tcMar>
          </w:tcPr>
          <w:p>
            <w:pPr>
              <w:pStyle w:val="Compact"/>
            </w:pPr>
            <w:r>
              <w:rPr>
                <w:sz w:val="19"/>
                <w:szCs w:val="19"/>
                <w:lang w:val="nl-NL"/>
              </w:rPr>
              <w:t xml:space="preserve">Afhankelijk van de keuze</w:t>
            </w:r>
          </w:p>
        </w:tc>
      </w:tr>
    </w:tbl>
    <w:p>
      <w:pPr>
        <w:pStyle w:val="BlockText"/>
      </w:pPr>
      <w:r>
        <w:rPr>
          <w:b/>
          <w:bCs/>
          <w:lang w:val="nl-NL"/>
        </w:rPr>
        <w:t xml:space="preserve">[WORDEN BEVESTIGD]: </w:t>
      </w:r>
      <w:r>
        <w:rPr>
          <w:lang w:val="nl-NL"/>
        </w:rPr>
        <w:t xml:space="preserve"/>
      </w:r>
      <w:r>
        <w:rPr>
          <w:lang w:val="nl-NL"/>
        </w:rPr>
        <w:t xml:space="preserve">de exacte versies van de modellen met open gewichten (Qwen 3.6 / Mistral) worden vastgelegd bij contractsluiting. De daadwerkelijk voor de Klant geactiveerde leveranciers staan ​​vermeld in DPA Bijlage 2 en zijn onderworpen aan de wijzigingsprocedure (§7).</w:t>
      </w:r>
    </w:p>
    <w:bookmarkEnd w:id="112"/>
    <w:bookmarkStart w:id="113" w:name="X2613d757ec50592d19a7869d075b43d140a05e4"/>
    <w:p>
      <w:pPr>
        <w:pStyle w:val="Heading3"/>
        <w:keepNext/>
        <w:keepLines/>
      </w:pPr>
      <w:r>
        <w:rPr>
          <w:color w:val="000000"/>
          <w:lang w:val="nl-NL"/>
        </w:rPr>
        <w:t xml:space="preserve">2.2 Transcriptie en sprekerdiarisatie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Behandeling</w:t>
            </w:r>
          </w:p>
        </w:tc>
        <w:tc>
          <w:tcPr/>
          <w:p>
            <w:pPr>
              <w:pStyle w:val="Compact"/>
            </w:pPr>
            <w:r>
              <w:rPr>
                <w:lang w:val="nl-NL"/>
              </w:rPr>
              <w:t xml:space="preserve">Technologie</w:t>
            </w:r>
          </w:p>
        </w:tc>
        <w:tc>
          <w:tcPr/>
          <w:p>
            <w:pPr>
              <w:pStyle w:val="Compact"/>
            </w:pPr>
            <w:r>
              <w:rPr>
                <w:lang w:val="nl-NL"/>
              </w:rPr>
              <w:t xml:space="preserve">Uitvoering</w:t>
            </w:r>
          </w:p>
        </w:tc>
      </w:tr>
      <w:tr>
        <w:trPr>
          <w:cantSplit/>
        </w:trPr>
        <w:tc>
          <w:tcPr/>
          <w:p>
            <w:pPr>
              <w:pStyle w:val="Compact"/>
            </w:pPr>
            <w:r>
              <w:rPr>
                <w:lang w:val="nl-NL"/>
              </w:rPr>
              <w:t xml:space="preserve">Transcriptie</w:t>
            </w:r>
          </w:p>
        </w:tc>
        <w:tc>
          <w:tcPr/>
          <w:p>
            <w:pPr>
              <w:pStyle w:val="Compact"/>
            </w:pPr>
            <w:r>
              <w:rPr>
                <w:lang w:val="nl-NL"/>
              </w:rPr>
              <w:t xml:space="preserve">whisperX</w:t>
            </w:r>
          </w:p>
        </w:tc>
        <w:tc>
          <w:tcPr/>
          <w:p>
            <w:pPr>
              <w:pStyle w:val="Compact"/>
            </w:pPr>
            <w:r>
              <w:rPr>
                <w:lang w:val="nl-NL"/>
              </w:rPr>
              <w:t xml:space="preserve">Toegewijde GPU-server (EU indien vereist) of lokale GPU (optie B)</w:t>
            </w:r>
          </w:p>
        </w:tc>
      </w:tr>
      <w:tr>
        <w:trPr>
          <w:cantSplit/>
        </w:trPr>
        <w:tc>
          <w:tcPr/>
          <w:p>
            <w:pPr>
              <w:pStyle w:val="Compact"/>
            </w:pPr>
            <w:r>
              <w:rPr>
                <w:lang w:val="nl-NL"/>
              </w:rPr>
              <w:t xml:space="preserve">Positionele sprekerdiarisatie</w:t>
            </w:r>
          </w:p>
        </w:tc>
        <w:tc>
          <w:tcPr/>
          <w:p>
            <w:pPr>
              <w:pStyle w:val="Compact"/>
            </w:pPr>
            <w:r>
              <w:rPr>
                <w:lang w:val="nl-NL"/>
              </w:rPr>
              <w:t xml:space="preserve">pyannote.audio</w:t>
            </w:r>
          </w:p>
        </w:tc>
        <w:tc>
          <w:tcPr/>
          <w:p>
            <w:pPr>
              <w:pStyle w:val="Compact"/>
            </w:pPr>
            <w:r>
              <w:rPr>
                <w:lang w:val="nl-NL"/>
              </w:rPr>
              <w:t xml:space="preserve">Hetzelfde</w:t>
            </w:r>
          </w:p>
        </w:tc>
      </w:tr>
    </w:tbl>
    <w:bookmarkEnd w:id="113"/>
    <w:bookmarkStart w:id="114" w:name="Xc42de4c5fcd87d5ce39d074dc24454af63f0e5d"/>
    <w:p>
      <w:pPr>
        <w:pStyle w:val="Heading3"/>
        <w:keepNext/>
        <w:keepLines/>
      </w:pPr>
      <w:r>
        <w:rPr>
          <w:color w:val="000000"/>
          <w:lang w:val="nl-NL"/>
        </w:rPr>
        <w:t xml:space="preserve">2.3 LLM-configuratie per organisatie (sinds v1.7.0)</w:t>
      </w:r>
    </w:p>
    <w:p>
      <w:pPr>
        <w:pStyle w:val="FirstParagraph"/>
      </w:pPr>
      <w:r>
        <w:rPr>
          <w:lang w:val="nl-NL"/>
        </w:rPr>
        <w:t xml:space="preserve">Elke organisatie kan zijn eigen provider, sleutel, sjabloon en, indien van toepassing, een </w:t>
      </w:r>
      <w:r>
        <w:rPr>
          <w:lang w:val="nl-NL"/>
        </w:rPr>
        <w:t xml:space="preserve"/>
      </w:r>
      <w:r>
        <w:rPr>
          <w:b/>
          <w:bCs/>
          <w:lang w:val="nl-NL"/>
        </w:rPr>
        <w:t xml:space="preserve">zelf-gehoste URL </w:t>
      </w:r>
      <w:r>
        <w:rPr>
          <w:lang w:val="nl-NL"/>
        </w:rPr>
        <w:t xml:space="preserve">definiëren. Het gedrag is </w:t>
      </w:r>
      <w:r>
        <w:rPr>
          <w:lang w:val="nl-NL"/>
        </w:rPr>
        <w:t xml:space="preserve"/>
      </w:r>
      <w:r>
        <w:rPr>
          <w:b/>
          <w:bCs/>
          <w:lang w:val="nl-NL"/>
        </w:rPr>
        <w:t xml:space="preserve">fail-closed: </w:t>
      </w:r>
      <w:r>
        <w:rPr>
          <w:lang w:val="nl-NL"/>
        </w:rPr>
        <w:t xml:space="preserve"/>
      </w:r>
      <w:r>
        <w:rPr>
          <w:lang w:val="nl-NL"/>
        </w:rPr>
        <w:t xml:space="preserve">een organisatie met eigen configuraties maakt nooit gebruik </w:t>
      </w:r>
      <w:r>
        <w:rPr>
          <w:lang w:val="nl-NL"/>
        </w:rPr>
        <w:t xml:space="preserve"/>
      </w:r>
      <w:r>
        <w:rPr>
          <w:b/>
          <w:bCs/>
          <w:lang w:val="nl-NL"/>
        </w:rPr>
        <w:t xml:space="preserve">van </w:t>
      </w:r>
      <w:r>
        <w:rPr>
          <w:lang w:val="nl-NL"/>
        </w:rPr>
        <w:t xml:space="preserve">de </w:t>
      </w:r>
      <w:r>
        <w:rPr>
          <w:lang w:val="nl-NL"/>
        </w:rPr>
        <w:t xml:space="preserve">platformconfiguraties. De sleutels zijn geïsoleerd, basisgecodeerd en worden nooit opnieuw weergegeven. Zelf-hostende eindpunten worden beschermd </w:t>
      </w:r>
      <w:r>
        <w:rPr>
          <w:lang w:val="nl-NL"/>
        </w:rPr>
        <w:t xml:space="preserve">met </w:t>
      </w:r>
      <w:r>
        <w:rPr>
          <w:b/>
          <w:bCs/>
          <w:lang w:val="nl-NL"/>
        </w:rPr>
        <w:t xml:space="preserve"/>
      </w:r>
      <w:r>
        <w:rPr>
          <w:lang w:val="nl-NL"/>
        </w:rPr>
        <w:t xml:space="preserve"/>
      </w:r>
      <w:r>
        <w:rPr>
          <w:lang w:val="nl-NL"/>
        </w:rPr>
        <w:t xml:space="preserve">anti-SSRF-bewaking (openbare IP-validatie, DNS-pinning, blokkeren van privé-IP's en metadata-adressen).</w:t>
      </w:r>
    </w:p>
    <w:p>
      <w:pPr>
        <w:pStyle w:val="BodyText"/>
      </w:pPr>
      <w:r>
        <w:rPr>
          <w:lang w:val="nl-NL"/>
        </w:rPr>
        <w:t xml:space="preserve">Deze functionaliteit maakt het </w:t>
      </w:r>
      <w:r>
        <w:rPr>
          <w:lang w:val="nl-NL"/>
        </w:rPr>
        <w:t xml:space="preserve"/>
      </w:r>
      <w:r>
        <w:rPr>
          <w:b/>
          <w:bCs/>
          <w:lang w:val="nl-NL"/>
        </w:rPr>
        <w:t xml:space="preserve">‘strikte UE’-profiel </w:t>
      </w:r>
      <w:r>
        <w:rPr>
          <w:lang w:val="nl-NL"/>
        </w:rPr>
        <w:t xml:space="preserve"/>
      </w:r>
      <w:r>
        <w:rPr>
          <w:lang w:val="nl-NL"/>
        </w:rPr>
        <w:t xml:space="preserve">mogelijk (UE of zelf-gehoste LLM) en, in geïsoleerde optie B, werking </w:t>
      </w:r>
      <w:r>
        <w:rPr>
          <w:lang w:val="nl-NL"/>
        </w:rPr>
        <w:t xml:space="preserve">zonder </w:t>
      </w:r>
      <w:r>
        <w:rPr>
          <w:b/>
          <w:bCs/>
          <w:lang w:val="nl-NL"/>
        </w:rPr>
        <w:t xml:space="preserve">enige uitgaande </w:t>
      </w:r>
      <w:r>
        <w:rPr>
          <w:lang w:val="nl-NL"/>
        </w:rPr>
        <w:t xml:space="preserve">AI-stroom.</w:t>
      </w:r>
    </w:p>
    <w:bookmarkEnd w:id="114"/>
    <w:bookmarkEnd w:id="115"/>
    <w:bookmarkStart w:id="116" w:name="X8cea14ac9afff7602f802dbdf16848ddab328ca"/>
    <w:p>
      <w:pPr>
        <w:pStyle w:val="Heading2"/>
        <w:keepNext/>
        <w:keepLines/>
      </w:pPr>
      <w:r>
        <w:rPr>
          <w:color w:val="000000"/>
          <w:lang w:val="nl-NL"/>
        </w:rPr>
        <w:t xml:space="preserve">3. Gegevens verzonden naar elke leverancier</w:t>
      </w:r>
    </w:p>
    <w:p>
      <w:pPr>
        <w:pStyle w:val="Compact"/>
        <w:numPr>
          <w:ilvl w:val="0"/>
          <w:numId w:val="1026"/>
        </w:numPr>
      </w:pPr>
      <w:r>
        <w:rPr>
          <w:lang w:val="nl-NL"/>
        </w:rPr>
        <w:t xml:space="preserve">De gegevens die naar de LLM worden </w:t>
      </w:r>
      <w:r>
        <w:rPr>
          <w:lang w:val="nl-NL"/>
        </w:rPr>
        <w:t xml:space="preserve">verzonden, </w:t>
      </w:r>
      <w:r>
        <w:rPr>
          <w:b/>
          <w:bCs/>
          <w:lang w:val="nl-NL"/>
        </w:rPr>
        <w:t xml:space="preserve">zijn alleen de bronnen die door de gebruiker zijn geselecteerd: </w:t>
      </w:r>
      <w:r>
        <w:rPr>
          <w:lang w:val="nl-NL"/>
        </w:rPr>
        <w:t xml:space="preserve"/>
      </w:r>
      <w:r>
        <w:rPr>
          <w:lang w:val="nl-NL"/>
        </w:rPr>
        <w:t xml:space="preserve">transcripties, documenten, stemmen, metadata, afhankelijk van de geactiveerde functie.</w:t>
      </w:r>
    </w:p>
    <w:p>
      <w:pPr>
        <w:pStyle w:val="Compact"/>
        <w:numPr>
          <w:ilvl w:val="0"/>
          <w:numId w:val="1026"/>
        </w:numPr>
      </w:pPr>
      <w:r>
        <w:rPr>
          <w:b/>
          <w:bCs/>
          <w:lang w:val="nl-NL"/>
        </w:rPr>
        <w:t xml:space="preserve">Minimalisatie: </w:t>
      </w:r>
      <w:r>
        <w:rPr>
          <w:lang w:val="nl-NL"/>
        </w:rPr>
        <w:t xml:space="preserve"/>
      </w:r>
      <w:r>
        <w:rPr>
          <w:lang w:val="nl-NL"/>
        </w:rPr>
        <w:t xml:space="preserve">alleen de bronnen die nodig zijn voor de functie worden in de prompt opgenomen.</w:t>
      </w:r>
    </w:p>
    <w:p>
      <w:pPr>
        <w:pStyle w:val="Compact"/>
        <w:numPr>
          <w:ilvl w:val="0"/>
          <w:numId w:val="1026"/>
        </w:numPr>
      </w:pPr>
      <w:r>
        <w:rPr>
          <w:lang w:val="nl-NL"/>
        </w:rPr>
        <w:t xml:space="preserve">Op het </w:t>
      </w:r>
      <w:r>
        <w:rPr>
          <w:lang w:val="nl-NL"/>
        </w:rPr>
        <w:t xml:space="preserve"/>
      </w:r>
      <w:r>
        <w:rPr>
          <w:b/>
          <w:bCs/>
          <w:lang w:val="nl-NL"/>
        </w:rPr>
        <w:t xml:space="preserve">primaire kanaal (EU vLLM) </w:t>
      </w:r>
      <w:r>
        <w:rPr>
          <w:lang w:val="nl-NL"/>
        </w:rPr>
        <w:t xml:space="preserve">verlaten de gegevens de servers die worden beheerd door OHADJA (of de infrastructuur van de Klant) niet: er heeft </w:t>
      </w:r>
      <w:r>
        <w:rPr>
          <w:lang w:val="nl-NL"/>
        </w:rPr>
        <w:t xml:space="preserve"/>
      </w:r>
      <w:r>
        <w:rPr>
          <w:b/>
          <w:bCs/>
          <w:lang w:val="nl-NL"/>
        </w:rPr>
        <w:t xml:space="preserve">geen derde partij </w:t>
      </w:r>
      <w:r>
        <w:rPr>
          <w:lang w:val="nl-NL"/>
        </w:rPr>
        <w:t xml:space="preserve"/>
      </w:r>
      <w:r>
        <w:rPr>
          <w:lang w:val="nl-NL"/>
        </w:rPr>
        <w:t xml:space="preserve">toegang toe.</w:t>
      </w:r>
    </w:p>
    <w:p>
      <w:pPr>
        <w:pStyle w:val="Compact"/>
        <w:numPr>
          <w:ilvl w:val="0"/>
          <w:numId w:val="1026"/>
        </w:numPr>
      </w:pPr>
      <w:r>
        <w:rPr>
          <w:lang w:val="nl-NL"/>
        </w:rPr>
        <w:t xml:space="preserve">De </w:t>
      </w:r>
      <w:r>
        <w:rPr>
          <w:lang w:val="nl-NL"/>
        </w:rPr>
        <w:t xml:space="preserve"/>
      </w:r>
      <w:r>
        <w:rPr>
          <w:b/>
          <w:bCs/>
          <w:lang w:val="nl-NL"/>
        </w:rPr>
        <w:t xml:space="preserve">gegenereerde </w:t>
      </w:r>
      <w:r>
        <w:rPr>
          <w:lang w:val="nl-NL"/>
        </w:rPr>
        <w:t xml:space="preserve"/>
      </w:r>
      <w:r>
        <w:rPr>
          <w:lang w:val="nl-NL"/>
        </w:rPr>
        <w:t xml:space="preserve">uitvoer wordt bewaard in de tenant </w:t>
      </w:r>
      <w:r>
        <w:rPr>
          <w:lang w:val="nl-NL"/>
        </w:rPr>
        <w:t xml:space="preserve">(</w:t>
      </w:r>
      <w:r>
        <w:rPr>
          <w:rStyle w:val="VerbatimChar"/>
          <w:lang w:val="nl-NL"/>
        </w:rPr>
        <w:t xml:space="preserve">ai_generations</w:t>
      </w:r>
      <w:r>
        <w:rPr>
          <w:lang w:val="nl-NL"/>
        </w:rPr>
        <w:t xml:space="preserve"> tabel), bewerkbaar en onderworpen aan menselijke validatie.</w:t>
      </w:r>
    </w:p>
    <w:p>
      <w:pPr>
        <w:pStyle w:val="Compact"/>
        <w:numPr>
          <w:ilvl w:val="0"/>
          <w:numId w:val="1026"/>
        </w:numPr>
      </w:pPr>
      <w:r>
        <w:rPr>
          <w:lang w:val="nl-NL"/>
        </w:rPr>
        <w:t xml:space="preserve">Er worden geen gegevens naar de LLM verzonden zonder actie van de gebruiker.</w:t>
      </w:r>
    </w:p>
    <w:bookmarkEnd w:id="116"/>
    <w:bookmarkStart w:id="117" w:name="X7e25c68b99894fac1e98cdb2271b9848e9f6f11"/>
    <w:p>
      <w:pPr>
        <w:pStyle w:val="Heading2"/>
        <w:keepNext/>
        <w:keepLines/>
      </w:pPr>
      <w:r>
        <w:rPr>
          <w:color w:val="000000"/>
          <w:lang w:val="nl-NL"/>
        </w:rPr>
        <w:t xml:space="preserve">4. Bewaartermijnen aan de leverancierszijde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Route/aanbieder</w:t>
            </w:r>
          </w:p>
        </w:tc>
        <w:tc>
          <w:tcPr/>
          <w:p>
            <w:pPr>
              <w:pStyle w:val="Compact"/>
            </w:pPr>
            <w:r>
              <w:rPr>
                <w:lang w:val="nl-NL"/>
              </w:rPr>
              <w:t xml:space="preserve">Retentie aan de leverancierskant</w:t>
            </w:r>
          </w:p>
        </w:tc>
        <w:tc>
          <w:tcPr/>
          <w:p>
            <w:pPr>
              <w:pStyle w:val="Compact"/>
            </w:pPr>
            <w:r>
              <w:rPr>
                <w:lang w:val="nl-NL"/>
              </w:rPr>
              <w:t xml:space="preserve">Opleiding</w:t>
            </w:r>
          </w:p>
        </w:tc>
      </w:tr>
      <w:tr>
        <w:trPr>
          <w:cantSplit/>
        </w:trPr>
        <w:tc>
          <w:tcPr/>
          <w:p>
            <w:pPr>
              <w:pStyle w:val="Compact"/>
            </w:pPr>
            <w:r>
              <w:rPr>
                <w:b/>
                <w:bCs/>
                <w:lang w:val="nl-NL"/>
              </w:rPr>
              <w:t xml:space="preserve">Gecontroleerde vLLM-servers (primair kanaal, EU)</w:t>
            </w:r>
          </w:p>
        </w:tc>
        <w:tc>
          <w:tcPr/>
          <w:p>
            <w:pPr>
              <w:pStyle w:val="Compact"/>
            </w:pPr>
            <w:r>
              <w:rPr>
                <w:lang w:val="nl-NL"/>
              </w:rPr>
              <w:t xml:space="preserve">Geen overdracht naar een derde partij; geen externe conservering</w:t>
            </w:r>
          </w:p>
        </w:tc>
        <w:tc>
          <w:tcPr/>
          <w:p>
            <w:pPr>
              <w:pStyle w:val="Compact"/>
            </w:pPr>
            <w:r>
              <w:rPr>
                <w:lang w:val="nl-NL"/>
              </w:rPr>
              <w:t xml:space="preserve">Nee</w:t>
            </w:r>
          </w:p>
        </w:tc>
      </w:tr>
      <w:tr>
        <w:trPr>
          <w:cantSplit/>
        </w:trPr>
        <w:tc>
          <w:tcPr/>
          <w:p>
            <w:pPr>
              <w:pStyle w:val="Compact"/>
            </w:pPr>
            <w:r>
              <w:rPr>
                <w:lang w:val="nl-NL"/>
              </w:rPr>
              <w:t xml:space="preserve">OpenRouter (vluchtroute)</w:t>
            </w:r>
          </w:p>
        </w:tc>
        <w:tc>
          <w:tcPr/>
          <w:p>
            <w:pPr>
              <w:pStyle w:val="Compact"/>
            </w:pPr>
            <w:r>
              <w:rPr>
                <w:lang w:val="nl-NL"/>
              </w:rPr>
              <w:t xml:space="preserve">Geen duurzame opslag; no-train ingeschakeld</w:t>
            </w:r>
          </w:p>
        </w:tc>
        <w:tc>
          <w:tcPr/>
          <w:p>
            <w:pPr>
              <w:pStyle w:val="Compact"/>
            </w:pPr>
            <w:r>
              <w:rPr>
                <w:lang w:val="nl-NL"/>
              </w:rPr>
              <w:t xml:space="preserve">Nee</w:t>
            </w:r>
          </w:p>
        </w:tc>
      </w:tr>
      <w:tr>
        <w:trPr>
          <w:cantSplit/>
        </w:trPr>
        <w:tc>
          <w:tcPr/>
          <w:p>
            <w:pPr>
              <w:pStyle w:val="Compact"/>
            </w:pPr>
            <w:r>
              <w:rPr>
                <w:lang w:val="nl-NL"/>
              </w:rPr>
              <w:t xml:space="preserve">Anthropic / OpenAI (via redding)</w:t>
            </w:r>
          </w:p>
        </w:tc>
        <w:tc>
          <w:tcPr/>
          <w:p>
            <w:pPr>
              <w:pStyle w:val="Compact"/>
            </w:pPr>
            <w:r>
              <w:rPr>
                <w:lang w:val="nl-NL"/>
              </w:rPr>
              <w:t xml:space="preserve">Volgens leverancier DPA — beperkte retentie</w:t>
            </w:r>
          </w:p>
        </w:tc>
        <w:tc>
          <w:tcPr/>
          <w:p>
            <w:pPr>
              <w:pStyle w:val="Compact"/>
            </w:pPr>
            <w:r>
              <w:rPr>
                <w:lang w:val="nl-NL"/>
              </w:rPr>
              <w:t xml:space="preserve">Nee (no-train)</w:t>
            </w:r>
          </w:p>
        </w:tc>
      </w:tr>
      <w:tr>
        <w:trPr>
          <w:cantSplit/>
        </w:trPr>
        <w:tc>
          <w:tcPr/>
          <w:p>
            <w:pPr>
              <w:pStyle w:val="Compact"/>
            </w:pPr>
            <w:r>
              <w:rPr>
                <w:lang w:val="nl-NL"/>
              </w:rPr>
              <w:t xml:space="preserve">Zelf-gehoste LLM (per organisatie)</w:t>
            </w:r>
          </w:p>
        </w:tc>
        <w:tc>
          <w:tcPr/>
          <w:p>
            <w:pPr>
              <w:pStyle w:val="Compact"/>
            </w:pPr>
            <w:r>
              <w:rPr>
                <w:lang w:val="nl-NL"/>
              </w:rPr>
              <w:t xml:space="preserve">Volgens het beleid van de klant (eindpunt onder zijn controle)</w:t>
            </w:r>
          </w:p>
        </w:tc>
        <w:tc>
          <w:tcPr/>
          <w:p>
            <w:pPr>
              <w:pStyle w:val="Compact"/>
            </w:pPr>
            <w:r>
              <w:rPr>
                <w:lang w:val="nl-NL"/>
              </w:rPr>
              <w:t xml:space="preserve">Volgens de Klant</w:t>
            </w:r>
          </w:p>
        </w:tc>
      </w:tr>
    </w:tbl>
    <w:p>
      <w:pPr>
        <w:pStyle w:val="BlockText"/>
      </w:pPr>
      <w:r>
        <w:rPr>
          <w:b/>
          <w:bCs/>
          <w:lang w:val="nl-NL"/>
        </w:rPr>
        <w:t xml:space="preserve">[IN TE VULLEN door de leverancier]: </w:t>
      </w:r>
      <w:r>
        <w:rPr>
          <w:lang w:val="nl-NL"/>
        </w:rPr>
        <w:t xml:space="preserve"/>
      </w:r>
      <w:r>
        <w:rPr>
          <w:lang w:val="nl-NL"/>
        </w:rPr>
        <w:t xml:space="preserve">de exacte bewaartermijnen aan de Anthropic- en OpenAI-zijde (alleen noodroutes) worden vastgesteld door hun respectievelijke DPA's (overgangsretentie voor misbruik/beveiliging, no-train). Leverancier per leverancier aan te geven alvorens een contract te sluiten.</w:t>
      </w:r>
    </w:p>
    <w:bookmarkEnd w:id="117"/>
    <w:bookmarkStart w:id="118" w:name="X76a0388a0a75e5cd732825608b5174151bb52b1"/>
    <w:p>
      <w:pPr>
        <w:pStyle w:val="Heading2"/>
        <w:keepNext/>
        <w:keepLines/>
      </w:pPr>
      <w:r>
        <w:rPr>
          <w:color w:val="000000"/>
          <w:lang w:val="nl-NL"/>
        </w:rPr>
        <w:t xml:space="preserve">5. Mogelijke menselijke toegang</w:t>
      </w:r>
    </w:p>
    <w:p>
      <w:pPr>
        <w:pStyle w:val="Compact"/>
        <w:numPr>
          <w:ilvl w:val="0"/>
          <w:numId w:val="1027"/>
        </w:numPr>
      </w:pPr>
      <w:r>
        <w:rPr>
          <w:b/>
          <w:bCs/>
          <w:lang w:val="nl-NL"/>
        </w:rPr>
        <w:t xml:space="preserve">OHADJA-zijde: </w:t>
      </w:r>
      <w:r>
        <w:rPr>
          <w:lang w:val="nl-NL"/>
        </w:rPr>
        <w:t xml:space="preserve"/>
      </w:r>
      <w:r>
        <w:rPr>
          <w:lang w:val="nl-NL"/>
        </w:rPr>
        <w:t xml:space="preserve"/>
      </w:r>
      <w:r>
        <w:rPr>
          <w:lang w:val="nl-NL"/>
        </w:rPr>
        <w:t xml:space="preserve"/>
      </w:r>
      <w:r>
        <w:rPr>
          <w:b/>
          <w:bCs/>
          <w:lang w:val="nl-NL"/>
        </w:rPr>
        <w:t xml:space="preserve">geen </w:t>
      </w:r>
      <w:r>
        <w:rPr>
          <w:lang w:val="nl-NL"/>
        </w:rPr>
        <w:t xml:space="preserve"/>
      </w:r>
      <w:r>
        <w:rPr>
          <w:lang w:val="nl-NL"/>
        </w:rPr>
        <w:t xml:space="preserve">menselijke toegang tot aanwijzingen. De aanwijzingen worden automatisch door de applicatie gemaakt en verzonden.</w:t>
      </w:r>
    </w:p>
    <w:p>
      <w:pPr>
        <w:pStyle w:val="Compact"/>
        <w:numPr>
          <w:ilvl w:val="0"/>
          <w:numId w:val="1027"/>
        </w:numPr>
      </w:pPr>
      <w:r>
        <w:rPr>
          <w:b/>
          <w:bCs/>
          <w:lang w:val="nl-NL"/>
        </w:rPr>
        <w:t xml:space="preserve">Leverancierskant: </w:t>
      </w:r>
      <w:r>
        <w:rPr>
          <w:lang w:val="nl-NL"/>
        </w:rPr>
        <w:t xml:space="preserve"/>
      </w:r>
      <w:r>
        <w:rPr>
          <w:lang w:val="nl-NL"/>
        </w:rPr>
        <w:t xml:space="preserve">gereguleerd door de DPA van de leverancier (toegang beperkt voor beveiligings-/misbruikdoeleinden, zonder training).</w:t>
      </w:r>
    </w:p>
    <w:bookmarkEnd w:id="118"/>
    <w:bookmarkStart w:id="119" w:name="X2d6d1fb352eec63ee42824fb7c8bbef9df44f01"/>
    <w:p>
      <w:pPr>
        <w:pStyle w:val="Heading2"/>
        <w:keepNext/>
        <w:keepLines/>
      </w:pPr>
      <w:r>
        <w:rPr>
          <w:color w:val="000000"/>
          <w:lang w:val="nl-NL"/>
        </w:rPr>
        <w:t xml:space="preserve">6. Garanties tegen niet-training en niet-hergebruik</w:t>
      </w:r>
    </w:p>
    <w:p>
      <w:pPr>
        <w:pStyle w:val="Compact"/>
        <w:numPr>
          <w:ilvl w:val="0"/>
          <w:numId w:val="1028"/>
        </w:numPr>
      </w:pPr>
      <w:r>
        <w:rPr>
          <w:b/>
          <w:bCs/>
          <w:lang w:val="nl-NL"/>
        </w:rPr>
        <w:t xml:space="preserve">Primair kanaal (EU </w:t>
      </w:r>
      <w:r>
        <w:rPr>
          <w:lang w:val="nl-NL"/>
        </w:rPr>
        <w:t xml:space="preserve">vLLM): </w:t>
      </w:r>
      <w:r>
        <w:rPr>
          <w:lang w:val="nl-NL"/>
        </w:rPr>
        <w:t xml:space="preserve"/>
      </w:r>
      <w:r>
        <w:rPr>
          <w:lang w:val="nl-NL"/>
        </w:rPr>
        <w:t xml:space="preserve"/>
      </w:r>
      <w:r>
        <w:rPr>
          <w:b/>
          <w:bCs/>
          <w:lang w:val="nl-NL"/>
        </w:rPr>
        <w:t xml:space="preserve">open-weight-modellen </w:t>
      </w:r>
      <w:r>
        <w:rPr>
          <w:lang w:val="nl-NL"/>
        </w:rPr>
        <w:t xml:space="preserve"/>
      </w:r>
      <w:r>
        <w:rPr>
          <w:lang w:val="nl-NL"/>
        </w:rPr>
        <w:t xml:space="preserve">uitgevoerd op gecontroleerde servers; Prompts worden </w:t>
      </w:r>
      <w:r>
        <w:rPr>
          <w:lang w:val="nl-NL"/>
        </w:rPr>
        <w:t xml:space="preserve">niet </w:t>
      </w:r>
      <w:r>
        <w:rPr>
          <w:b/>
          <w:bCs/>
          <w:lang w:val="nl-NL"/>
        </w:rPr>
        <w:t xml:space="preserve"/>
      </w:r>
      <w:r>
        <w:rPr>
          <w:lang w:val="nl-NL"/>
        </w:rPr>
        <w:t xml:space="preserve"/>
      </w:r>
      <w:r>
        <w:rPr>
          <w:lang w:val="nl-NL"/>
        </w:rPr>
        <w:t xml:space="preserve">gebruikt om modellen te trainen en worden niet doorgegeven </w:t>
      </w:r>
      <w:r>
        <w:rPr>
          <w:lang w:val="nl-NL"/>
        </w:rPr>
        <w:t xml:space="preserve"/>
      </w:r>
      <w:r>
        <w:rPr>
          <w:b/>
          <w:bCs/>
          <w:lang w:val="nl-NL"/>
        </w:rPr>
        <w:t xml:space="preserve">aan </w:t>
      </w:r>
      <w:r>
        <w:rPr>
          <w:lang w:val="nl-NL"/>
        </w:rPr>
        <w:t xml:space="preserve">derden.</w:t>
      </w:r>
    </w:p>
    <w:p>
      <w:pPr>
        <w:pStyle w:val="Compact"/>
        <w:numPr>
          <w:ilvl w:val="0"/>
          <w:numId w:val="1028"/>
        </w:numPr>
      </w:pPr>
      <w:r>
        <w:rPr>
          <w:b/>
          <w:bCs/>
          <w:lang w:val="nl-NL"/>
        </w:rPr>
        <w:t xml:space="preserve">Noodroute: </w:t>
      </w:r>
      <w:r>
        <w:rPr>
          <w:lang w:val="nl-NL"/>
        </w:rPr>
        <w:t xml:space="preserve">vlag </w:t>
      </w:r>
      <w:r>
        <w:rPr>
          <w:lang w:val="nl-NL"/>
        </w:rPr>
        <w:t xml:space="preserve"/>
      </w:r>
      <w:r>
        <w:rPr>
          <w:lang w:val="nl-NL"/>
        </w:rPr>
        <w:t xml:space="preserve"/>
      </w:r>
      <w:r>
        <w:rPr>
          <w:b/>
          <w:bCs/>
          <w:lang w:val="nl-NL"/>
        </w:rPr>
        <w:t xml:space="preserve">'no-train' </w:t>
      </w:r>
      <w:r>
        <w:rPr>
          <w:lang w:val="nl-NL"/>
        </w:rPr>
        <w:t xml:space="preserve"/>
      </w:r>
      <w:r>
        <w:rPr>
          <w:lang w:val="nl-NL"/>
        </w:rPr>
        <w:t xml:space="preserve">geactiveerd bij de OpenRouter-gateway.</w:t>
      </w:r>
    </w:p>
    <w:p>
      <w:pPr>
        <w:pStyle w:val="Compact"/>
        <w:numPr>
          <w:ilvl w:val="0"/>
          <w:numId w:val="1028"/>
        </w:numPr>
      </w:pPr>
      <w:r>
        <w:rPr>
          <w:lang w:val="nl-NL"/>
        </w:rPr>
        <w:t xml:space="preserve">Contractuele verplichting tot niet-training opgenomen in de </w:t>
      </w:r>
      <w:r>
        <w:rPr>
          <w:lang w:val="nl-NL"/>
        </w:rPr>
        <w:t xml:space="preserve"/>
      </w:r>
      <w:r>
        <w:rPr>
          <w:b/>
          <w:bCs/>
          <w:lang w:val="nl-NL"/>
        </w:rPr>
        <w:t xml:space="preserve">DPA (bijlage 3 §8): </w:t>
      </w:r>
      <w:r>
        <w:rPr>
          <w:lang w:val="nl-NL"/>
        </w:rPr>
        <w:t xml:space="preserve"/>
      </w:r>
      <w:r>
        <w:rPr>
          <w:lang w:val="nl-NL"/>
        </w:rPr>
        <w:t xml:space="preserve">de gegevens die naar de verwerkers IA worden verzonden, worden door OHADJA niet gebruikt om zijn eigen modellen te trainen, tenzij uitdrukkelijk en afzonderlijk geïnstrueerd door de Klant.</w:t>
      </w:r>
    </w:p>
    <w:p>
      <w:pPr>
        <w:pStyle w:val="Compact"/>
        <w:numPr>
          <w:ilvl w:val="0"/>
          <w:numId w:val="1028"/>
        </w:numPr>
      </w:pPr>
      <w:r>
        <w:rPr>
          <w:lang w:val="nl-NL"/>
        </w:rPr>
        <w:t xml:space="preserve">Geen hergebruik van inhoud voor andere doeleinden dan de uitvoering van het verzoek van de Klant.</w:t>
      </w:r>
    </w:p>
    <w:bookmarkEnd w:id="119"/>
    <w:bookmarkStart w:id="120" w:name="Xbbcbe0aef55d7b3e216a9333077b0de9e5a8f3f"/>
    <w:p>
      <w:pPr>
        <w:pStyle w:val="Heading2"/>
        <w:keepNext/>
        <w:keepLines/>
      </w:pPr>
      <w:r>
        <w:rPr>
          <w:color w:val="000000"/>
          <w:lang w:val="nl-NL"/>
        </w:rPr>
        <w:t xml:space="preserve">7. Modaliteiten voor het veranderen van model/leverancier</w:t>
      </w:r>
    </w:p>
    <w:p>
      <w:pPr>
        <w:pStyle w:val="Compact"/>
        <w:numPr>
          <w:ilvl w:val="0"/>
          <w:numId w:val="1029"/>
        </w:numPr>
      </w:pPr>
      <w:r>
        <w:rPr>
          <w:lang w:val="nl-NL"/>
        </w:rPr>
        <w:t xml:space="preserve">De verandering van model of leverancier kan door het platform </w:t>
      </w:r>
      <w:r>
        <w:rPr>
          <w:lang w:val="nl-NL"/>
        </w:rPr>
        <w:t xml:space="preserve"/>
      </w:r>
      <w:r>
        <w:rPr>
          <w:b/>
          <w:bCs/>
          <w:lang w:val="nl-NL"/>
        </w:rPr>
        <w:t xml:space="preserve">of door de </w:t>
      </w:r>
      <w:r>
        <w:rPr>
          <w:lang w:val="nl-NL"/>
        </w:rPr>
        <w:t xml:space="preserve"/>
      </w:r>
      <w:r>
        <w:rPr>
          <w:lang w:val="nl-NL"/>
        </w:rPr>
        <w:t xml:space="preserve">organisatie </w:t>
      </w:r>
      <w:r>
        <w:rPr>
          <w:lang w:val="nl-NL"/>
        </w:rPr>
        <w:t xml:space="preserve"/>
      </w:r>
      <w:r>
        <w:rPr>
          <w:b/>
          <w:bCs/>
          <w:lang w:val="nl-NL"/>
        </w:rPr>
        <w:t xml:space="preserve">worden doorgevoerd </w:t>
      </w:r>
      <w:r>
        <w:rPr>
          <w:lang w:val="nl-NL"/>
        </w:rPr>
        <w:t xml:space="preserve"/>
      </w:r>
      <w:r>
        <w:rPr>
          <w:lang w:val="nl-NL"/>
        </w:rPr>
        <w:t xml:space="preserve">(LLM-configuratie per organisatie).</w:t>
      </w:r>
    </w:p>
    <w:p>
      <w:pPr>
        <w:pStyle w:val="Compact"/>
        <w:numPr>
          <w:ilvl w:val="0"/>
          <w:numId w:val="1029"/>
        </w:numPr>
      </w:pPr>
      <w:r>
        <w:rPr>
          <w:lang w:val="nl-NL"/>
        </w:rPr>
        <w:t xml:space="preserve">Voor </w:t>
      </w:r>
      <w:r>
        <w:rPr>
          <w:lang w:val="nl-NL"/>
        </w:rPr>
        <w:t xml:space="preserve"/>
      </w:r>
      <w:r>
        <w:rPr>
          <w:b/>
          <w:bCs/>
          <w:lang w:val="nl-NL"/>
        </w:rPr>
        <w:t xml:space="preserve">elke toevoeging of vervanging </w:t>
      </w:r>
      <w:r>
        <w:rPr>
          <w:lang w:val="nl-NL"/>
        </w:rPr>
        <w:t xml:space="preserve"/>
      </w:r>
      <w:r>
        <w:rPr>
          <w:lang w:val="nl-NL"/>
        </w:rPr>
        <w:t xml:space="preserve">van een leverancier op platformniveau geldt een </w:t>
      </w:r>
      <w:r>
        <w:rPr>
          <w:lang w:val="nl-NL"/>
        </w:rPr>
        <w:t xml:space="preserve"/>
      </w:r>
      <w:r>
        <w:rPr>
          <w:b/>
          <w:bCs/>
          <w:lang w:val="nl-NL"/>
        </w:rPr>
        <w:t xml:space="preserve">opzegtermijn van 30 dagen + het recht van bezwaar </w:t>
      </w:r>
      <w:r>
        <w:rPr>
          <w:lang w:val="nl-NL"/>
        </w:rPr>
        <w:t xml:space="preserve"/>
      </w:r>
      <w:r>
        <w:rPr>
          <w:lang w:val="nl-NL"/>
        </w:rPr>
        <w:t xml:space="preserve">van de Klant (DPA §6).</w:t>
      </w:r>
    </w:p>
    <w:p>
      <w:pPr>
        <w:pStyle w:val="Compact"/>
        <w:numPr>
          <w:ilvl w:val="0"/>
          <w:numId w:val="1029"/>
        </w:numPr>
      </w:pPr>
      <w:r>
        <w:rPr>
          <w:lang w:val="nl-NL"/>
        </w:rPr>
        <w:t xml:space="preserve">De Klant kan op elk moment </w:t>
      </w:r>
      <w:r>
        <w:rPr>
          <w:lang w:val="nl-NL"/>
        </w:rPr>
        <w:t xml:space="preserve"/>
      </w:r>
      <w:r>
        <w:rPr>
          <w:b/>
          <w:bCs/>
          <w:lang w:val="nl-NL"/>
        </w:rPr>
        <w:t xml:space="preserve">zijn eigen </w:t>
      </w:r>
      <w:r>
        <w:rPr>
          <w:lang w:val="nl-NL"/>
        </w:rPr>
        <w:t xml:space="preserve"/>
      </w:r>
      <w:r>
        <w:rPr>
          <w:lang w:val="nl-NL"/>
        </w:rPr>
        <w:t xml:space="preserve">provider kiezen via configuratie per organisatie, inclusief een zelfgehoste LLM.</w:t>
      </w:r>
    </w:p>
    <w:bookmarkEnd w:id="120"/>
    <w:bookmarkStart w:id="121" w:name="Xd7f952ce444fe0cff542caac7e328f2beb9cd73"/>
    <w:p>
      <w:pPr>
        <w:pStyle w:val="Heading2"/>
        <w:keepNext/>
        <w:keepLines/>
      </w:pPr>
      <w:r>
        <w:rPr>
          <w:color w:val="000000"/>
          <w:lang w:val="nl-NL"/>
        </w:rPr>
        <w:t xml:space="preserve">8. Uitvoertransparantie</w:t>
      </w:r>
    </w:p>
    <w:p>
      <w:pPr>
        <w:pStyle w:val="Compact"/>
        <w:numPr>
          <w:ilvl w:val="0"/>
          <w:numId w:val="1030"/>
        </w:numPr>
      </w:pPr>
      <w:r>
        <w:rPr>
          <w:lang w:val="nl-NL"/>
        </w:rPr>
        <w:t xml:space="preserve">AI-uitvoer wordt </w:t>
      </w:r>
      <w:r>
        <w:rPr>
          <w:lang w:val="nl-NL"/>
        </w:rPr>
        <w:t xml:space="preserve"/>
      </w:r>
      <w:r>
        <w:rPr>
          <w:b/>
          <w:bCs/>
          <w:lang w:val="nl-NL"/>
        </w:rPr>
        <w:t xml:space="preserve">opgeslagen in de tenant </w:t>
      </w:r>
      <w:r>
        <w:rPr>
          <w:lang w:val="nl-NL"/>
        </w:rPr>
        <w:t xml:space="preserve">van </w:t>
      </w:r>
      <w:r>
        <w:rPr>
          <w:lang w:val="nl-NL"/>
        </w:rPr>
        <w:t xml:space="preserve">de klant.</w:t>
      </w:r>
    </w:p>
    <w:p>
      <w:pPr>
        <w:pStyle w:val="Compact"/>
        <w:numPr>
          <w:ilvl w:val="0"/>
          <w:numId w:val="1030"/>
        </w:numPr>
      </w:pPr>
      <w:r>
        <w:rPr>
          <w:lang w:val="nl-NL"/>
        </w:rPr>
        <w:t xml:space="preserve">Ze kunnen </w:t>
      </w:r>
      <w:r>
        <w:rPr>
          <w:lang w:val="nl-NL"/>
        </w:rPr>
        <w:t xml:space="preserve"/>
      </w:r>
      <w:r>
        <w:rPr>
          <w:b/>
          <w:bCs/>
          <w:lang w:val="nl-NL"/>
        </w:rPr>
        <w:t xml:space="preserve">worden bewerkt </w:t>
      </w:r>
      <w:r>
        <w:rPr>
          <w:lang w:val="nl-NL"/>
        </w:rPr>
        <w:t xml:space="preserve"/>
      </w:r>
      <w:r>
        <w:rPr>
          <w:lang w:val="nl-NL"/>
        </w:rPr>
        <w:t xml:space="preserve">door geautoriseerde gebruikers.</w:t>
      </w:r>
    </w:p>
    <w:p>
      <w:pPr>
        <w:pStyle w:val="Compact"/>
        <w:numPr>
          <w:ilvl w:val="0"/>
          <w:numId w:val="1030"/>
        </w:numPr>
      </w:pPr>
      <w:r>
        <w:rPr>
          <w:lang w:val="nl-NL"/>
        </w:rPr>
        <w:t xml:space="preserve">Ze zijn onderworpen aan </w:t>
      </w:r>
      <w:r>
        <w:rPr>
          <w:lang w:val="nl-NL"/>
        </w:rPr>
        <w:t xml:space="preserve"/>
      </w:r>
      <w:r>
        <w:rPr>
          <w:b/>
          <w:bCs/>
          <w:lang w:val="nl-NL"/>
        </w:rPr>
        <w:t xml:space="preserve">menselijke validatie </w:t>
      </w:r>
      <w:r>
        <w:rPr>
          <w:lang w:val="nl-NL"/>
        </w:rPr>
        <w:t xml:space="preserve"/>
      </w:r>
      <w:r>
        <w:rPr>
          <w:lang w:val="nl-NL"/>
        </w:rPr>
        <w:t xml:space="preserve">voordat ze worden bewaard (in het bijzonder voor suggesties voor sprekeridentificatie, zie OHA-RGPD-07).</w:t>
      </w:r>
    </w:p>
    <w:p>
      <w:pPr>
        <w:pStyle w:val="Compact"/>
        <w:numPr>
          <w:ilvl w:val="0"/>
          <w:numId w:val="1030"/>
        </w:numPr>
      </w:pPr>
      <w:r>
        <w:rPr>
          <w:lang w:val="nl-NL"/>
        </w:rPr>
        <w:t xml:space="preserve">Geen enkele beslissing met rechtsgevolgen wordt op volledig geautomatiseerde wijze door het platform genomen.</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121"/>
    <w:bookmarkEnd w:id="122"/>
    <w:bookmarkStart w:id="139" w:name="X60112580242ccd233cbd012b1ec70b56adebcf6"/>
    <w:p>
      <w:pPr>
        <w:pStyle w:val="Heading1"/>
        <w:keepNext/>
        <w:keepLines/>
      </w:pPr>
      <w:r>
        <w:rPr>
          <w:color w:val="000000"/>
          <w:lang w:val="nl-NL"/>
        </w:rPr>
        <w:t xml:space="preserve">Analyse Technische noot AVG — Luidsprekeridentificatie en stemcorrelatie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OHA-RGPD-07</w:t>
            </w:r>
          </w:p>
        </w:tc>
      </w:tr>
      <w:tr>
        <w:trPr>
          <w:cantSplit/>
        </w:trPr>
        <w:tc>
          <w:tcPr/>
          <w:p>
            <w:pPr>
              <w:pStyle w:val="Compact"/>
            </w:pPr>
            <w:r>
              <w:rPr>
                <w:lang w:val="nl-NL"/>
              </w:rPr>
              <w:t xml:space="preserve">Doel</w:t>
            </w:r>
          </w:p>
        </w:tc>
        <w:tc>
          <w:tcPr/>
          <w:p>
            <w:pPr>
              <w:pStyle w:val="Compact"/>
            </w:pPr>
            <w:r>
              <w:rPr>
                <w:lang w:val="nl-NL"/>
              </w:rPr>
              <w:t xml:space="preserve">AVG analyse van sprekerdiarisatie, handmatige attributie en kortstondige stemcorrelatie</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123" w:name="sommaire"/>
    <w:p>
      <w:pPr>
        <w:pStyle w:val="Heading2"/>
        <w:keepNext/>
        <w:keepLines/>
      </w:pPr>
      <w:r>
        <w:rPr>
          <w:color w:val="000000"/>
          <w:lang w:val="nl-NL"/>
        </w:rPr>
        <w:t xml:space="preserve">Samenvatting</w:t>
      </w:r>
    </w:p>
    <w:p>
      <w:pPr>
        <w:pStyle w:val="Compact"/>
        <w:numPr>
          <w:ilvl w:val="0"/>
          <w:numId w:val="1031"/>
        </w:numPr>
      </w:pPr>
      <w:r>
        <w:rPr>
          <w:lang w:val="nl-NL"/>
        </w:rPr>
        <w:t xml:space="preserve">Betrokken context en functionaliteiten</w:t>
      </w:r>
    </w:p>
    <w:p>
      <w:pPr>
        <w:pStyle w:val="Compact"/>
        <w:numPr>
          <w:ilvl w:val="0"/>
          <w:numId w:val="1031"/>
        </w:numPr>
      </w:pPr>
      <w:r>
        <w:rPr>
          <w:lang w:val="nl-NL"/>
        </w:rPr>
        <w:t xml:space="preserve">Nauwkeurige technische beschrijving</w:t>
      </w:r>
    </w:p>
    <w:p>
      <w:pPr>
        <w:pStyle w:val="Compact"/>
        <w:numPr>
          <w:ilvl w:val="0"/>
          <w:numId w:val="1031"/>
        </w:numPr>
      </w:pPr>
      <w:r>
        <w:rPr>
          <w:lang w:val="nl-NL"/>
        </w:rPr>
        <w:t xml:space="preserve">Juridische analyse (artikelen 4.14 en 9 AVG)</w:t>
      </w:r>
    </w:p>
    <w:p>
      <w:pPr>
        <w:pStyle w:val="Compact"/>
        <w:numPr>
          <w:ilvl w:val="0"/>
          <w:numId w:val="1031"/>
        </w:numPr>
      </w:pPr>
      <w:r>
        <w:rPr>
          <w:lang w:val="nl-NL"/>
        </w:rPr>
        <w:t xml:space="preserve">Kader geplaatst</w:t>
      </w:r>
    </w:p>
    <w:p>
      <w:pPr>
        <w:pStyle w:val="Compact"/>
        <w:numPr>
          <w:ilvl w:val="0"/>
          <w:numId w:val="1031"/>
        </w:numPr>
      </w:pPr>
      <w:r>
        <w:rPr>
          <w:lang w:val="nl-NL"/>
        </w:rPr>
        <w:t xml:space="preserve">Specifieke technische en organisatorische maatregelen</w:t>
      </w:r>
    </w:p>
    <w:p>
      <w:pPr>
        <w:pStyle w:val="Compact"/>
        <w:numPr>
          <w:ilvl w:val="0"/>
          <w:numId w:val="1031"/>
        </w:numPr>
      </w:pPr>
      <w:r>
        <w:rPr>
          <w:lang w:val="nl-NL"/>
        </w:rPr>
        <w:t xml:space="preserve">Beperkingen en aanbevelingen op verwerkingsverantwoordelijke</w:t>
      </w:r>
    </w:p>
    <w:p>
      <w:r>
        <w:pict>
          <v:rect style="width:0;height:1.5pt" o:hralign="center" o:hrstd="t" o:hr="t"/>
        </w:pict>
      </w:r>
    </w:p>
    <w:bookmarkEnd w:id="123"/>
    <w:bookmarkStart w:id="127" w:name="X2eef3329d32e5831a22b5ff6ee8d5d9ac74e61a"/>
    <w:p>
      <w:pPr>
        <w:pStyle w:val="Heading2"/>
        <w:keepNext/>
        <w:keepLines/>
      </w:pPr>
      <w:r>
        <w:rPr>
          <w:color w:val="000000"/>
          <w:lang w:val="nl-NL"/>
        </w:rPr>
        <w:t xml:space="preserve">1. Context en betrokken functionaliteiten</w:t>
      </w:r>
    </w:p>
    <w:p>
      <w:pPr>
        <w:pStyle w:val="FirstParagraph"/>
      </w:pPr>
      <w:r>
        <w:rPr>
          <w:lang w:val="nl-NL"/>
        </w:rPr>
        <w:t xml:space="preserve">TranscribIA implementeert de identificatie van belanghebbenden door middel </w:t>
      </w:r>
      <w:r>
        <w:rPr>
          <w:lang w:val="nl-NL"/>
        </w:rPr>
        <w:t xml:space="preserve"/>
      </w:r>
      <w:r>
        <w:rPr>
          <w:b/>
          <w:bCs/>
          <w:lang w:val="nl-NL"/>
        </w:rPr>
        <w:t xml:space="preserve">van drie verschillende processen, </w:t>
      </w:r>
      <w:r>
        <w:rPr>
          <w:lang w:val="nl-NL"/>
        </w:rPr>
        <w:t xml:space="preserve">waarvan het raamwerk AVG verschilt. Het is essentieel om ze niet te verwarren.</w:t>
      </w:r>
    </w:p>
    <w:bookmarkStart w:id="124" w:name="Xfc860c796c8e649ab4456ed892617adad2d30ce"/>
    <w:p>
      <w:pPr>
        <w:pStyle w:val="Heading3"/>
        <w:keepNext/>
        <w:keepLines/>
      </w:pPr>
      <w:r>
        <w:rPr>
          <w:color w:val="000000"/>
          <w:lang w:val="nl-NL"/>
        </w:rPr>
        <w:t xml:space="preserve">1.1 Automatische positionele sprekerdiarisatie</w:t>
      </w:r>
    </w:p>
    <w:p>
      <w:pPr>
        <w:pStyle w:val="FirstParagraph"/>
      </w:pPr>
      <w:r>
        <w:rPr>
          <w:lang w:val="nl-NL"/>
        </w:rPr>
        <w:t xml:space="preserve">Bij ontvangst van een audiobestand levert diarisatie door </w:t>
      </w:r>
      <w:r>
        <w:rPr>
          <w:lang w:val="nl-NL"/>
        </w:rPr>
        <w:t xml:space="preserve"/>
      </w:r>
      <w:r>
        <w:rPr>
          <w:rStyle w:val="VerbatimChar"/>
          <w:lang w:val="nl-NL"/>
        </w:rPr>
        <w:t xml:space="preserve">pyannote.audio</w:t>
      </w:r>
      <w:r>
        <w:rPr>
          <w:lang w:val="nl-NL"/>
        </w:rPr>
        <w:t xml:space="preserve"> </w:t>
      </w:r>
      <w:r>
        <w:rPr>
          <w:lang w:val="nl-NL"/>
        </w:rPr>
        <w:t xml:space="preserve">positionele labels </w:t>
      </w:r>
      <w:r>
        <w:rPr>
          <w:lang w:val="nl-NL"/>
        </w:rPr>
        <w:t xml:space="preserve"/>
      </w:r>
      <w:r>
        <w:rPr>
          <w:b/>
          <w:bCs/>
          <w:lang w:val="nl-NL"/>
        </w:rPr>
        <w:t xml:space="preserve">(‘Speaker 1’, ‘Speaker 2’…) op die </w:t>
      </w:r>
      <w:r>
        <w:rPr>
          <w:lang w:val="nl-NL"/>
        </w:rPr>
        <w:t xml:space="preserve">aangeven </w:t>
      </w:r>
      <w:r>
        <w:rPr>
          <w:lang w:val="nl-NL"/>
        </w:rPr>
        <w:t xml:space="preserve">welke segmenten aan dezelfde spreker zijn toegewezen, zonder diens naam weer te geven. Deze labels blijven persoonsgegevens </w:t>
      </w:r>
      <w:r>
        <w:rPr>
          <w:lang w:val="nl-NL"/>
        </w:rPr>
        <w:t xml:space="preserve">als </w:t>
      </w:r>
      <w:r>
        <w:rPr>
          <w:b/>
          <w:bCs/>
          <w:lang w:val="nl-NL"/>
        </w:rPr>
        <w:t xml:space="preserve">de </w:t>
      </w:r>
      <w:r>
        <w:rPr>
          <w:lang w:val="nl-NL"/>
        </w:rPr>
        <w:t xml:space="preserve"/>
      </w:r>
      <w:r>
        <w:rPr>
          <w:lang w:val="nl-NL"/>
        </w:rPr>
        <w:t xml:space="preserve">spreker identificeerbaar </w:t>
      </w:r>
      <w:r>
        <w:rPr>
          <w:lang w:val="nl-NL"/>
        </w:rPr>
        <w:t xml:space="preserve"/>
      </w:r>
      <w:r>
        <w:rPr>
          <w:b/>
          <w:bCs/>
          <w:lang w:val="nl-NL"/>
        </w:rPr>
        <w:t xml:space="preserve">is. </w:t>
      </w:r>
      <w:r>
        <w:rPr>
          <w:lang w:val="nl-NL"/>
        </w:rPr>
        <w:t xml:space="preserve"/>
      </w:r>
      <w:r>
        <w:rPr>
          <w:lang w:val="nl-NL"/>
        </w:rPr>
        <w:t xml:space="preserve">Volgens de gedocumenteerde configuratie wordt geen stemsjabloon bewaard na verwerking van de taak.</w:t>
      </w:r>
    </w:p>
    <w:bookmarkEnd w:id="124"/>
    <w:bookmarkStart w:id="125" w:name="Xfe6b3bdac694c9f53024d943134b553687eec1a"/>
    <w:p>
      <w:pPr>
        <w:pStyle w:val="Heading3"/>
        <w:keepNext/>
        <w:keepLines/>
      </w:pPr>
      <w:r>
        <w:rPr>
          <w:color w:val="000000"/>
          <w:lang w:val="nl-NL"/>
        </w:rPr>
        <w:t xml:space="preserve">1.2 Handmatige toewijzing en vulhulpmiddelen</w:t>
      </w:r>
    </w:p>
    <w:p>
      <w:pPr>
        <w:pStyle w:val="FirstParagraph"/>
      </w:pPr>
      <w:r>
        <w:rPr>
          <w:lang w:val="nl-NL"/>
        </w:rPr>
        <w:t xml:space="preserve">Een geautoriseerde operator van de Klant opent de getranscribeerde sessie en voert voor elke “Spreker N” </w:t>
      </w:r>
      <w:r>
        <w:rPr>
          <w:lang w:val="nl-NL"/>
        </w:rPr>
        <w:t xml:space="preserve"/>
      </w:r>
      <w:r>
        <w:rPr>
          <w:b/>
          <w:bCs/>
          <w:lang w:val="nl-NL"/>
        </w:rPr>
        <w:t xml:space="preserve">een menselijke </w:t>
      </w:r>
      <w:r>
        <w:rPr>
          <w:lang w:val="nl-NL"/>
        </w:rPr>
        <w:t xml:space="preserve"/>
      </w:r>
      <w:r>
        <w:rPr>
          <w:lang w:val="nl-NL"/>
        </w:rPr>
        <w:t xml:space="preserve">naam in (“Marie Dupont”, “Mr. President”, “Rapporteur”…). Deze handeling is </w:t>
      </w:r>
      <w:r>
        <w:rPr>
          <w:lang w:val="nl-NL"/>
        </w:rPr>
        <w:t xml:space="preserve">strikt </w:t>
      </w:r>
      <w:r>
        <w:rPr>
          <w:b/>
          <w:bCs/>
          <w:lang w:val="nl-NL"/>
        </w:rPr>
        <w:t xml:space="preserve">handmatig. Hulpmiddelen </w:t>
      </w:r>
      <w:r>
        <w:rPr>
          <w:lang w:val="nl-NL"/>
        </w:rPr>
        <w:t xml:space="preserve">versnellen de toegang zonder </w:t>
      </w:r>
      <w:r>
        <w:rPr>
          <w:lang w:val="nl-NL"/>
        </w:rPr>
        <w:t xml:space="preserve"/>
      </w:r>
      <w:r>
        <w:rPr>
          <w:b/>
          <w:bCs/>
          <w:lang w:val="nl-NL"/>
        </w:rPr>
        <w:t xml:space="preserve">ooit de stem te analyseren: </w:t>
      </w:r>
      <w:r>
        <w:rPr>
          <w:lang w:val="nl-NL"/>
        </w:rPr>
        <w:t xml:space="preserve"/>
      </w:r>
      <w:r>
        <w:rPr>
          <w:lang w:val="nl-NL"/>
        </w:rPr>
        <w:t xml:space="preserve">detectie van vermeldingen van voornamen door tekstverwerking (NLP), automatische aanvulling uit de lijst met bekende leden van de huurder, geschiedenis van reeds ingevoerde labels.</w:t>
      </w:r>
    </w:p>
    <w:bookmarkEnd w:id="125"/>
    <w:bookmarkStart w:id="126" w:name="Xa8943c0f25401ec25616e1f35c33523ff19503a"/>
    <w:p>
      <w:pPr>
        <w:pStyle w:val="Heading3"/>
        <w:keepNext/>
        <w:keepLines/>
      </w:pPr>
      <w:r>
        <w:rPr>
          <w:color w:val="000000"/>
          <w:lang w:val="nl-NL"/>
        </w:rPr>
        <w:t xml:space="preserve">1.3 Kortstondige stemcorrelatie (“stemcorrelatie”)</w:t>
      </w:r>
    </w:p>
    <w:p>
      <w:pPr>
        <w:pStyle w:val="FirstParagraph"/>
      </w:pPr>
      <w:r>
        <w:rPr>
          <w:lang w:val="nl-NL"/>
        </w:rPr>
        <w:t xml:space="preserve">Sinds 18 </w:t>
      </w:r>
      <w:r>
        <w:rPr>
          <w:lang w:val="nl-NL"/>
        </w:rPr>
        <w:t xml:space="preserve"/>
      </w:r>
      <w:r>
        <w:rPr>
          <w:b/>
          <w:bCs/>
          <w:lang w:val="nl-NL"/>
        </w:rPr>
        <w:t xml:space="preserve">mei 2026 biedt </w:t>
      </w:r>
      <w:r>
        <w:rPr>
          <w:lang w:val="nl-NL"/>
        </w:rPr>
        <w:t xml:space="preserve">TranscribIA een standaard uitgeschakelde </w:t>
      </w:r>
      <w:r>
        <w:rPr>
          <w:lang w:val="nl-NL"/>
        </w:rPr>
        <w:t xml:space="preserve"/>
      </w:r>
      <w:r>
        <w:rPr>
          <w:b/>
          <w:bCs/>
          <w:lang w:val="nl-NL"/>
        </w:rPr>
        <w:t xml:space="preserve">functionaliteit aan </w:t>
      </w:r>
      <w:r>
        <w:rPr>
          <w:lang w:val="nl-NL"/>
        </w:rPr>
        <w:t xml:space="preserve"/>
      </w:r>
      <w:r>
        <w:rPr>
          <w:lang w:val="nl-NL"/>
        </w:rPr>
        <w:t xml:space="preserve">die binnen </w:t>
      </w:r>
      <w:r>
        <w:rPr>
          <w:lang w:val="nl-NL"/>
        </w:rPr>
        <w:t xml:space="preserve"/>
      </w:r>
      <w:r>
        <w:rPr>
          <w:b/>
          <w:bCs/>
          <w:lang w:val="nl-NL"/>
        </w:rPr>
        <w:t xml:space="preserve">dezelfde huurder een kortstondige </w:t>
      </w:r>
      <w:r>
        <w:rPr>
          <w:lang w:val="nl-NL"/>
        </w:rPr>
        <w:t xml:space="preserve">vocale vergelijking </w:t>
      </w:r>
      <w:r>
        <w:rPr>
          <w:lang w:val="nl-NL"/>
        </w:rPr>
        <w:t xml:space="preserve"/>
      </w:r>
      <w:r>
        <w:rPr>
          <w:b/>
          <w:bCs/>
          <w:lang w:val="nl-NL"/>
        </w:rPr>
        <w:t xml:space="preserve">tussen </w:t>
      </w:r>
      <w:r>
        <w:rPr>
          <w:lang w:val="nl-NL"/>
        </w:rPr>
        <w:t xml:space="preserve"/>
      </w:r>
      <w:r>
        <w:rPr>
          <w:lang w:val="nl-NL"/>
        </w:rPr>
        <w:t xml:space="preserve">segmenten (of zelfs tussen sessies) mogelijk maakt </w:t>
      </w:r>
      <w:r>
        <w:rPr>
          <w:lang w:val="nl-NL"/>
        </w:rPr>
        <w:t xml:space="preserve"/>
      </w:r>
      <w:r>
        <w:rPr>
          <w:b/>
          <w:bCs/>
          <w:lang w:val="nl-NL"/>
        </w:rPr>
        <w:t xml:space="preserve">om een </w:t>
      </w:r>
      <w:r>
        <w:rPr>
          <w:lang w:val="nl-NL"/>
        </w:rPr>
        <w:t xml:space="preserve"/>
      </w:r>
      <w:r>
        <w:rPr>
          <w:lang w:val="nl-NL"/>
        </w:rPr>
        <w:t xml:space="preserve">verband voor te stellen tussen een gedetecteerde spreker en een reeds ingevoerde sprekernaam. Deze verwerking berekent tijdelijk de stemkarakteristieken in RAM, zonder </w:t>
      </w:r>
      <w:r>
        <w:rPr>
          <w:lang w:val="nl-NL"/>
        </w:rPr>
        <w:t xml:space="preserve"/>
      </w:r>
      <w:r>
        <w:rPr>
          <w:b/>
          <w:bCs/>
          <w:lang w:val="nl-NL"/>
        </w:rPr>
        <w:t xml:space="preserve">een persistent biometrisch sjabloon te creëren. Het </w:t>
      </w:r>
      <w:r>
        <w:rPr>
          <w:lang w:val="nl-NL"/>
        </w:rPr>
        <w:t xml:space="preserve">kan alleen worden geactiveerd door verwerkingsverantwoordelijke, is strikt opt-in </w:t>
      </w:r>
      <w:r>
        <w:rPr>
          <w:lang w:val="nl-NL"/>
        </w:rPr>
        <w:t xml:space="preserve">en </w:t>
      </w:r>
      <w:r>
        <w:rPr>
          <w:b/>
          <w:bCs/>
          <w:lang w:val="nl-NL"/>
        </w:rPr>
        <w:t xml:space="preserve">vereist </w:t>
      </w:r>
      <w:r>
        <w:rPr>
          <w:lang w:val="nl-NL"/>
        </w:rPr>
        <w:t xml:space="preserve">de voorafgaande ondertekening van een </w:t>
      </w:r>
      <w:r>
        <w:rPr>
          <w:lang w:val="nl-NL"/>
        </w:rPr>
        <w:t xml:space="preserve"/>
      </w:r>
      <w:r>
        <w:rPr>
          <w:b/>
          <w:bCs/>
          <w:lang w:val="nl-NL"/>
        </w:rPr>
        <w:t xml:space="preserve">speciaal DPA-addendum </w:t>
      </w:r>
      <w:r>
        <w:rPr>
          <w:lang w:val="nl-NL"/>
        </w:rPr>
        <w:t xml:space="preserve"/>
      </w:r>
      <w:r>
        <w:rPr>
          <w:lang w:val="nl-NL"/>
        </w:rPr>
        <w:t xml:space="preserve">en de voltooiing van </w:t>
      </w:r>
      <w:r>
        <w:rPr>
          <w:lang w:val="nl-NL"/>
        </w:rPr>
        <w:t xml:space="preserve"/>
      </w:r>
      <w:r>
        <w:rPr>
          <w:b/>
          <w:bCs/>
          <w:lang w:val="nl-NL"/>
        </w:rPr>
        <w:t xml:space="preserve">een </w:t>
      </w:r>
      <w:r>
        <w:rPr>
          <w:lang w:val="nl-NL"/>
        </w:rPr>
        <w:t xml:space="preserve">GEB </w:t>
      </w:r>
      <w:r>
        <w:rPr>
          <w:lang w:val="nl-NL"/>
        </w:rPr>
        <w:t xml:space="preserve">(artikel 35).</w:t>
      </w:r>
    </w:p>
    <w:p>
      <w:pPr>
        <w:pStyle w:val="BodyText"/>
      </w:pPr>
      <w:r>
        <w:rPr>
          <w:b/>
          <w:bCs/>
          <w:lang w:val="nl-NL"/>
        </w:rPr>
        <w:t xml:space="preserve">Deze drie verwerkingen moeten worden onderscheiden naar doel en middelen: positionele diarisatie, handmatige toewijzing zonder stemanalyse en optionele stemvergelijking. De juridische kwalificatie moet voor elke verwerking worden gedocumenteerd; alleen het ontbreken van een blijvend sjabloon leidt niet tot een algemene uitzondering op artikel 9.</w:t>
      </w:r>
    </w:p>
    <w:p>
      <w:r>
        <w:pict>
          <v:rect style="width:0;height:1.5pt" o:hralign="center" o:hrstd="t" o:hr="t"/>
        </w:pict>
      </w:r>
    </w:p>
    <w:bookmarkEnd w:id="126"/>
    <w:bookmarkEnd w:id="127"/>
    <w:bookmarkStart w:id="131" w:name="Xb589f5d8bbdf56a9351a5d7e25535f1fb8a904c"/>
    <w:p>
      <w:pPr>
        <w:pStyle w:val="Heading2"/>
        <w:keepNext/>
        <w:keepLines/>
      </w:pPr>
      <w:r>
        <w:rPr>
          <w:color w:val="000000"/>
          <w:lang w:val="nl-NL"/>
        </w:rPr>
        <w:t xml:space="preserve">2. Nauwkeurige technische beschrijving</w:t>
      </w:r>
    </w:p>
    <w:bookmarkStart w:id="128" w:name="X664890d8427c66974ee0053fac4e14594a425d7"/>
    <w:p>
      <w:pPr>
        <w:pStyle w:val="Heading3"/>
        <w:keepNext/>
        <w:keepLines/>
      </w:pPr>
      <w:r>
        <w:rPr>
          <w:color w:val="000000"/>
          <w:lang w:val="nl-NL"/>
        </w:rPr>
        <w:t xml:space="preserve">2.1 sprekerdiarisatieketen</w:t>
      </w:r>
    </w:p>
    <w:p>
      <w:pPr>
        <w:pStyle w:val="Compact"/>
        <w:numPr>
          <w:ilvl w:val="0"/>
          <w:numId w:val="1032"/>
        </w:numPr>
      </w:pPr>
      <w:r>
        <w:rPr>
          <w:lang w:val="nl-NL"/>
        </w:rPr>
        <w:t xml:space="preserve">Engine: </w:t>
      </w:r>
      <w:r>
        <w:rPr>
          <w:lang w:val="nl-NL"/>
        </w:rPr>
        <w:t xml:space="preserve"/>
      </w:r>
      <w:r>
        <w:rPr>
          <w:rStyle w:val="VerbatimChar"/>
          <w:lang w:val="nl-NL"/>
        </w:rPr>
        <w:t xml:space="preserve">pyannote.audio</w:t>
      </w:r>
      <w:r>
        <w:rPr>
          <w:lang w:val="nl-NL"/>
        </w:rPr>
        <w:t xml:space="preserve">, uitgevoerd op de transcriptie-GPU-server (EU indien vereist; lokale GPU in optie B).</w:t>
      </w:r>
    </w:p>
    <w:p>
      <w:pPr>
        <w:pStyle w:val="Compact"/>
        <w:numPr>
          <w:ilvl w:val="0"/>
          <w:numId w:val="1032"/>
        </w:numPr>
      </w:pPr>
      <w:r>
        <w:rPr>
          <w:lang w:val="nl-NL"/>
        </w:rPr>
        <w:t xml:space="preserve">Uitvoer: segmenten met tijdstempel </w:t>
      </w:r>
      <w:r>
        <w:rPr>
          <w:lang w:val="nl-NL"/>
        </w:rPr>
        <w:t xml:space="preserve"/>
      </w:r>
      <w:r>
        <w:rPr>
          <w:b/>
          <w:bCs/>
          <w:lang w:val="nl-NL"/>
        </w:rPr>
        <w:t xml:space="preserve">en een sessiespecifiek </w:t>
      </w:r>
      <w:r>
        <w:rPr>
          <w:lang w:val="nl-NL"/>
        </w:rPr>
        <w:t xml:space="preserve"/>
      </w:r>
      <w:r>
        <w:rPr>
          <w:lang w:val="nl-NL"/>
        </w:rPr>
        <w:t xml:space="preserve">positioneel label “Speaker N”.</w:t>
      </w:r>
    </w:p>
    <w:p>
      <w:pPr>
        <w:pStyle w:val="Compact"/>
        <w:numPr>
          <w:ilvl w:val="0"/>
          <w:numId w:val="1032"/>
        </w:numPr>
      </w:pPr>
      <w:r>
        <w:rPr>
          <w:lang w:val="nl-NL"/>
        </w:rPr>
        <w:t xml:space="preserve">De insluitingen die intern zijn berekend om de sprekers van een sessie te onderscheiden, bestaan in </w:t>
      </w:r>
      <w:r>
        <w:rPr>
          <w:lang w:val="nl-NL"/>
        </w:rPr>
        <w:t xml:space="preserve"/>
      </w:r>
      <w:r>
        <w:rPr>
          <w:b/>
          <w:bCs/>
          <w:lang w:val="nl-NL"/>
        </w:rPr>
        <w:t xml:space="preserve">het RAM gedurende </w:t>
      </w:r>
      <w:r>
        <w:rPr>
          <w:lang w:val="nl-NL"/>
        </w:rPr>
        <w:t xml:space="preserve"/>
      </w:r>
      <w:r>
        <w:rPr>
          <w:lang w:val="nl-NL"/>
        </w:rPr>
        <w:t xml:space="preserve">de duur van de verwerking en worden </w:t>
      </w:r>
      <w:r>
        <w:rPr>
          <w:lang w:val="nl-NL"/>
        </w:rPr>
        <w:t xml:space="preserve"/>
      </w:r>
      <w:r>
        <w:rPr>
          <w:b/>
          <w:bCs/>
          <w:lang w:val="nl-NL"/>
        </w:rPr>
        <w:t xml:space="preserve">aan het einde van de taak </w:t>
      </w:r>
      <w:r>
        <w:rPr>
          <w:lang w:val="nl-NL"/>
        </w:rPr>
        <w:t xml:space="preserve">vrijgegeven. Er worden geen stemafdrukken permanent naar de schijf geschreven.</w:t>
      </w:r>
    </w:p>
    <w:bookmarkEnd w:id="128"/>
    <w:bookmarkStart w:id="129" w:name="Xe0659354dd6c47a68f8590356d1261887329b03"/>
    <w:p>
      <w:pPr>
        <w:pStyle w:val="Heading3"/>
        <w:keepNext/>
        <w:keepLines/>
      </w:pPr>
      <w:r>
        <w:rPr>
          <w:color w:val="000000"/>
          <w:lang w:val="nl-NL"/>
        </w:rPr>
        <w:t xml:space="preserve">2.2 Levenscyclus van steminbedding (stemcorrelatie)</w:t>
      </w:r>
    </w:p>
    <w:p>
      <w:pPr>
        <w:pStyle w:val="SourceCode"/>
      </w:pPr>
      <w:r>
        <w:rPr>
          <w:rStyle w:val="VerbatimChar"/>
          <w:rFonts w:ascii="Courier New" w:hAnsi="Courier New" w:eastAsia="Courier New" w:cs="Courier New"/>
          <w:sz w:val="19"/>
          <w:szCs w:val="19"/>
        </w:rPr>
        <w:t xml:space="preserve">Stemcorrelatieverzoek (opt-in, tenant geactiveerd)</w:t>
        <w:br/>
        <w:t xml:space="preserve">  |-- stemkenmerken extraheren -&gt; EMBEDDINGS IN RAM</w:t>
        <w:br/>
        <w:t xml:space="preserve">  |     (tmpfs waar de omgeving dit toestaat; swap uitgeschakeld</w:t>
        <w:br/>
        <w:t xml:space="preserve">  |      voor betrokken workers waar mogelijk)</w:t>
        <w:br/>
        <w:t xml:space="preserve">  |-- tijdelijke vergelijking -&gt; VOORGESTELDE koppeling (score)</w:t>
        <w:br/>
        <w:t xml:space="preserve">  |-- MENSELIJKE validatie vereist vóór iedere toewijzing</w:t>
        <w:br/>
        <w:t xml:space="preserve">  \-- VERNIETIGING van embeddings en tijdelijke bestanden</w:t>
        <w:br/>
        <w:t xml:space="preserve">       aan het einde van het verzoek (`finally`-blok)</w:t>
        <w:br/>
        <w:t xml:space="preserve">       -&gt; geen blijvend sjabloon of herbruikbare stemafdruk bewaard</w:t>
      </w:r>
    </w:p>
    <w:bookmarkEnd w:id="129"/>
    <w:bookmarkStart w:id="130" w:name="Xf92b267a21904b6a5b828e759033baaed12a0f1"/>
    <w:p>
      <w:pPr>
        <w:pStyle w:val="Heading3"/>
        <w:keepNext/>
        <w:keepLines/>
      </w:pPr>
      <w:r>
        <w:rPr>
          <w:color w:val="000000"/>
          <w:lang w:val="nl-NL"/>
        </w:rPr>
        <w:t xml:space="preserve">2.3 Belangrijkste kenmerken</w:t>
      </w:r>
    </w:p>
    <w:p>
      <w:pPr>
        <w:pStyle w:val="Compact"/>
        <w:numPr>
          <w:ilvl w:val="0"/>
          <w:numId w:val="1033"/>
        </w:numPr>
      </w:pPr>
      <w:r>
        <w:rPr>
          <w:b/>
          <w:bCs/>
          <w:lang w:val="nl-NL"/>
        </w:rPr>
        <w:t xml:space="preserve">Geen persistente sjabloon: </w:t>
      </w:r>
      <w:r>
        <w:rPr>
          <w:lang w:val="nl-NL"/>
        </w:rPr>
        <w:t xml:space="preserve"/>
      </w:r>
      <w:r>
        <w:rPr>
          <w:lang w:val="nl-NL"/>
        </w:rPr>
        <w:t xml:space="preserve">er wordt geen stemafdrukdatabase gemaakt of onderhouden.</w:t>
      </w:r>
    </w:p>
    <w:p>
      <w:pPr>
        <w:pStyle w:val="Compact"/>
        <w:numPr>
          <w:ilvl w:val="0"/>
          <w:numId w:val="1033"/>
        </w:numPr>
      </w:pPr>
      <w:r>
        <w:rPr>
          <w:b/>
          <w:bCs/>
          <w:lang w:val="nl-NL"/>
        </w:rPr>
        <w:t xml:space="preserve">RAM </w:t>
      </w:r>
      <w:r>
        <w:rPr>
          <w:lang w:val="nl-NL"/>
        </w:rPr>
        <w:t xml:space="preserve"/>
      </w:r>
      <w:r>
        <w:rPr>
          <w:lang w:val="nl-NL"/>
        </w:rPr>
        <w:t xml:space="preserve">/ </w:t>
      </w:r>
      <w:r>
        <w:rPr>
          <w:lang w:val="nl-NL"/>
        </w:rPr>
        <w:t xml:space="preserve"/>
      </w:r>
      <w:r>
        <w:rPr>
          <w:rStyle w:val="VerbatimChar"/>
          <w:lang w:val="nl-NL"/>
        </w:rPr>
        <w:t xml:space="preserve">tmpfs</w:t>
      </w:r>
      <w:r>
        <w:rPr>
          <w:lang w:val="nl-NL"/>
        </w:rPr>
        <w:t xml:space="preserve">: </w:t>
      </w:r>
      <w:r>
        <w:rPr>
          <w:lang w:val="nl-NL"/>
        </w:rPr>
        <w:t xml:space="preserve">inbedding wordt berekend in RAM; tijdelijke ruimtes van het type tmpfs worden gebruikt wanneer de omgeving dit toelaat; swap wordt uitgeschakeld voor de getroffen workers wanneer dit verenigbaar is met de stabiliteit van de infrastructuur.</w:t>
      </w:r>
    </w:p>
    <w:p>
      <w:pPr>
        <w:pStyle w:val="Compact"/>
        <w:numPr>
          <w:ilvl w:val="0"/>
          <w:numId w:val="1033"/>
        </w:numPr>
      </w:pPr>
      <w:r>
        <w:rPr>
          <w:b/>
          <w:bCs/>
          <w:lang w:val="nl-NL"/>
        </w:rPr>
        <w:t xml:space="preserve">Deterministische </w:t>
      </w:r>
      <w:r>
        <w:rPr>
          <w:lang w:val="nl-NL"/>
        </w:rPr>
        <w:t xml:space="preserve">vernietiging: </w:t>
      </w:r>
      <w:r>
        <w:rPr>
          <w:lang w:val="nl-NL"/>
        </w:rPr>
        <w:t xml:space="preserve">opschoning van end-of-processing-blokken (</w:t>
      </w:r>
      <w:r>
        <w:rPr>
          <w:rStyle w:val="VerbatimChar"/>
          <w:lang w:val="nl-NL"/>
        </w:rPr>
        <w:t xml:space="preserve">finally</w:t>
      </w:r>
      <w:r>
        <w:rPr>
          <w:lang w:val="nl-NL"/>
        </w:rPr>
        <w:t xml:space="preserve">), ook in geval van een fout.</w:t>
      </w:r>
    </w:p>
    <w:p>
      <w:pPr>
        <w:pStyle w:val="Compact"/>
        <w:numPr>
          <w:ilvl w:val="0"/>
          <w:numId w:val="1033"/>
        </w:numPr>
      </w:pPr>
      <w:r>
        <w:rPr>
          <w:b/>
          <w:bCs/>
          <w:lang w:val="nl-NL"/>
        </w:rPr>
        <w:t xml:space="preserve">Isolatie door huurder: </w:t>
      </w:r>
      <w:r>
        <w:rPr>
          <w:lang w:val="nl-NL"/>
        </w:rPr>
        <w:t xml:space="preserve"/>
      </w:r>
      <w:r>
        <w:rPr>
          <w:lang w:val="nl-NL"/>
        </w:rPr>
        <w:t xml:space="preserve">vergelijking gaat nooit over de grenzen van een organisatie heen.</w:t>
      </w:r>
    </w:p>
    <w:p>
      <w:pPr>
        <w:pStyle w:val="Compact"/>
        <w:numPr>
          <w:ilvl w:val="0"/>
          <w:numId w:val="1033"/>
        </w:numPr>
      </w:pPr>
      <w:r>
        <w:rPr>
          <w:b/>
          <w:bCs/>
          <w:lang w:val="nl-NL"/>
        </w:rPr>
        <w:t xml:space="preserve">Geen training: </w:t>
      </w:r>
      <w:r>
        <w:rPr>
          <w:lang w:val="nl-NL"/>
        </w:rPr>
        <w:t xml:space="preserve"/>
      </w:r>
      <w:r>
        <w:rPr>
          <w:lang w:val="nl-NL"/>
        </w:rPr>
        <w:t xml:space="preserve">insluitingen worden nooit gebruikt om een model te trainen.</w:t>
      </w:r>
    </w:p>
    <w:p>
      <w:pPr>
        <w:pStyle w:val="Compact"/>
        <w:numPr>
          <w:ilvl w:val="0"/>
          <w:numId w:val="1033"/>
        </w:numPr>
      </w:pPr>
      <w:r>
        <w:rPr>
          <w:b/>
          <w:bCs/>
          <w:lang w:val="nl-NL"/>
        </w:rPr>
        <w:t xml:space="preserve">Minimale logboekregistratie: </w:t>
      </w:r>
      <w:r>
        <w:rPr>
          <w:lang w:val="nl-NL"/>
        </w:rPr>
        <w:t xml:space="preserve"/>
      </w:r>
      <w:r>
        <w:rPr>
          <w:lang w:val="nl-NL"/>
        </w:rPr>
        <w:t xml:space="preserve">logboeken zijn beperkt tot noodzakelijke technische gebeurtenissen; ze bevatten geen vingerafdrukken, vectoren of stemfragmenten.</w:t>
      </w:r>
    </w:p>
    <w:p>
      <w:r>
        <w:pict>
          <v:rect style="width:0;height:1.5pt" o:hralign="center" o:hrstd="t" o:hr="t"/>
        </w:pict>
      </w:r>
    </w:p>
    <w:bookmarkEnd w:id="130"/>
    <w:bookmarkEnd w:id="131"/>
    <w:bookmarkStart w:id="135" w:name="Xbbcb5772bf69e66207c72d41906a9a28473aea2"/>
    <w:p>
      <w:pPr>
        <w:pStyle w:val="Heading2"/>
        <w:keepNext/>
        <w:keepLines/>
      </w:pPr>
      <w:r>
        <w:rPr>
          <w:color w:val="000000"/>
          <w:lang w:val="nl-NL"/>
        </w:rPr>
        <w:t xml:space="preserve">3. Juridische analyse (artikelen 4.14 en 9 AVG)</w:t>
      </w:r>
    </w:p>
    <w:bookmarkStart w:id="132" w:name="Xcc24839d29b6498a7812c1d11362bc190165131"/>
    <w:p>
      <w:pPr>
        <w:pStyle w:val="Heading3"/>
        <w:keepNext/>
        <w:keepLines/>
      </w:pPr>
      <w:r>
        <w:rPr>
          <w:color w:val="000000"/>
          <w:lang w:val="nl-NL"/>
        </w:rPr>
        <w:t xml:space="preserve">3.1 Definitie van biometrische gegevens</w:t>
      </w:r>
    </w:p>
    <w:p>
      <w:pPr>
        <w:pStyle w:val="FirstParagraph"/>
      </w:pPr>
      <w:r>
        <w:rPr>
          <w:lang w:val="nl-NL"/>
        </w:rPr>
        <w:t xml:space="preserve">Artikel </w:t>
      </w:r>
      <w:r>
        <w:rPr>
          <w:lang w:val="nl-NL"/>
        </w:rPr>
        <w:t xml:space="preserve"/>
      </w:r>
      <w:r>
        <w:rPr>
          <w:b/>
          <w:bCs/>
          <w:lang w:val="nl-NL"/>
        </w:rPr>
        <w:t xml:space="preserve">4.14 </w:t>
      </w:r>
      <w:r>
        <w:rPr>
          <w:lang w:val="nl-NL"/>
        </w:rPr>
        <w:t xml:space="preserve"/>
      </w:r>
      <w:r>
        <w:rPr>
          <w:lang w:val="nl-NL"/>
        </w:rPr>
        <w:t xml:space="preserve">van AVG definieert biometrische gegevens als “persoonsgegevens die het resultaat zijn van een specifieke technische verwerking, die betrekking heeft op de fysieke, fysiologische of gedragskenmerken van een natuurlijke persoon, die hun </w:t>
      </w:r>
      <w:r>
        <w:rPr>
          <w:lang w:val="nl-NL"/>
        </w:rPr>
        <w:t xml:space="preserve"/>
      </w:r>
      <w:r>
        <w:rPr>
          <w:b/>
          <w:bCs/>
          <w:lang w:val="nl-NL"/>
        </w:rPr>
        <w:t xml:space="preserve">unieke identificatie mogelijk maakt of bevestigt”. Artikel </w:t>
      </w:r>
      <w:r>
        <w:rPr>
          <w:lang w:val="nl-NL"/>
        </w:rPr>
        <w:t xml:space="preserve"/>
      </w:r>
      <w:r>
        <w:rPr>
          <w:lang w:val="nl-NL"/>
        </w:rPr>
        <w:t xml:space="preserve">9 verbiedt </w:t>
      </w:r>
      <w:r>
        <w:rPr>
          <w:lang w:val="nl-NL"/>
        </w:rPr>
        <w:t xml:space="preserve"/>
      </w:r>
      <w:r>
        <w:rPr>
          <w:b/>
          <w:bCs/>
          <w:lang w:val="nl-NL"/>
        </w:rPr>
        <w:t xml:space="preserve"/>
      </w:r>
      <w:r>
        <w:rPr>
          <w:lang w:val="nl-NL"/>
        </w:rPr>
        <w:t xml:space="preserve">in </w:t>
      </w:r>
      <w:r>
        <w:rPr>
          <w:lang w:val="nl-NL"/>
        </w:rPr>
        <w:t xml:space="preserve">beginsel de verwerking van biometrische gegevens met het oog </w:t>
      </w:r>
      <w:r>
        <w:rPr>
          <w:lang w:val="nl-NL"/>
        </w:rPr>
        <w:t xml:space="preserve"/>
      </w:r>
      <w:r>
        <w:rPr>
          <w:b/>
          <w:bCs/>
          <w:lang w:val="nl-NL"/>
        </w:rPr>
        <w:t xml:space="preserve">op de unieke identificatie van een natuurlijke persoon, behoudens </w:t>
      </w:r>
      <w:r>
        <w:rPr>
          <w:lang w:val="nl-NL"/>
        </w:rPr>
        <w:t xml:space="preserve">uitzonderingen.</w:t>
      </w:r>
    </w:p>
    <w:bookmarkEnd w:id="132"/>
    <w:bookmarkStart w:id="133" w:name="X283329c369380fcd20427ac76dfaeceb715812a"/>
    <w:p>
      <w:pPr>
        <w:pStyle w:val="Heading3"/>
        <w:keepNext/>
        <w:keepLines/>
      </w:pPr>
      <w:r>
        <w:rPr>
          <w:color w:val="000000"/>
          <w:lang w:val="nl-NL"/>
        </w:rPr>
        <w:t xml:space="preserve">3.2 Positie behouden</w:t>
      </w:r>
    </w:p>
    <w:p>
      <w:pPr>
        <w:pStyle w:val="FirstParagraph"/>
      </w:pPr>
      <w:r>
        <w:rPr>
          <w:lang w:val="nl-NL"/>
        </w:rPr>
        <w:t xml:space="preserve">Artikel 4, punt 14, van de AVG definieert biometrische gegevens aan de hand van technische verwerking van fysieke, fysiologische of gedragsgerelateerde kenmerken die unieke identificatie mogelijk maken of bevestigen. Artikel 9 betreft biometrische gegevens die worden verwerkt met het oog op unieke </w:t>
      </w:r>
      <w:r>
        <w:rPr>
          <w:lang w:val="nl-NL"/>
        </w:rPr>
        <w:t xml:space="preserve"/>
      </w:r>
      <w:r>
        <w:rPr>
          <w:b/>
          <w:bCs/>
          <w:lang w:val="nl-NL"/>
        </w:rPr>
        <w:t xml:space="preserve">identificatie van een persoon. De bewaartermijn van een sjabloon vormt </w:t>
      </w:r>
      <w:r>
        <w:rPr>
          <w:lang w:val="nl-NL"/>
        </w:rPr>
        <w:t xml:space="preserve">geen </w:t>
      </w:r>
      <w:r>
        <w:rPr>
          <w:lang w:val="nl-NL"/>
        </w:rPr>
        <w:t xml:space="preserve">voorwaarde in deze definities; de richtsnoeren 3/2019 van het EDPB laten </w:t>
      </w:r>
      <w:r>
        <w:rPr>
          <w:lang w:val="nl-NL"/>
        </w:rPr>
        <w:t xml:space="preserve"/>
      </w:r>
      <w:r>
        <w:rPr>
          <w:b/>
          <w:bCs/>
          <w:lang w:val="nl-NL"/>
        </w:rPr>
        <w:t xml:space="preserve">onder meer zien dat tijdelijke </w:t>
      </w:r>
      <w:r>
        <w:rPr>
          <w:lang w:val="nl-NL"/>
        </w:rPr>
        <w:t xml:space="preserve"/>
      </w:r>
      <w:r>
        <w:rPr>
          <w:lang w:val="nl-NL"/>
        </w:rPr>
        <w:t xml:space="preserve">sjablonen onder artikel 9 kunnen vallen.</w:t>
      </w:r>
    </w:p>
    <w:p>
      <w:pPr>
        <w:pStyle w:val="Compact"/>
        <w:numPr>
          <w:ilvl w:val="0"/>
          <w:numId w:val="1034"/>
        </w:numPr>
      </w:pPr>
      <w:r>
        <w:rPr>
          <w:b/>
          <w:bCs/>
          <w:lang w:val="nl-NL"/>
        </w:rPr>
        <w:t xml:space="preserve">Positionele diarisatie (1.1): labels zonder naam toekennen </w:t>
      </w:r>
      <w:r>
        <w:rPr>
          <w:lang w:val="nl-NL"/>
        </w:rPr>
        <w:t xml:space="preserve"/>
      </w:r>
      <w:r>
        <w:rPr>
          <w:lang w:val="nl-NL"/>
        </w:rPr>
        <w:t xml:space="preserve">volstaat op zichzelf niet om anonimiteit of het ontbreken van biometrische </w:t>
      </w:r>
      <w:r>
        <w:rPr>
          <w:lang w:val="nl-NL"/>
        </w:rPr>
        <w:t xml:space="preserve"/>
      </w:r>
      <w:r>
        <w:rPr>
          <w:b/>
          <w:bCs/>
          <w:lang w:val="nl-NL"/>
        </w:rPr>
        <w:t xml:space="preserve">verwerking vast te stellen. Gedocumenteerd moet </w:t>
      </w:r>
      <w:r>
        <w:rPr>
          <w:lang w:val="nl-NL"/>
        </w:rPr>
        <w:t xml:space="preserve">worden </w:t>
      </w:r>
      <w:r>
        <w:rPr>
          <w:lang w:val="nl-NL"/>
        </w:rPr>
        <w:t xml:space="preserve">of de verwerkte kenmerken unieke identificatie mogelijk maken of bevestigen </w:t>
      </w:r>
      <w:r>
        <w:rPr>
          <w:lang w:val="nl-NL"/>
        </w:rPr>
        <w:t xml:space="preserve"/>
      </w:r>
      <w:r>
        <w:rPr>
          <w:b/>
          <w:bCs/>
          <w:lang w:val="nl-NL"/>
        </w:rPr>
        <w:t xml:space="preserve">en of dit het </w:t>
      </w:r>
      <w:r>
        <w:rPr>
          <w:lang w:val="nl-NL"/>
        </w:rPr>
        <w:t xml:space="preserve"/>
      </w:r>
      <w:r>
        <w:rPr>
          <w:lang w:val="nl-NL"/>
        </w:rPr>
        <w:t xml:space="preserve">verwerkingsdoel is; artikel 9 kan daarnaast van toepassing zijn op de inhoud van de opnamen.</w:t>
      </w:r>
    </w:p>
    <w:p>
      <w:pPr>
        <w:pStyle w:val="Compact"/>
        <w:numPr>
          <w:ilvl w:val="0"/>
          <w:numId w:val="1034"/>
        </w:numPr>
      </w:pPr>
      <w:r>
        <w:rPr>
          <w:b/>
          <w:bCs/>
          <w:lang w:val="nl-NL"/>
        </w:rPr>
        <w:t xml:space="preserve">Handmatige attributie </w:t>
      </w:r>
      <w:r>
        <w:rPr>
          <w:lang w:val="nl-NL"/>
        </w:rPr>
        <w:t xml:space="preserve">(1.2): </w:t>
      </w:r>
      <w:r>
        <w:rPr>
          <w:lang w:val="nl-NL"/>
        </w:rPr>
        <w:t xml:space="preserve">het analyseert de stem niet; het is niet biometrisch.</w:t>
      </w:r>
    </w:p>
    <w:p>
      <w:pPr>
        <w:pStyle w:val="Compact"/>
        <w:numPr>
          <w:ilvl w:val="0"/>
          <w:numId w:val="1034"/>
        </w:numPr>
      </w:pPr>
      <w:r>
        <w:rPr>
          <w:b/>
          <w:bCs/>
          <w:lang w:val="nl-NL"/>
        </w:rPr>
        <w:t xml:space="preserve">Tijdelijke stemcorrelatie (1.3): </w:t>
      </w:r>
      <w:r>
        <w:rPr>
          <w:lang w:val="nl-NL"/>
        </w:rPr>
        <w:t xml:space="preserve">stemkenmerken </w:t>
      </w:r>
      <w:r>
        <w:rPr>
          <w:lang w:val="nl-NL"/>
        </w:rPr>
        <w:t xml:space="preserve">vergelijken om de naam van een spreker voor te stellen, </w:t>
      </w:r>
      <w:r>
        <w:rPr>
          <w:lang w:val="nl-NL"/>
        </w:rPr>
        <w:t xml:space="preserve"/>
      </w:r>
      <w:r>
        <w:rPr>
          <w:b/>
          <w:bCs/>
          <w:lang w:val="nl-NL"/>
        </w:rPr>
        <w:t xml:space="preserve">kan biometrische verwerking met het oog op unieke identificatie </w:t>
      </w:r>
      <w:r>
        <w:rPr>
          <w:lang w:val="nl-NL"/>
        </w:rPr>
        <w:t xml:space="preserve"/>
      </w:r>
      <w:r>
        <w:rPr>
          <w:lang w:val="nl-NL"/>
        </w:rPr>
        <w:t xml:space="preserve">vormen. Onmiddellijke verwijdering van de representaties en menselijke validatie sluiten deze kwalificatie </w:t>
      </w:r>
      <w:r>
        <w:rPr>
          <w:lang w:val="nl-NL"/>
        </w:rPr>
        <w:t xml:space="preserve"/>
      </w:r>
      <w:r>
        <w:rPr>
          <w:b/>
          <w:bCs/>
          <w:lang w:val="nl-NL"/>
        </w:rPr>
        <w:t xml:space="preserve">niet uit. Naast de rechtsgrond van artikel 6 moet een toepasselijke </w:t>
      </w:r>
      <w:r>
        <w:rPr>
          <w:lang w:val="nl-NL"/>
        </w:rPr>
        <w:t xml:space="preserve"/>
      </w:r>
      <w:r>
        <w:rPr>
          <w:lang w:val="nl-NL"/>
        </w:rPr>
        <w:t xml:space="preserve">uitzondering van artikel 9 worden gedocumenteerd.</w:t>
      </w:r>
    </w:p>
    <w:bookmarkEnd w:id="133"/>
    <w:bookmarkStart w:id="134" w:name="X470b402a547457927122d4841351e7a4d626738"/>
    <w:p>
      <w:pPr>
        <w:pStyle w:val="Heading3"/>
        <w:keepNext/>
        <w:keepLines/>
      </w:pPr>
      <w:r>
        <w:rPr>
          <w:color w:val="000000"/>
          <w:lang w:val="nl-NL"/>
        </w:rPr>
        <w:t xml:space="preserve">3.3 Kwalificatie behouden uit voorzichtigheid</w:t>
      </w:r>
    </w:p>
    <w:p>
      <w:pPr>
        <w:pStyle w:val="FirstParagraph"/>
      </w:pPr>
      <w:r>
        <w:rPr>
          <w:lang w:val="nl-NL"/>
        </w:rPr>
        <w:t xml:space="preserve">De biometrische kwalificatie hangt af van de technische verwerking en het doel van unieke identificatie, niet van langdurige bewaring van een sjabloon. Het ontbreken van een blijvend sjabloon </w:t>
      </w:r>
      <w:r>
        <w:rPr>
          <w:lang w:val="nl-NL"/>
        </w:rPr>
        <w:t xml:space="preserve">en </w:t>
      </w:r>
      <w:r>
        <w:rPr>
          <w:b/>
          <w:bCs/>
          <w:lang w:val="nl-NL"/>
        </w:rPr>
        <w:t xml:space="preserve">menselijke validatie zijn waarborgen voor gegevensminimalisatie; </w:t>
      </w:r>
      <w:r>
        <w:rPr>
          <w:lang w:val="nl-NL"/>
        </w:rPr>
        <w:t xml:space="preserve"/>
      </w:r>
      <w:r>
        <w:rPr>
          <w:lang w:val="nl-NL"/>
        </w:rPr>
        <w:t xml:space="preserve">zij vormen geen </w:t>
      </w:r>
      <w:r>
        <w:rPr>
          <w:b/>
          <w:bCs/>
          <w:lang w:val="nl-NL"/>
        </w:rPr>
        <w:t xml:space="preserve">vrijstelling. </w:t>
      </w:r>
      <w:r>
        <w:rPr>
          <w:lang w:val="nl-NL"/>
        </w:rPr>
        <w:t xml:space="preserve"/>
      </w:r>
      <w:r>
        <w:rPr>
          <w:lang w:val="nl-NL"/>
        </w:rPr>
        <w:t xml:space="preserve">Voordat een vergelijking voor unieke identificatie van een persoon wordt geactiveerd, moet de verwerkingsverantwoordelijke een rechtsgrond van artikel 6 en een toepasselijke uitzondering van artikel 9 </w:t>
      </w:r>
      <w:r>
        <w:rPr>
          <w:lang w:val="nl-NL"/>
        </w:rPr>
        <w:t xml:space="preserve"/>
      </w:r>
      <w:r>
        <w:rPr>
          <w:b/>
          <w:bCs/>
          <w:lang w:val="nl-NL"/>
        </w:rPr>
        <w:t xml:space="preserve">documenteren, evenals relevante nationale vereisten. Een </w:t>
      </w:r>
      <w:r>
        <w:rPr>
          <w:lang w:val="nl-NL"/>
        </w:rPr>
        <w:t xml:space="preserve"/>
      </w:r>
      <w:r>
        <w:rPr>
          <w:lang w:val="nl-NL"/>
        </w:rPr>
        <w:t xml:space="preserve">GEB en een addendum bij de verwerkersovereenkomst verlenen op zichzelf geen toestemming voor de verwerking.</w:t>
      </w:r>
    </w:p>
    <w:p>
      <w:r>
        <w:pict>
          <v:rect style="width:0;height:1.5pt" o:hralign="center" o:hrstd="t" o:hr="t"/>
        </w:pict>
      </w:r>
    </w:p>
    <w:bookmarkEnd w:id="134"/>
    <w:bookmarkEnd w:id="135"/>
    <w:bookmarkStart w:id="136" w:name="X874bb38eabf3ca55151ad884c45ce5790670e42"/>
    <w:p>
      <w:pPr>
        <w:pStyle w:val="Heading2"/>
        <w:keepNext/>
        <w:keepLines/>
      </w:pPr>
      <w:r>
        <w:rPr>
          <w:color w:val="000000"/>
          <w:lang w:val="nl-NL"/>
        </w:rPr>
        <w:t xml:space="preserve">4. Kader opgezet</w:t>
      </w:r>
    </w:p>
    <w:p>
      <w:pPr>
        <w:pStyle w:val="Compact"/>
        <w:numPr>
          <w:ilvl w:val="0"/>
          <w:numId w:val="1035"/>
        </w:numPr>
      </w:pPr>
      <w:r>
        <w:rPr>
          <w:b/>
          <w:bCs/>
          <w:lang w:val="nl-NL"/>
        </w:rPr>
        <w:t xml:space="preserve">Standaard uitgeschakeld: </w:t>
      </w:r>
      <w:r>
        <w:rPr>
          <w:lang w:val="nl-NL"/>
        </w:rPr>
        <w:t xml:space="preserve"/>
      </w:r>
      <w:r>
        <w:rPr>
          <w:lang w:val="nl-NL"/>
        </w:rPr>
        <w:t xml:space="preserve">stemcorrelatie is nooit actief zonder expliciete beslissing.</w:t>
      </w:r>
    </w:p>
    <w:p>
      <w:pPr>
        <w:pStyle w:val="Compact"/>
        <w:numPr>
          <w:ilvl w:val="0"/>
          <w:numId w:val="1035"/>
        </w:numPr>
      </w:pPr>
      <w:r>
        <w:rPr>
          <w:b/>
          <w:bCs/>
          <w:lang w:val="nl-NL"/>
        </w:rPr>
        <w:t xml:space="preserve">verwerkingsverantwoordelijke opt-in: </w:t>
      </w:r>
      <w:r>
        <w:rPr>
          <w:lang w:val="nl-NL"/>
        </w:rPr>
        <w:t xml:space="preserve"/>
      </w:r>
      <w:r>
        <w:rPr>
          <w:lang w:val="nl-NL"/>
        </w:rPr>
        <w:t xml:space="preserve">alleen de klantorganisatie kan deze activeren.</w:t>
      </w:r>
    </w:p>
    <w:p>
      <w:pPr>
        <w:pStyle w:val="Compact"/>
        <w:numPr>
          <w:ilvl w:val="0"/>
          <w:numId w:val="1035"/>
        </w:numPr>
      </w:pPr>
      <w:r>
        <w:rPr>
          <w:b/>
          <w:bCs/>
          <w:lang w:val="nl-NL"/>
        </w:rPr>
        <w:t xml:space="preserve">Specifiek DPA-amendement: </w:t>
      </w:r>
      <w:r>
        <w:rPr>
          <w:lang w:val="nl-NL"/>
        </w:rPr>
        <w:t xml:space="preserve"/>
      </w:r>
      <w:r>
        <w:rPr>
          <w:lang w:val="nl-NL"/>
        </w:rPr>
        <w:t xml:space="preserve">voor de activering ervan is de voorafgaande ondertekening van een specifiek amendement vereist.</w:t>
      </w:r>
    </w:p>
    <w:p>
      <w:pPr>
        <w:pStyle w:val="Compact"/>
        <w:numPr>
          <w:ilvl w:val="0"/>
          <w:numId w:val="1035"/>
        </w:numPr>
      </w:pPr>
      <w:r>
        <w:rPr>
          <w:b/>
          <w:bCs/>
          <w:lang w:val="nl-NL"/>
        </w:rPr>
        <w:t xml:space="preserve">Voorafgaande </w:t>
      </w:r>
      <w:r>
        <w:rPr>
          <w:lang w:val="nl-NL"/>
        </w:rPr>
        <w:t xml:space="preserve"/>
      </w:r>
      <w:r>
        <w:rPr>
          <w:lang w:val="nl-NL"/>
        </w:rPr>
        <w:t xml:space="preserve">GEB: vóór activering is een impactanalyse (artikel 35) vereist.</w:t>
      </w:r>
    </w:p>
    <w:p>
      <w:pPr>
        <w:pStyle w:val="Compact"/>
        <w:numPr>
          <w:ilvl w:val="0"/>
          <w:numId w:val="1035"/>
        </w:numPr>
      </w:pPr>
      <w:r>
        <w:rPr>
          <w:b/>
          <w:bCs/>
          <w:lang w:val="nl-NL"/>
        </w:rPr>
        <w:t xml:space="preserve">Menselijke validatie: </w:t>
      </w:r>
      <w:r>
        <w:rPr>
          <w:lang w:val="nl-NL"/>
        </w:rPr>
        <w:t xml:space="preserve"/>
      </w:r>
      <w:r>
        <w:rPr>
          <w:lang w:val="nl-NL"/>
        </w:rPr>
        <w:t xml:space="preserve">suggesties zijn nooit definitieve automatische beslissingen; een geldige, door de Klant geautoriseerde gebruiker voorafgaand aan enige toewijzing.</w:t>
      </w:r>
    </w:p>
    <w:p>
      <w:pPr>
        <w:pStyle w:val="Compact"/>
        <w:numPr>
          <w:ilvl w:val="0"/>
          <w:numId w:val="1035"/>
        </w:numPr>
      </w:pPr>
      <w:r>
        <w:rPr>
          <w:b/>
          <w:bCs/>
          <w:lang w:val="nl-NL"/>
        </w:rPr>
        <w:t xml:space="preserve">Verbintenis tot niet-ontwikkeling: </w:t>
      </w:r>
      <w:r>
        <w:rPr>
          <w:lang w:val="nl-NL"/>
        </w:rPr>
        <w:t xml:space="preserve"/>
      </w:r>
      <w:r>
        <w:rPr>
          <w:lang w:val="nl-NL"/>
        </w:rPr>
        <w:t xml:space="preserve">OHADJA verbindt </w:t>
      </w:r>
      <w:r>
        <w:rPr>
          <w:lang w:val="nl-NL"/>
        </w:rPr>
        <w:t xml:space="preserve"/>
      </w:r>
      <w:r>
        <w:rPr>
          <w:b/>
          <w:bCs/>
          <w:lang w:val="nl-NL"/>
        </w:rPr>
        <w:t xml:space="preserve">zich ertoe </w:t>
      </w:r>
      <w:r>
        <w:rPr>
          <w:lang w:val="nl-NL"/>
        </w:rPr>
        <w:t xml:space="preserve"/>
      </w:r>
      <w:r>
        <w:rPr>
          <w:lang w:val="nl-NL"/>
        </w:rPr>
        <w:t xml:space="preserve">nooit permanente automatische biometrische verwerking </w:t>
      </w:r>
      <w:r>
        <w:rPr>
          <w:lang w:val="nl-NL"/>
        </w:rPr>
        <w:t xml:space="preserve"/>
      </w:r>
      <w:r>
        <w:rPr>
          <w:b/>
          <w:bCs/>
          <w:lang w:val="nl-NL"/>
        </w:rPr>
        <w:t xml:space="preserve">(stemherkenning </w:t>
      </w:r>
      <w:r>
        <w:rPr>
          <w:lang w:val="nl-NL"/>
        </w:rPr>
        <w:t xml:space="preserve"/>
      </w:r>
      <w:r>
        <w:rPr>
          <w:lang w:val="nl-NL"/>
        </w:rPr>
        <w:t xml:space="preserve">met stemafdrukbasis) in te voeren zonder expliciete </w:t>
      </w:r>
      <w:r>
        <w:rPr>
          <w:lang w:val="nl-NL"/>
        </w:rPr>
        <w:t xml:space="preserve">update </w:t>
      </w:r>
      <w:r>
        <w:rPr>
          <w:b/>
          <w:bCs/>
          <w:lang w:val="nl-NL"/>
        </w:rPr>
        <w:t xml:space="preserve">van de DPA, onder voorbehoud </w:t>
      </w:r>
      <w:r>
        <w:rPr>
          <w:lang w:val="nl-NL"/>
        </w:rPr>
        <w:t xml:space="preserve"/>
      </w:r>
      <w:r>
        <w:rPr>
          <w:lang w:val="nl-NL"/>
        </w:rPr>
        <w:t xml:space="preserve">van voorafgaande aanvaarding door de Klant, met een </w:t>
      </w:r>
      <w:r>
        <w:rPr>
          <w:lang w:val="nl-NL"/>
        </w:rPr>
        <w:t xml:space="preserve"/>
      </w:r>
      <w:r>
        <w:rPr>
          <w:b/>
          <w:bCs/>
          <w:lang w:val="nl-NL"/>
        </w:rPr>
        <w:t xml:space="preserve">opzegtermijn van minimaal 60 </w:t>
      </w:r>
      <w:r>
        <w:rPr>
          <w:lang w:val="nl-NL"/>
        </w:rPr>
        <w:t xml:space="preserve">dagen.</w:t>
      </w:r>
    </w:p>
    <w:p>
      <w:r>
        <w:pict>
          <v:rect style="width:0;height:1.5pt" o:hralign="center" o:hrstd="t" o:hr="t"/>
        </w:pict>
      </w:r>
    </w:p>
    <w:bookmarkEnd w:id="136"/>
    <w:bookmarkStart w:id="137" w:name="X5cb896f79fde2817fdfc340537e1d6f68249cb8"/>
    <w:p>
      <w:pPr>
        <w:pStyle w:val="Heading2"/>
        <w:keepNext/>
        <w:keepLines/>
      </w:pPr>
      <w:r>
        <w:rPr>
          <w:color w:val="000000"/>
          <w:lang w:val="nl-NL"/>
        </w:rPr>
        <w:t xml:space="preserve">5. Specifieke technische en organisatorische maatregelen</w:t>
      </w:r>
    </w:p>
    <w:p>
      <w:pPr>
        <w:pStyle w:val="FirstParagraph"/>
      </w:pPr>
      <w:r>
        <w:rPr>
          <w:lang w:val="nl-NL"/>
        </w:rPr>
        <w:t xml:space="preserve">De technische en organisatorische maatregelen voor stemcorrelatie (DPA bijlage 3 §9) zijn als volgt:</w:t>
      </w:r>
    </w:p>
    <w:p>
      <w:pPr>
        <w:pStyle w:val="Compact"/>
        <w:numPr>
          <w:ilvl w:val="0"/>
          <w:numId w:val="1036"/>
        </w:numPr>
      </w:pPr>
      <w:r>
        <w:rPr>
          <w:lang w:val="nl-NL"/>
        </w:rPr>
        <w:t xml:space="preserve">activering op huurderniveau of via klantconfiguratie, indien beschikbaar;</w:t>
      </w:r>
    </w:p>
    <w:p>
      <w:pPr>
        <w:pStyle w:val="Compact"/>
        <w:numPr>
          <w:ilvl w:val="0"/>
          <w:numId w:val="1036"/>
        </w:numPr>
      </w:pPr>
      <w:r>
        <w:rPr>
          <w:lang w:val="nl-NL"/>
        </w:rPr>
        <w:t xml:space="preserve">standaard geen aanmaak van een permanent stemprofiel;</w:t>
      </w:r>
    </w:p>
    <w:p>
      <w:pPr>
        <w:pStyle w:val="Compact"/>
        <w:numPr>
          <w:ilvl w:val="0"/>
          <w:numId w:val="1036"/>
        </w:numPr>
      </w:pPr>
      <w:r>
        <w:rPr>
          <w:lang w:val="nl-NL"/>
        </w:rPr>
        <w:t xml:space="preserve">berekening van tijdelijke inbedding in RAM wanneer technisch mogelijk;</w:t>
      </w:r>
    </w:p>
    <w:p>
      <w:pPr>
        <w:pStyle w:val="Compact"/>
        <w:numPr>
          <w:ilvl w:val="0"/>
          <w:numId w:val="1036"/>
        </w:numPr>
      </w:pPr>
      <w:r>
        <w:rPr>
          <w:lang w:val="nl-NL"/>
        </w:rPr>
        <w:t xml:space="preserve">gebruik van tijdelijke ruimtes van het type </w:t>
      </w:r>
      <w:r>
        <w:rPr>
          <w:lang w:val="nl-NL"/>
        </w:rPr>
        <w:t xml:space="preserve"/>
      </w:r>
      <w:r>
        <w:rPr>
          <w:rStyle w:val="VerbatimChar"/>
          <w:lang w:val="nl-NL"/>
        </w:rPr>
        <w:t xml:space="preserve">tmpfs</w:t>
      </w:r>
      <w:r>
        <w:rPr>
          <w:lang w:val="nl-NL"/>
        </w:rPr>
        <w:t xml:space="preserve"> </w:t>
      </w:r>
      <w:r>
        <w:rPr>
          <w:lang w:val="nl-NL"/>
        </w:rPr>
        <w:t xml:space="preserve">wanneer de omgeving dit toelaat;</w:t>
      </w:r>
    </w:p>
    <w:p>
      <w:pPr>
        <w:pStyle w:val="Compact"/>
        <w:numPr>
          <w:ilvl w:val="0"/>
          <w:numId w:val="1036"/>
        </w:numPr>
      </w:pPr>
      <w:r>
        <w:rPr>
          <w:lang w:val="nl-NL"/>
        </w:rPr>
        <w:t xml:space="preserve">het uitschakelen van swap voor getroffen workers wanneer de omgeving en de stabiliteit dit toelaten;</w:t>
      </w:r>
    </w:p>
    <w:p>
      <w:pPr>
        <w:pStyle w:val="Compact"/>
        <w:numPr>
          <w:ilvl w:val="0"/>
          <w:numId w:val="1036"/>
        </w:numPr>
      </w:pPr>
      <w:r>
        <w:rPr>
          <w:lang w:val="nl-NL"/>
        </w:rPr>
        <w:t xml:space="preserve">verwijdering van tijdelijke bestanden en insluitingen aan het einde van het verzoek;</w:t>
      </w:r>
    </w:p>
    <w:p>
      <w:pPr>
        <w:pStyle w:val="Compact"/>
        <w:numPr>
          <w:ilvl w:val="0"/>
          <w:numId w:val="1036"/>
        </w:numPr>
      </w:pPr>
      <w:r>
        <w:rPr>
          <w:lang w:val="nl-NL"/>
        </w:rPr>
        <w:t xml:space="preserve">opschonen in einde-verwerkingsblokken, inclusief mechanismen </w:t>
      </w:r>
      <w:r>
        <w:rPr>
          <w:lang w:val="nl-NL"/>
        </w:rPr>
        <w:t xml:space="preserve"/>
      </w:r>
      <w:r>
        <w:rPr>
          <w:rStyle w:val="VerbatimChar"/>
          <w:lang w:val="nl-NL"/>
        </w:rPr>
        <w:t xml:space="preserve">finally</w:t>
      </w:r>
      <w:r>
        <w:rPr>
          <w:lang w:val="nl-NL"/>
        </w:rPr>
        <w:t xml:space="preserve">;</w:t>
      </w:r>
      <w:r>
        <w:rPr>
          <w:lang w:val="nl-NL"/>
        </w:rPr>
        <w:t xml:space="preserve"/>
      </w:r>
    </w:p>
    <w:p>
      <w:pPr>
        <w:pStyle w:val="Compact"/>
        <w:numPr>
          <w:ilvl w:val="0"/>
          <w:numId w:val="1036"/>
        </w:numPr>
      </w:pPr>
      <w:r>
        <w:rPr>
          <w:lang w:val="nl-NL"/>
        </w:rPr>
        <w:t xml:space="preserve">geen gebruik van embeddings om eigen modellen van OHADJA te trainen;</w:t>
      </w:r>
    </w:p>
    <w:p>
      <w:pPr>
        <w:pStyle w:val="Compact"/>
        <w:numPr>
          <w:ilvl w:val="0"/>
          <w:numId w:val="1036"/>
        </w:numPr>
      </w:pPr>
      <w:r>
        <w:rPr>
          <w:lang w:val="nl-NL"/>
        </w:rPr>
        <w:t xml:space="preserve">verplichte menselijke validatie van suggesties vóór definitieve toeschrijving;</w:t>
      </w:r>
    </w:p>
    <w:p>
      <w:pPr>
        <w:pStyle w:val="Compact"/>
        <w:numPr>
          <w:ilvl w:val="0"/>
          <w:numId w:val="1036"/>
        </w:numPr>
      </w:pPr>
      <w:r>
        <w:rPr>
          <w:lang w:val="nl-NL"/>
        </w:rPr>
        <w:t xml:space="preserve">loggen beperkt tot noodzakelijke technische gebeurtenissen;</w:t>
      </w:r>
    </w:p>
    <w:p>
      <w:pPr>
        <w:pStyle w:val="Compact"/>
        <w:numPr>
          <w:ilvl w:val="0"/>
          <w:numId w:val="1036"/>
        </w:numPr>
      </w:pPr>
      <w:r>
        <w:rPr>
          <w:lang w:val="nl-NL"/>
        </w:rPr>
        <w:t xml:space="preserve">het opschonen/verkleinen van logbestanden om het vastleggen van onnodige vingerafdrukken, vectoren of stemfragmenten te voorkomen;</w:t>
      </w:r>
    </w:p>
    <w:p>
      <w:pPr>
        <w:pStyle w:val="Compact"/>
        <w:numPr>
          <w:ilvl w:val="0"/>
          <w:numId w:val="1036"/>
        </w:numPr>
      </w:pPr>
      <w:r>
        <w:rPr>
          <w:lang w:val="nl-NL"/>
        </w:rPr>
        <w:t xml:space="preserve">scheiding van verwerking door huurder;</w:t>
      </w:r>
    </w:p>
    <w:p>
      <w:pPr>
        <w:pStyle w:val="Compact"/>
        <w:numPr>
          <w:ilvl w:val="0"/>
          <w:numId w:val="1036"/>
        </w:numPr>
      </w:pPr>
      <w:r>
        <w:rPr>
          <w:lang w:val="nl-NL"/>
        </w:rPr>
        <w:t xml:space="preserve">beperking van de toegang tot workers en technische uitgangen;</w:t>
      </w:r>
    </w:p>
    <w:p>
      <w:pPr>
        <w:pStyle w:val="Compact"/>
        <w:numPr>
          <w:ilvl w:val="0"/>
          <w:numId w:val="1036"/>
        </w:numPr>
      </w:pPr>
      <w:r>
        <w:rPr>
          <w:lang w:val="nl-NL"/>
        </w:rPr>
        <w:t xml:space="preserve">mogelijkheid om de functionaliteit te deactiveren op verzoek van de klant of op basis van een contractuele clausule;</w:t>
      </w:r>
    </w:p>
    <w:p>
      <w:pPr>
        <w:pStyle w:val="Compact"/>
        <w:numPr>
          <w:ilvl w:val="0"/>
          <w:numId w:val="1036"/>
        </w:numPr>
      </w:pPr>
      <w:r>
        <w:rPr>
          <w:lang w:val="nl-NL"/>
        </w:rPr>
        <w:t xml:space="preserve">selectie van GPU-bronnen die zich in de EU/EER bevinden, indien nodig.</w:t>
      </w:r>
    </w:p>
    <w:p>
      <w:r>
        <w:pict>
          <v:rect style="width:0;height:1.5pt" o:hralign="center" o:hrstd="t" o:hr="t"/>
        </w:pict>
      </w:r>
    </w:p>
    <w:bookmarkEnd w:id="137"/>
    <w:bookmarkStart w:id="138" w:name="X78fc07a469ca6699f328a51971f58213a3ffac5"/>
    <w:p>
      <w:pPr>
        <w:pStyle w:val="Heading2"/>
        <w:keepNext/>
        <w:keepLines/>
      </w:pPr>
      <w:r>
        <w:rPr>
          <w:color w:val="000000"/>
          <w:lang w:val="nl-NL"/>
        </w:rPr>
        <w:t xml:space="preserve">6. Beperkingen en aanbevelingen voor verwerkingsverantwoordelijke</w:t>
      </w:r>
    </w:p>
    <w:p>
      <w:pPr>
        <w:pStyle w:val="FirstParagraph"/>
      </w:pPr>
      <w:r>
        <w:rPr>
          <w:lang w:val="nl-NL"/>
        </w:rPr>
        <w:t xml:space="preserve">Als verwerkingsverantwoordelijke behoudt de Klant de controle en verantwoordelijkheid voor de volgende elementen, ongeacht of stemcorrelatie is geactiveerd of niet:</w:t>
      </w:r>
    </w:p>
    <w:p>
      <w:pPr>
        <w:pStyle w:val="Compact"/>
        <w:numPr>
          <w:ilvl w:val="0"/>
          <w:numId w:val="1037"/>
        </w:numPr>
      </w:pPr>
      <w:r>
        <w:rPr>
          <w:b/>
          <w:bCs/>
          <w:lang w:val="nl-NL"/>
        </w:rPr>
        <w:t xml:space="preserve">Informatie van de betrokkenen: informeer </w:t>
      </w:r>
      <w:r>
        <w:rPr>
          <w:lang w:val="nl-NL"/>
        </w:rPr>
        <w:t xml:space="preserve"/>
      </w:r>
      <w:r>
        <w:rPr>
          <w:lang w:val="nl-NL"/>
        </w:rPr>
        <w:t xml:space="preserve">de betrokkenen over de implementatie van sprekerdiarisatie en, indien van toepassing, stemcorrelatie (artikelen 12 tot en met 14).</w:t>
      </w:r>
    </w:p>
    <w:p>
      <w:pPr>
        <w:pStyle w:val="Compact"/>
        <w:numPr>
          <w:ilvl w:val="0"/>
          <w:numId w:val="1037"/>
        </w:numPr>
      </w:pPr>
      <w:r>
        <w:rPr>
          <w:b/>
          <w:bCs/>
          <w:lang w:val="nl-NL"/>
        </w:rPr>
        <w:t xml:space="preserve">Rechtsgrond: documenteer de </w:t>
      </w:r>
      <w:r>
        <w:rPr>
          <w:lang w:val="nl-NL"/>
        </w:rPr>
        <w:t xml:space="preserve">grondslag </w:t>
      </w:r>
      <w:r>
        <w:rPr>
          <w:lang w:val="nl-NL"/>
        </w:rPr>
        <w:t xml:space="preserve">van artikel 6 en, bij verwerking van bijzondere categorieën, een toepasselijke voorwaarde van artikel 9. In een arbeidsrelatie mag toestemming wegens de gezagsverhouding niet als vrij gegeven worden verondersteld; zij is alleen passend bij een werkelijke, herroepbare keuze zonder nadelige gevolgen. Instemming van de werkgever of vertegenwoordigers vervangt deze beoordeling niet.</w:t>
      </w:r>
    </w:p>
    <w:p>
      <w:pPr>
        <w:pStyle w:val="Compact"/>
        <w:numPr>
          <w:ilvl w:val="0"/>
          <w:numId w:val="1037"/>
        </w:numPr>
      </w:pPr>
      <w:r>
        <w:rPr>
          <w:b/>
          <w:bCs/>
          <w:lang w:val="nl-NL"/>
        </w:rPr>
        <w:t xml:space="preserve">Proportionaliteit en noodzaak: </w:t>
      </w:r>
      <w:r>
        <w:rPr>
          <w:lang w:val="nl-NL"/>
        </w:rPr>
        <w:t xml:space="preserve"/>
      </w:r>
      <w:r>
        <w:rPr>
          <w:lang w:val="nl-NL"/>
        </w:rPr>
        <w:t xml:space="preserve">activeer stemcorrelatie alleen als dit noodzakelijk en proportioneel is aan het beoogde doel; Als dat niet lukt, blijf dan bij positionele sprekerdiarisatie en handmatige attributie.</w:t>
      </w:r>
    </w:p>
    <w:p>
      <w:pPr>
        <w:pStyle w:val="Compact"/>
        <w:numPr>
          <w:ilvl w:val="0"/>
          <w:numId w:val="1037"/>
        </w:numPr>
      </w:pPr>
      <w:r>
        <w:rPr>
          <w:b/>
          <w:bCs/>
          <w:lang w:val="nl-NL"/>
        </w:rPr>
        <w:t xml:space="preserve">GEB: </w:t>
      </w:r>
      <w:r>
        <w:rPr>
          <w:lang w:val="nl-NL"/>
        </w:rPr>
        <w:t xml:space="preserve"/>
      </w:r>
      <w:r>
        <w:rPr>
          <w:lang w:val="nl-NL"/>
        </w:rPr>
        <w:t xml:space="preserve">voer de impactanalyse uit voorafgaand aan elke activering van stemcorrelatie; OHADJA zorgt voor de nodige ondersteuning en technische documentatie (architectuur, MTO, niet-persistentiegaranties).</w:t>
      </w:r>
    </w:p>
    <w:p>
      <w:pPr>
        <w:pStyle w:val="Compact"/>
        <w:numPr>
          <w:ilvl w:val="0"/>
          <w:numId w:val="1037"/>
        </w:numPr>
      </w:pPr>
      <w:r>
        <w:rPr>
          <w:b/>
          <w:bCs/>
          <w:lang w:val="nl-NL"/>
        </w:rPr>
        <w:t xml:space="preserve">Menselijke validatie: </w:t>
      </w:r>
      <w:r>
        <w:rPr>
          <w:lang w:val="nl-NL"/>
        </w:rPr>
        <w:t xml:space="preserve"/>
      </w:r>
      <w:r>
        <w:rPr>
          <w:lang w:val="nl-NL"/>
        </w:rPr>
        <w:t xml:space="preserve">onderhoud een systematische menselijke beoordeling van suggesties vóór toekenning.</w:t>
      </w:r>
    </w:p>
    <w:p>
      <w:pPr>
        <w:pStyle w:val="FirstParagraph"/>
      </w:pPr>
      <w:r>
        <w:rPr>
          <w:b/>
          <w:bCs/>
          <w:lang w:val="nl-NL"/>
        </w:rPr>
        <w:t xml:space="preserve">Aanbeveling van OHADJA: </w:t>
      </w:r>
      <w:r>
        <w:rPr>
          <w:lang w:val="nl-NL"/>
        </w:rPr>
        <w:t xml:space="preserve">geef </w:t>
      </w:r>
      <w:r>
        <w:rPr>
          <w:lang w:val="nl-NL"/>
        </w:rPr>
        <w:t xml:space="preserve">de voorkeur aan de minst ingrijpende oplossing die aan de gedocumenteerde behoefte voldoet. Ook diarisatie en handmatige </w:t>
      </w:r>
      <w:r>
        <w:rPr>
          <w:lang w:val="nl-NL"/>
        </w:rPr>
        <w:t xml:space="preserve"/>
      </w:r>
      <w:r>
        <w:rPr>
          <w:b/>
          <w:bCs/>
          <w:lang w:val="nl-NL"/>
        </w:rPr>
        <w:t xml:space="preserve">toewijzing vereisen een risicoanalyse van de opname en </w:t>
      </w:r>
      <w:r>
        <w:rPr>
          <w:lang w:val="nl-NL"/>
        </w:rPr>
        <w:t xml:space="preserve">de </w:t>
      </w:r>
      <w:r>
        <w:rPr>
          <w:lang w:val="nl-NL"/>
        </w:rPr>
        <w:t xml:space="preserve">inhoud. Stemcorrelatie mag pas worden overwogen nadat de noodzaak is onderbouwd, de artikelen 6 en 9 zijn onderzocht en vooraf een GEB en een specifiek addendum zijn opgesteld.</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138"/>
    <w:bookmarkEnd w:id="139"/>
    <w:bookmarkStart w:id="147" w:name="Xbb174e7fcc237e3b8817e4a78ba18c05179a16d"/>
    <w:p>
      <w:pPr>
        <w:pStyle w:val="Heading1"/>
        <w:keepNext/>
        <w:keepLines/>
      </w:pPr>
      <w:r>
        <w:rPr>
          <w:color w:val="000000"/>
          <w:lang w:val="nl-NL"/>
        </w:rPr>
        <w:t xml:space="preserve">AVG Klantenondersteuningsprocedures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OHA-RGPD-08</w:t>
            </w:r>
          </w:p>
        </w:tc>
      </w:tr>
      <w:tr>
        <w:trPr>
          <w:cantSplit/>
        </w:trPr>
        <w:tc>
          <w:tcPr/>
          <w:p>
            <w:pPr>
              <w:pStyle w:val="Compact"/>
            </w:pPr>
            <w:r>
              <w:rPr>
                <w:lang w:val="nl-NL"/>
              </w:rPr>
              <w:t xml:space="preserve">Doel</w:t>
            </w:r>
          </w:p>
        </w:tc>
        <w:tc>
          <w:tcPr/>
          <w:p>
            <w:pPr>
              <w:pStyle w:val="Compact"/>
            </w:pPr>
            <w:r>
              <w:rPr>
                <w:lang w:val="nl-NL"/>
              </w:rPr>
              <w:t xml:space="preserve">Procedurebladen operationele assistentie AVG (rechten, schendingen, restitutie, GEB, audit)</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140" w:name="objet"/>
    <w:p>
      <w:pPr>
        <w:pStyle w:val="Heading2"/>
        <w:keepNext/>
        <w:keepLines/>
      </w:pPr>
      <w:r>
        <w:rPr>
          <w:color w:val="000000"/>
          <w:lang w:val="nl-NL"/>
        </w:rPr>
        <w:t xml:space="preserve">Doel</w:t>
      </w:r>
    </w:p>
    <w:p>
      <w:pPr>
        <w:pStyle w:val="FirstParagraph"/>
      </w:pPr>
      <w:r>
        <w:rPr>
          <w:lang w:val="nl-NL"/>
        </w:rPr>
        <w:t xml:space="preserve">Dit document beschrijft, in de vorm van bladen, de operationele procedures waarmee OHADJA de Klant helpt bij het voldoen aan zijn AVG-verplichtingen. De Klant blijft verwerkingsverantwoordelijke; OHADJA treedt ondersteunend op, binnen de grenzen van de Verwerkersovereenkomst.</w:t>
      </w:r>
    </w:p>
    <w:p>
      <w:pPr>
        <w:pStyle w:val="BodyText"/>
      </w:pPr>
      <w:r>
        <w:rPr>
          <w:b/>
          <w:bCs/>
          <w:lang w:val="nl-NL"/>
        </w:rPr>
        <w:t xml:space="preserve">Eén contactpersoon: </w:t>
      </w:r>
      <w:r>
        <w:rPr>
          <w:lang w:val="nl-NL"/>
        </w:rPr>
        <w:t xml:space="preserve"/>
      </w:r>
      <w:hyperlink r:id="rId9">
        <w:r>
          <w:rPr>
            <w:rStyle w:val="Hyperlink"/>
            <w:lang w:val="nl-NL"/>
          </w:rPr>
          <w:t xml:space="preserve">privacy@transcribia.eu</w:t>
        </w:r>
      </w:hyperlink>
      <w:r>
        <w:rPr>
          <w:lang w:val="nl-NL"/>
        </w:rPr>
        <w:t xml:space="preserve">.</w:t>
      </w:r>
    </w:p>
    <w:p>
      <w:r>
        <w:pict>
          <v:rect style="width:0;height:1.5pt" o:hralign="center" o:hrstd="t" o:hr="t"/>
        </w:pict>
      </w:r>
    </w:p>
    <w:bookmarkEnd w:id="140"/>
    <w:bookmarkStart w:id="141" w:name="Xd4924d66601c499ace1dd22e56ade19d3c4cae9"/>
    <w:p>
      <w:pPr>
        <w:pStyle w:val="Heading2"/>
        <w:keepNext/>
        <w:keepLines/>
      </w:pPr>
      <w:r>
        <w:rPr>
          <w:color w:val="000000"/>
          <w:lang w:val="nl-NL"/>
        </w:rPr>
        <w:t xml:space="preserve">PROC-01 — Verzoeken om individuele rechten uit te oefenen</w:t>
      </w:r>
    </w:p>
    <w:p>
      <w:pPr>
        <w:pStyle w:val="FirstParagraph"/>
      </w:pPr>
      <w:r>
        <w:rPr>
          <w:b/>
          <w:bCs/>
          <w:lang w:val="nl-NL"/>
        </w:rPr>
        <w:t xml:space="preserve">Ontvangstkanaal. </w:t>
      </w:r>
      <w:r>
        <w:rPr>
          <w:lang w:val="nl-NL"/>
        </w:rPr>
        <w:t xml:space="preserve"/>
      </w:r>
      <w:r>
        <w:rPr>
          <w:lang w:val="nl-NL"/>
        </w:rPr>
        <w:t xml:space="preserve">Verzoeken van klanten worden schriftelijk verzonden naar </w:t>
      </w:r>
      <w:r>
        <w:rPr>
          <w:lang w:val="nl-NL"/>
        </w:rPr>
        <w:t xml:space="preserve"/>
      </w:r>
      <w:hyperlink r:id="rId9">
        <w:r>
          <w:rPr>
            <w:rStyle w:val="Hyperlink"/>
            <w:lang w:val="nl-NL"/>
          </w:rPr>
          <w:t xml:space="preserve">privacy@transcribia.eu</w:t>
        </w:r>
      </w:hyperlink>
      <w:r>
        <w:rPr>
          <w:lang w:val="nl-NL"/>
        </w:rPr>
        <w:t xml:space="preserve">.</w:t>
      </w:r>
    </w:p>
    <w:p>
      <w:pPr>
        <w:pStyle w:val="BodyText"/>
      </w:pPr>
      <w:r>
        <w:rPr>
          <w:b/>
          <w:bCs/>
          <w:lang w:val="nl-NL"/>
        </w:rPr>
        <w:t xml:space="preserve">Ondersteuning tijd. </w:t>
      </w:r>
      <w:r>
        <w:rPr>
          <w:lang w:val="nl-NL"/>
        </w:rPr>
        <w:t xml:space="preserve"/>
      </w:r>
      <w:r>
        <w:rPr>
          <w:lang w:val="nl-NL"/>
        </w:rPr>
        <w:t xml:space="preserve">OHADJA helpt de Klant binnen 7 werkdagen vanaf </w:t>
      </w:r>
      <w:r>
        <w:rPr>
          <w:lang w:val="nl-NL"/>
        </w:rPr>
        <w:t xml:space="preserve"/>
      </w:r>
      <w:r>
        <w:rPr>
          <w:b/>
          <w:bCs/>
          <w:lang w:val="nl-NL"/>
        </w:rPr>
        <w:t xml:space="preserve">een volledig </w:t>
      </w:r>
      <w:r>
        <w:rPr>
          <w:lang w:val="nl-NL"/>
        </w:rPr>
        <w:t xml:space="preserve"/>
      </w:r>
      <w:r>
        <w:rPr>
          <w:lang w:val="nl-NL"/>
        </w:rPr>
        <w:t xml:space="preserve">schriftelijk verzoek (behalve in geval van een gerechtvaardigde noodsituatie of complexiteit die een redelijke extra termijn rechtvaardigt).</w:t>
      </w:r>
    </w:p>
    <w:p>
      <w:pPr>
        <w:pStyle w:val="BodyText"/>
      </w:pPr>
      <w:r>
        <w:rPr>
          <w:b/>
          <w:bCs/>
          <w:lang w:val="nl-NL"/>
        </w:rPr>
        <w:t xml:space="preserve">Principe. </w:t>
      </w:r>
      <w:r>
        <w:rPr>
          <w:lang w:val="nl-NL"/>
        </w:rPr>
        <w:t xml:space="preserve"/>
      </w:r>
      <w:r>
        <w:rPr>
          <w:lang w:val="nl-NL"/>
        </w:rPr>
        <w:t xml:space="preserve">OHADJA </w:t>
      </w:r>
      <w:r>
        <w:rPr>
          <w:lang w:val="nl-NL"/>
        </w:rPr>
        <w:t xml:space="preserve"/>
      </w:r>
      <w:r>
        <w:rPr>
          <w:b/>
          <w:bCs/>
          <w:lang w:val="nl-NL"/>
        </w:rPr>
        <w:t xml:space="preserve">reageert niet rechtstreeks </w:t>
      </w:r>
      <w:r>
        <w:rPr>
          <w:lang w:val="nl-NL"/>
        </w:rPr>
        <w:t xml:space="preserve"/>
      </w:r>
      <w:r>
        <w:rPr>
          <w:lang w:val="nl-NL"/>
        </w:rPr>
        <w:t xml:space="preserve">op de betrokkene; zij staat de Klant bij, die de te ondernemen actie beoordeelt. Als OHADJA rechtstreeks een verzoek van een persoon ontvangt, stuurt zij dit door naar de Klant.</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Recht</w:t>
            </w:r>
          </w:p>
        </w:tc>
        <w:tc>
          <w:tcPr/>
          <w:p>
            <w:pPr>
              <w:pStyle w:val="Compact"/>
            </w:pPr>
            <w:r>
              <w:rPr>
                <w:lang w:val="nl-NL"/>
              </w:rPr>
              <w:t xml:space="preserve">Bediening mogelijk</w:t>
            </w:r>
          </w:p>
        </w:tc>
        <w:tc>
          <w:tcPr/>
          <w:p>
            <w:pPr>
              <w:pStyle w:val="Compact"/>
            </w:pPr>
            <w:r>
              <w:rPr>
                <w:lang w:val="nl-NL"/>
              </w:rPr>
              <w:t xml:space="preserve">Wie doet wat</w:t>
            </w:r>
          </w:p>
        </w:tc>
      </w:tr>
      <w:tr>
        <w:trPr>
          <w:cantSplit/>
        </w:trPr>
        <w:tc>
          <w:tcPr/>
          <w:p>
            <w:pPr>
              <w:pStyle w:val="Compact"/>
            </w:pPr>
            <w:r>
              <w:rPr>
                <w:lang w:val="nl-NL"/>
              </w:rPr>
              <w:t xml:space="preserve">Toegang (art. 15)</w:t>
            </w:r>
          </w:p>
        </w:tc>
        <w:tc>
          <w:tcPr/>
          <w:p>
            <w:pPr>
              <w:pStyle w:val="Compact"/>
            </w:pPr>
            <w:r>
              <w:rPr>
                <w:lang w:val="nl-NL"/>
              </w:rPr>
              <w:t xml:space="preserve">Exporteren/zoeken van sessies en inhoud</w:t>
            </w:r>
          </w:p>
        </w:tc>
        <w:tc>
          <w:tcPr/>
          <w:p>
            <w:pPr>
              <w:pStyle w:val="Compact"/>
            </w:pPr>
            <w:r>
              <w:rPr>
                <w:lang w:val="nl-NL"/>
              </w:rPr>
              <w:t xml:space="preserve">Klant via app; OHADJA voor technische ondersteuning</w:t>
            </w:r>
          </w:p>
        </w:tc>
      </w:tr>
      <w:tr>
        <w:trPr>
          <w:cantSplit/>
        </w:trPr>
        <w:tc>
          <w:tcPr/>
          <w:p>
            <w:pPr>
              <w:pStyle w:val="Compact"/>
            </w:pPr>
            <w:r>
              <w:rPr>
                <w:lang w:val="nl-NL"/>
              </w:rPr>
              <w:t xml:space="preserve">Rectificatie (art. 16)</w:t>
            </w:r>
          </w:p>
        </w:tc>
        <w:tc>
          <w:tcPr/>
          <w:p>
            <w:pPr>
              <w:pStyle w:val="Compact"/>
            </w:pPr>
            <w:r>
              <w:rPr>
                <w:lang w:val="nl-NL"/>
              </w:rPr>
              <w:t xml:space="preserve">Gratis bewerking van transcripties en inhoud</w:t>
            </w:r>
          </w:p>
        </w:tc>
        <w:tc>
          <w:tcPr/>
          <w:p>
            <w:pPr>
              <w:pStyle w:val="Compact"/>
            </w:pPr>
            <w:r>
              <w:rPr>
                <w:lang w:val="nl-NL"/>
              </w:rPr>
              <w:t xml:space="preserve">Klant (zelfbediening)</w:t>
            </w:r>
          </w:p>
        </w:tc>
      </w:tr>
      <w:tr>
        <w:trPr>
          <w:cantSplit/>
        </w:trPr>
        <w:tc>
          <w:tcPr/>
          <w:p>
            <w:pPr>
              <w:pStyle w:val="Compact"/>
            </w:pPr>
            <w:r>
              <w:rPr>
                <w:lang w:val="nl-NL"/>
              </w:rPr>
              <w:t xml:space="preserve">Wissen (art. 17)</w:t>
            </w:r>
          </w:p>
        </w:tc>
        <w:tc>
          <w:tcPr/>
          <w:p>
            <w:pPr>
              <w:pStyle w:val="Compact"/>
            </w:pPr>
            <w:r>
              <w:rPr>
                <w:lang w:val="nl-NL"/>
              </w:rPr>
              <w:t xml:space="preserve">Gecertificeerde verwijdering getraceerd + certificaat</w:t>
            </w:r>
          </w:p>
        </w:tc>
        <w:tc>
          <w:tcPr/>
          <w:p>
            <w:pPr>
              <w:pStyle w:val="Compact"/>
            </w:pPr>
            <w:r>
              <w:rPr>
                <w:lang w:val="nl-NL"/>
              </w:rPr>
              <w:t xml:space="preserve">Clienttriggers (Instellingen → Portabiliteit); OHADJA back-ups ondersteunen/opschonen</w:t>
            </w:r>
          </w:p>
        </w:tc>
      </w:tr>
      <w:tr>
        <w:trPr>
          <w:cantSplit/>
        </w:trPr>
        <w:tc>
          <w:tcPr/>
          <w:p>
            <w:pPr>
              <w:pStyle w:val="Compact"/>
            </w:pPr>
            <w:r>
              <w:rPr>
                <w:lang w:val="nl-NL"/>
              </w:rPr>
              <w:t xml:space="preserve">Draagbaarheid (art. 20)</w:t>
            </w:r>
          </w:p>
        </w:tc>
        <w:tc>
          <w:tcPr/>
          <w:p>
            <w:pPr>
              <w:pStyle w:val="Compact"/>
            </w:pPr>
            <w:r>
              <w:rPr>
                <w:lang w:val="nl-NL"/>
              </w:rPr>
              <w:t xml:space="preserve">Exporteer </w:t>
            </w:r>
            <w:r>
              <w:rPr>
                <w:lang w:val="nl-NL"/>
              </w:rPr>
              <w:t xml:space="preserve"/>
            </w:r>
            <w:r>
              <w:rPr>
                <w:rStyle w:val="VerbatimChar"/>
                <w:lang w:val="nl-NL"/>
              </w:rPr>
              <w:t xml:space="preserve">.tar.gz</w:t>
            </w:r>
            <w:r>
              <w:rPr>
                <w:lang w:val="nl-NL"/>
              </w:rPr>
              <w:t xml:space="preserve"> </w:t>
            </w:r>
            <w:r>
              <w:rPr>
                <w:lang w:val="nl-NL"/>
              </w:rPr>
              <w:t xml:space="preserve">ondertekend SHA-256 door huurder</w:t>
            </w:r>
          </w:p>
        </w:tc>
        <w:tc>
          <w:tcPr/>
          <w:p>
            <w:pPr>
              <w:pStyle w:val="Compact"/>
            </w:pPr>
            <w:r>
              <w:rPr>
                <w:lang w:val="nl-NL"/>
              </w:rPr>
              <w:t xml:space="preserve">Klant (zelfbediening)</w:t>
            </w:r>
          </w:p>
        </w:tc>
      </w:tr>
      <w:tr>
        <w:trPr>
          <w:cantSplit/>
        </w:trPr>
        <w:tc>
          <w:tcPr/>
          <w:p>
            <w:pPr>
              <w:pStyle w:val="Compact"/>
            </w:pPr>
            <w:r>
              <w:rPr>
                <w:lang w:val="nl-NL"/>
              </w:rPr>
              <w:t xml:space="preserve">Beperking (art. 18)</w:t>
            </w:r>
          </w:p>
        </w:tc>
        <w:tc>
          <w:tcPr/>
          <w:p>
            <w:pPr>
              <w:pStyle w:val="Compact"/>
            </w:pPr>
            <w:r>
              <w:rPr>
                <w:lang w:val="nl-NL"/>
              </w:rPr>
              <w:t xml:space="preserve">Beperking van toegang/verwerking van gerichte inhoud</w:t>
            </w:r>
          </w:p>
        </w:tc>
        <w:tc>
          <w:tcPr/>
          <w:p>
            <w:pPr>
              <w:pStyle w:val="Compact"/>
            </w:pPr>
            <w:r>
              <w:rPr>
                <w:lang w:val="nl-NL"/>
              </w:rPr>
              <w:t xml:space="preserve">Klant; OHADJA voor technische ondersteuning</w:t>
            </w:r>
          </w:p>
        </w:tc>
      </w:tr>
      <w:tr>
        <w:trPr>
          <w:cantSplit/>
        </w:trPr>
        <w:tc>
          <w:tcPr/>
          <w:p>
            <w:pPr>
              <w:pStyle w:val="Compact"/>
            </w:pPr>
            <w:r>
              <w:rPr>
                <w:lang w:val="nl-NL"/>
              </w:rPr>
              <w:t xml:space="preserve">Oppositie (art. 21)</w:t>
            </w:r>
          </w:p>
        </w:tc>
        <w:tc>
          <w:tcPr/>
          <w:p>
            <w:pPr>
              <w:pStyle w:val="Compact"/>
            </w:pPr>
            <w:r>
              <w:rPr>
                <w:lang w:val="nl-NL"/>
              </w:rPr>
              <w:t xml:space="preserve">Stopzetting van de betreffende verwerking op basis van het besluit van de Klant</w:t>
            </w:r>
          </w:p>
        </w:tc>
        <w:tc>
          <w:tcPr/>
          <w:p>
            <w:pPr>
              <w:pStyle w:val="Compact"/>
            </w:pPr>
            <w:r>
              <w:rPr>
                <w:lang w:val="nl-NL"/>
              </w:rPr>
              <w:t xml:space="preserve">Klant waardeert; OHADJA voert technische handelingen uit</w:t>
            </w:r>
          </w:p>
        </w:tc>
      </w:tr>
    </w:tbl>
    <w:p>
      <w:r>
        <w:pict>
          <v:rect style="width:0;height:1.5pt" o:hralign="center" o:hrstd="t" o:hr="t"/>
        </w:pict>
      </w:r>
    </w:p>
    <w:bookmarkEnd w:id="141"/>
    <w:bookmarkStart w:id="142" w:name="Xf2dfb29b41ebd5e3b0b22ee6a749e96ee0a58c3"/>
    <w:p>
      <w:pPr>
        <w:pStyle w:val="Heading2"/>
        <w:keepNext/>
        <w:keepLines/>
      </w:pPr>
      <w:r>
        <w:rPr>
          <w:color w:val="000000"/>
          <w:lang w:val="nl-NL"/>
        </w:rPr>
        <w:t xml:space="preserve">PROC-02 — Melding van inbreuk op gegevens</w:t>
      </w:r>
    </w:p>
    <w:p>
      <w:pPr>
        <w:pStyle w:val="FirstParagraph"/>
      </w:pPr>
      <w:r>
        <w:rPr>
          <w:b/>
          <w:bCs/>
          <w:lang w:val="nl-NL"/>
        </w:rPr>
        <w:t xml:space="preserve">Detectie. </w:t>
      </w:r>
      <w:r>
        <w:rPr>
          <w:lang w:val="nl-NL"/>
        </w:rPr>
        <w:t xml:space="preserve"/>
      </w:r>
      <w:r>
        <w:rPr>
          <w:lang w:val="nl-NL"/>
        </w:rPr>
        <w:t xml:space="preserve">24/7 toezicht (wachtrij, schijf, certificaten, afhankelijkheden), audit trail, waarschuwingen (ClamAV, beveiliging).</w:t>
      </w:r>
    </w:p>
    <w:p>
      <w:pPr>
        <w:pStyle w:val="BodyText"/>
      </w:pPr>
      <w:r>
        <w:rPr>
          <w:b/>
          <w:bCs/>
          <w:lang w:val="nl-NL"/>
        </w:rPr>
        <w:t xml:space="preserve">Kwalificatie. </w:t>
      </w:r>
      <w:r>
        <w:rPr>
          <w:lang w:val="nl-NL"/>
        </w:rPr>
        <w:t xml:space="preserve"/>
      </w:r>
      <w:r>
        <w:rPr>
          <w:lang w:val="nl-NL"/>
        </w:rPr>
        <w:t xml:space="preserve">OHADJA analyseert de gebeurtenis, beperkt de gevolgen ervan, herstelt de veiligheid en bewaart de onderzoekselementen.</w:t>
      </w:r>
    </w:p>
    <w:p>
      <w:pPr>
        <w:pStyle w:val="BodyText"/>
      </w:pPr>
      <w:r>
        <w:rPr>
          <w:b/>
          <w:bCs/>
          <w:lang w:val="nl-NL"/>
        </w:rPr>
        <w:t xml:space="preserve">Melding aan de Klant. Bij een inbreuk </w:t>
      </w:r>
      <w:r>
        <w:rPr>
          <w:lang w:val="nl-NL"/>
        </w:rPr>
        <w:t xml:space="preserve"/>
      </w:r>
      <w:r>
        <w:rPr>
          <w:lang w:val="nl-NL"/>
        </w:rPr>
        <w:t xml:space="preserve">betreffende de gegevens van de Klant informeert OHADJA hem zonder onredelijke vertraging nadat zij hiervan kennis </w:t>
      </w:r>
      <w:r>
        <w:rPr>
          <w:lang w:val="nl-NL"/>
        </w:rPr>
        <w:t xml:space="preserve"/>
      </w:r>
      <w:r>
        <w:rPr>
          <w:b/>
          <w:bCs/>
          <w:lang w:val="nl-NL"/>
        </w:rPr>
        <w:t xml:space="preserve">heeft gekregen, ook buiten werkdagen (§8 van de verwerkersovereenkomst), met de beschikbare informatie van </w:t>
      </w:r>
      <w:r>
        <w:rPr>
          <w:lang w:val="nl-NL"/>
        </w:rPr>
        <w:t xml:space="preserve"/>
      </w:r>
      <w:r>
        <w:rPr>
          <w:lang w:val="nl-NL"/>
        </w:rPr>
        <w:t xml:space="preserve">artikel 33, lid 3; aanvullende informatie volgt zonder onredelijke vertraging:</w:t>
      </w:r>
    </w:p>
    <w:p>
      <w:pPr>
        <w:pStyle w:val="Compact"/>
        <w:numPr>
          <w:ilvl w:val="0"/>
          <w:numId w:val="1038"/>
        </w:numPr>
      </w:pPr>
      <w:r>
        <w:rPr>
          <w:lang w:val="nl-NL"/>
        </w:rPr>
        <w:t xml:space="preserve">aard van de overtreding;</w:t>
      </w:r>
    </w:p>
    <w:p>
      <w:pPr>
        <w:pStyle w:val="Compact"/>
        <w:numPr>
          <w:ilvl w:val="0"/>
          <w:numId w:val="1038"/>
        </w:numPr>
      </w:pPr>
      <w:r>
        <w:rPr>
          <w:lang w:val="nl-NL"/>
        </w:rPr>
        <w:t xml:space="preserve">categorieën van betrokken gegevens;</w:t>
      </w:r>
    </w:p>
    <w:p>
      <w:pPr>
        <w:pStyle w:val="Compact"/>
        <w:numPr>
          <w:ilvl w:val="0"/>
          <w:numId w:val="1038"/>
        </w:numPr>
      </w:pPr>
      <w:r>
        <w:rPr>
          <w:lang w:val="nl-NL"/>
        </w:rPr>
        <w:t xml:space="preserve">categorieën en geschat aantal betrokken personen (indien beschikbaar);</w:t>
      </w:r>
    </w:p>
    <w:p>
      <w:pPr>
        <w:pStyle w:val="Compact"/>
        <w:numPr>
          <w:ilvl w:val="0"/>
          <w:numId w:val="1038"/>
        </w:numPr>
      </w:pPr>
      <w:r>
        <w:rPr>
          <w:lang w:val="nl-NL"/>
        </w:rPr>
        <w:t xml:space="preserve">categorieën en geschat aantal getroffen records (indien beschikbaar);</w:t>
      </w:r>
    </w:p>
    <w:p>
      <w:pPr>
        <w:pStyle w:val="Compact"/>
        <w:numPr>
          <w:ilvl w:val="0"/>
          <w:numId w:val="1038"/>
        </w:numPr>
      </w:pPr>
      <w:r>
        <w:rPr>
          <w:lang w:val="nl-NL"/>
        </w:rPr>
        <w:t xml:space="preserve">waarschijnlijke gevolgen;</w:t>
      </w:r>
    </w:p>
    <w:p>
      <w:pPr>
        <w:pStyle w:val="Compact"/>
        <w:numPr>
          <w:ilvl w:val="0"/>
          <w:numId w:val="1038"/>
        </w:numPr>
      </w:pPr>
      <w:r>
        <w:rPr>
          <w:lang w:val="nl-NL"/>
        </w:rPr>
        <w:t xml:space="preserve">genomen of voorgestelde maatregelen om dit te verhelpen en te verzachten;</w:t>
      </w:r>
    </w:p>
    <w:p>
      <w:pPr>
        <w:pStyle w:val="Compact"/>
        <w:numPr>
          <w:ilvl w:val="0"/>
          <w:numId w:val="1038"/>
        </w:numPr>
      </w:pPr>
      <w:r>
        <w:rPr>
          <w:lang w:val="nl-NL"/>
        </w:rPr>
        <w:t xml:space="preserve">aanspreekpunt voor meer informatie.</w:t>
      </w:r>
    </w:p>
    <w:p>
      <w:pPr>
        <w:pStyle w:val="FirstParagraph"/>
      </w:pPr>
      <w:r>
        <w:rPr>
          <w:b/>
          <w:bCs/>
          <w:lang w:val="nl-NL"/>
        </w:rPr>
        <w:t xml:space="preserve">Gespreide informatie. </w:t>
      </w:r>
      <w:r>
        <w:rPr>
          <w:lang w:val="nl-NL"/>
        </w:rPr>
        <w:t xml:space="preserve"/>
      </w:r>
      <w:r>
        <w:rPr>
          <w:lang w:val="nl-NL"/>
        </w:rPr>
        <w:t xml:space="preserve">Wanneer niet alle informatie gelijktijdig beschikbaar is, wordt deze gespreid en zonder onnodige vertraging gecommuniceerd (art. 33.4).</w:t>
      </w:r>
    </w:p>
    <w:p>
      <w:pPr>
        <w:pStyle w:val="BodyText"/>
      </w:pPr>
      <w:r>
        <w:rPr>
          <w:b/>
          <w:bCs/>
          <w:lang w:val="nl-NL"/>
        </w:rPr>
        <w:t xml:space="preserve">Taakverdeling. De Klant beoordeelt </w:t>
      </w:r>
      <w:r>
        <w:rPr>
          <w:lang w:val="nl-NL"/>
        </w:rPr>
        <w:t xml:space="preserve">als </w:t>
      </w:r>
      <w:r>
        <w:rPr>
          <w:lang w:val="nl-NL"/>
        </w:rPr>
        <w:t xml:space="preserve">verwerkingsverantwoordelijke of melding aan de bevoegde toezichthoudende autoriteit vereist is onder artikel 33 van de AVG; indien vereist, meldt hij zonder onredelijke vertraging en waar </w:t>
      </w:r>
      <w:r>
        <w:rPr>
          <w:b/>
          <w:bCs/>
          <w:lang w:val="nl-NL"/>
        </w:rPr>
        <w:t xml:space="preserve">mogelijk binnen </w:t>
      </w:r>
      <w:r>
        <w:rPr>
          <w:lang w:val="nl-NL"/>
        </w:rPr>
        <w:t xml:space="preserve">72 uur nadat hij hiervan kennis heeft gekregen. De autoriteit wordt niet bepaald door de taal van het document; de CNIL is de Franse toezichthouder. Hij beoordeelt afzonderlijk de informatie aan personen bij een hoog risico, onder de voorwaarden van artikel 34.</w:t>
      </w:r>
    </w:p>
    <w:p>
      <w:pPr>
        <w:pStyle w:val="BodyText"/>
      </w:pPr>
      <w:r>
        <w:rPr>
          <w:b/>
          <w:bCs/>
          <w:lang w:val="nl-NL"/>
        </w:rPr>
        <w:t xml:space="preserve">Registreren. </w:t>
      </w:r>
      <w:r>
        <w:rPr>
          <w:lang w:val="nl-NL"/>
        </w:rPr>
        <w:t xml:space="preserve"/>
      </w:r>
      <w:r>
        <w:rPr>
          <w:lang w:val="nl-NL"/>
        </w:rPr>
        <w:t xml:space="preserve">OHADJA houdt overtredingen met betrekking tot de Klant bij.</w:t>
      </w:r>
    </w:p>
    <w:p>
      <w:pPr>
        <w:pStyle w:val="SourceCode"/>
      </w:pPr>
      <w:r>
        <w:rPr>
          <w:rStyle w:val="VerbatimChar"/>
          <w:rFonts w:ascii="Courier New" w:hAnsi="Courier New" w:eastAsia="Courier New" w:cs="Courier New"/>
          <w:sz w:val="18"/>
          <w:szCs w:val="18"/>
        </w:rPr>
        <w:t xml:space="preserve">Detectie -&gt; Beoordeling (indammen, veiligstellen)</w:t>
        <w:br/>
        <w:t xml:space="preserve">  -&gt; Klant zonder onredelijke vertraging informeren (inhoud art. 33.3)</w:t>
        <w:br/>
        <w:t xml:space="preserve">  -&gt; [Klant] bevoegde toezichthouder melden</w:t>
        <w:br/>
        <w:t xml:space="preserve">     &lt;= 72 uur na kennisneming, indien vereist (art. 33)</w:t>
        <w:br/>
        <w:t xml:space="preserve">  -&gt; Gefaseerde informatie indien nodig -&gt; Register</w:t>
      </w:r>
    </w:p>
    <w:p>
      <w:r>
        <w:pict>
          <v:rect style="width:0;height:1.5pt" o:hralign="center" o:hrstd="t" o:hr="t"/>
        </w:pict>
      </w:r>
    </w:p>
    <w:bookmarkEnd w:id="142"/>
    <w:bookmarkStart w:id="143" w:name="X792fea81bfb021da122d0633eac6cb82ef8ab0f"/>
    <w:p>
      <w:pPr>
        <w:pStyle w:val="Heading2"/>
        <w:keepNext/>
        <w:keepLines/>
      </w:pPr>
      <w:r>
        <w:rPr>
          <w:color w:val="000000"/>
          <w:lang w:val="nl-NL"/>
        </w:rPr>
        <w:t xml:space="preserve">PROC-03 — Retourneren/verwijderen aan het einde van het contract</w:t>
      </w:r>
    </w:p>
    <w:p>
      <w:pPr>
        <w:pStyle w:val="FirstParagraph"/>
      </w:pPr>
      <w:r>
        <w:rPr>
          <w:lang w:val="nl-NL"/>
        </w:rPr>
        <w:t xml:space="preserve">In overeenstemming met DPA §11 kiest de Klant aan het einde van </w:t>
      </w:r>
      <w:r>
        <w:rPr>
          <w:lang w:val="nl-NL"/>
        </w:rPr>
        <w:t xml:space="preserve">het </w:t>
      </w:r>
      <w:r>
        <w:rPr>
          <w:b/>
          <w:bCs/>
          <w:lang w:val="nl-NL"/>
        </w:rPr>
        <w:t xml:space="preserve">contract </w:t>
      </w:r>
      <w:r>
        <w:rPr>
          <w:lang w:val="nl-NL"/>
        </w:rPr>
        <w:t xml:space="preserve"/>
      </w:r>
      <w:r>
        <w:rPr>
          <w:lang w:val="nl-NL"/>
        </w:rPr>
        <w:t xml:space="preserve">schriftelijk:</w:t>
      </w:r>
    </w:p>
    <w:p>
      <w:pPr>
        <w:pStyle w:val="Compact"/>
        <w:numPr>
          <w:ilvl w:val="0"/>
          <w:numId w:val="1039"/>
        </w:numPr>
      </w:pPr>
      <w:r>
        <w:rPr>
          <w:b/>
          <w:bCs/>
          <w:lang w:val="nl-NL"/>
        </w:rPr>
        <w:t xml:space="preserve">Restitutie: </w:t>
      </w:r>
      <w:r>
        <w:rPr>
          <w:lang w:val="nl-NL"/>
        </w:rPr>
        <w:t xml:space="preserve"/>
      </w:r>
      <w:r>
        <w:rPr>
          <w:lang w:val="nl-NL"/>
        </w:rPr>
        <w:t xml:space="preserve">standaard export </w:t>
      </w:r>
      <w:r>
        <w:rPr>
          <w:lang w:val="nl-NL"/>
        </w:rPr>
        <w:t xml:space="preserve"/>
      </w:r>
      <w:r>
        <w:rPr>
          <w:rStyle w:val="VerbatimChar"/>
          <w:lang w:val="nl-NL"/>
        </w:rPr>
        <w:t xml:space="preserve">.tar.gz</w:t>
      </w:r>
      <w:r>
        <w:rPr>
          <w:lang w:val="nl-NL"/>
        </w:rPr>
        <w:t xml:space="preserve"> </w:t>
      </w:r>
      <w:r>
        <w:rPr>
          <w:lang w:val="nl-NL"/>
        </w:rPr>
        <w:t xml:space="preserve">ondertekend SHA-256 door huurder.</w:t>
      </w:r>
    </w:p>
    <w:p>
      <w:pPr>
        <w:pStyle w:val="Compact"/>
        <w:numPr>
          <w:ilvl w:val="0"/>
          <w:numId w:val="1039"/>
        </w:numPr>
      </w:pPr>
      <w:r>
        <w:rPr>
          <w:b/>
          <w:bCs/>
          <w:lang w:val="nl-NL"/>
        </w:rPr>
        <w:t xml:space="preserve">Schrapping: </w:t>
      </w:r>
      <w:r>
        <w:rPr>
          <w:lang w:val="nl-NL"/>
        </w:rPr>
        <w:t xml:space="preserve"/>
      </w:r>
      <w:r>
        <w:rPr>
          <w:lang w:val="nl-NL"/>
        </w:rPr>
        <w:t xml:space="preserve">productie verwijderd </w:t>
      </w:r>
      <w:r>
        <w:rPr>
          <w:lang w:val="nl-NL"/>
        </w:rPr>
        <w:t xml:space="preserve"/>
      </w:r>
      <w:r>
        <w:rPr>
          <w:b/>
          <w:bCs/>
          <w:lang w:val="nl-NL"/>
        </w:rPr>
        <w:t xml:space="preserve">≤ 30 dagen; </w:t>
      </w:r>
      <w:r>
        <w:rPr>
          <w:lang w:val="nl-NL"/>
        </w:rPr>
        <w:t xml:space="preserve"/>
      </w:r>
      <w:r>
        <w:rPr>
          <w:lang w:val="nl-NL"/>
        </w:rPr>
        <w:t xml:space="preserve">verwijderde back-ups </w:t>
      </w:r>
      <w:r>
        <w:rPr>
          <w:lang w:val="nl-NL"/>
        </w:rPr>
        <w:t xml:space="preserve"/>
      </w:r>
      <w:r>
        <w:rPr>
          <w:b/>
          <w:bCs/>
          <w:lang w:val="nl-NL"/>
        </w:rPr>
        <w:t xml:space="preserve">≤ 90 </w:t>
      </w:r>
      <w:r>
        <w:rPr>
          <w:lang w:val="nl-NL"/>
        </w:rPr>
        <w:t xml:space="preserve">dagen.</w:t>
      </w:r>
    </w:p>
    <w:p>
      <w:pPr>
        <w:pStyle w:val="Compact"/>
        <w:numPr>
          <w:ilvl w:val="0"/>
          <w:numId w:val="1039"/>
        </w:numPr>
      </w:pPr>
      <w:r>
        <w:rPr>
          <w:b/>
          <w:bCs/>
          <w:lang w:val="nl-NL"/>
        </w:rPr>
        <w:t xml:space="preserve">Certificaat </w:t>
      </w:r>
      <w:r>
        <w:rPr>
          <w:lang w:val="nl-NL"/>
        </w:rPr>
        <w:t xml:space="preserve"/>
      </w:r>
      <w:r>
        <w:rPr>
          <w:lang w:val="nl-NL"/>
        </w:rPr>
        <w:t xml:space="preserve">van verwijdering of retourzending </w:t>
      </w:r>
      <w:r>
        <w:rPr>
          <w:lang w:val="nl-NL"/>
        </w:rPr>
        <w:t xml:space="preserve"/>
      </w:r>
      <w:r>
        <w:rPr>
          <w:b/>
          <w:bCs/>
          <w:lang w:val="nl-NL"/>
        </w:rPr>
        <w:t xml:space="preserve">≤ 30 </w:t>
      </w:r>
      <w:r>
        <w:rPr>
          <w:lang w:val="nl-NL"/>
        </w:rPr>
        <w:t xml:space="preserve"/>
      </w:r>
      <w:r>
        <w:rPr>
          <w:lang w:val="nl-NL"/>
        </w:rPr>
        <w:t xml:space="preserve">dagen na voltooiing.</w:t>
      </w:r>
    </w:p>
    <w:p>
      <w:r>
        <w:pict>
          <v:rect style="width:0;height:1.5pt" o:hralign="center" o:hrstd="t" o:hr="t"/>
        </w:pict>
      </w:r>
    </w:p>
    <w:bookmarkEnd w:id="143"/>
    <w:bookmarkStart w:id="144" w:name="X6001a8d9102cccbb3e345d0a66583a05f743cff"/>
    <w:p>
      <w:pPr>
        <w:pStyle w:val="Heading2"/>
        <w:keepNext/>
        <w:keepLines/>
      </w:pPr>
      <w:r>
        <w:rPr>
          <w:color w:val="000000"/>
          <w:lang w:val="nl-NL"/>
        </w:rPr>
        <w:t xml:space="preserve">PROC-04 — Hulp bij impactanalyse (GEB)</w:t>
      </w:r>
    </w:p>
    <w:p>
      <w:pPr>
        <w:pStyle w:val="FirstParagraph"/>
      </w:pPr>
      <w:r>
        <w:rPr>
          <w:b/>
          <w:bCs/>
          <w:lang w:val="nl-NL"/>
        </w:rPr>
        <w:t xml:space="preserve">Informatie verstrekt door </w:t>
      </w:r>
      <w:r>
        <w:rPr>
          <w:lang w:val="nl-NL"/>
        </w:rPr>
        <w:t xml:space="preserve"/>
      </w:r>
      <w:r>
        <w:rPr>
          <w:lang w:val="nl-NL"/>
        </w:rPr>
        <w:t xml:space="preserve">OHADJA: servicearchitectuur, technische en organisatorische maatregelen (MTO), lijst van subverwerkers, flow mapping, garanties specifiek voor stemcorrelatie.</w:t>
      </w:r>
    </w:p>
    <w:p>
      <w:pPr>
        <w:pStyle w:val="BodyText"/>
      </w:pPr>
      <w:r>
        <w:rPr>
          <w:b/>
          <w:bCs/>
          <w:lang w:val="nl-NL"/>
        </w:rPr>
        <w:t xml:space="preserve">Resultaten: </w:t>
      </w:r>
      <w:r>
        <w:rPr>
          <w:lang w:val="nl-NL"/>
        </w:rPr>
        <w:t xml:space="preserve"/>
      </w:r>
      <w:r>
        <w:rPr>
          <w:lang w:val="nl-NL"/>
        </w:rPr>
        <w:t xml:space="preserve">een </w:t>
      </w:r>
      <w:r>
        <w:rPr>
          <w:lang w:val="nl-NL"/>
        </w:rPr>
        <w:t xml:space="preserve"/>
      </w:r>
      <w:r>
        <w:rPr>
          <w:b/>
          <w:bCs/>
          <w:lang w:val="nl-NL"/>
        </w:rPr>
        <w:t xml:space="preserve">generieke DPIA/GEB is </w:t>
      </w:r>
      <w:r>
        <w:rPr>
          <w:lang w:val="nl-NL"/>
        </w:rPr>
        <w:t xml:space="preserve">op </w:t>
      </w:r>
      <w:r>
        <w:rPr>
          <w:lang w:val="nl-NL"/>
        </w:rPr>
        <w:t xml:space="preserve">aanvraag beschikbaar ter ondersteuning; GEB blijft de verantwoordelijkheid van de Klant (verwerkingsverantwoordelijke). Er </w:t>
      </w:r>
      <w:r>
        <w:rPr>
          <w:lang w:val="nl-NL"/>
        </w:rPr>
        <w:t xml:space="preserve">kan </w:t>
      </w:r>
      <w:r>
        <w:rPr>
          <w:b/>
          <w:bCs/>
          <w:lang w:val="nl-NL"/>
        </w:rPr>
        <w:t xml:space="preserve">een </w:t>
      </w:r>
      <w:r>
        <w:rPr>
          <w:lang w:val="nl-NL"/>
        </w:rPr>
        <w:t xml:space="preserve"/>
      </w:r>
      <w:r>
        <w:rPr>
          <w:lang w:val="nl-NL"/>
        </w:rPr>
        <w:t xml:space="preserve">ondersteunende workshop worden georganiseerd.</w:t>
      </w:r>
    </w:p>
    <w:p>
      <w:pPr>
        <w:pStyle w:val="BodyText"/>
      </w:pPr>
      <w:r>
        <w:rPr>
          <w:b/>
          <w:bCs/>
          <w:lang w:val="nl-NL"/>
        </w:rPr>
        <w:t xml:space="preserve">Geval van stemcorrelatie: </w:t>
      </w:r>
      <w:r>
        <w:rPr>
          <w:lang w:val="nl-NL"/>
        </w:rPr>
        <w:t xml:space="preserve"/>
      </w:r>
      <w:r>
        <w:rPr>
          <w:lang w:val="nl-NL"/>
        </w:rPr>
        <w:t xml:space="preserve">verplichte </w:t>
      </w:r>
      <w:r>
        <w:rPr>
          <w:lang w:val="nl-NL"/>
        </w:rPr>
        <w:t xml:space="preserve"/>
      </w:r>
      <w:r>
        <w:rPr>
          <w:b/>
          <w:bCs/>
          <w:lang w:val="nl-NL"/>
        </w:rPr>
        <w:t xml:space="preserve">voorafgaande GEB </w:t>
      </w:r>
      <w:r>
        <w:rPr>
          <w:lang w:val="nl-NL"/>
        </w:rPr>
        <w:t xml:space="preserve"/>
      </w:r>
      <w:r>
        <w:rPr>
          <w:lang w:val="nl-NL"/>
        </w:rPr>
        <w:t xml:space="preserve">vóór activering (zie OHA-RGPD-07).</w:t>
      </w:r>
    </w:p>
    <w:p>
      <w:r>
        <w:pict>
          <v:rect style="width:0;height:1.5pt" o:hralign="center" o:hrstd="t" o:hr="t"/>
        </w:pict>
      </w:r>
    </w:p>
    <w:bookmarkEnd w:id="144"/>
    <w:bookmarkStart w:id="145" w:name="proc-05--assistance-à-laudit"/>
    <w:p>
      <w:pPr>
        <w:pStyle w:val="Heading2"/>
        <w:keepNext/>
        <w:keepLines/>
      </w:pPr>
      <w:r>
        <w:rPr>
          <w:color w:val="000000"/>
          <w:lang w:val="nl-NL"/>
        </w:rPr>
        <w:t xml:space="preserve">PROC-05 — Assistentie bij audits</w:t>
      </w:r>
    </w:p>
    <w:p>
      <w:pPr>
        <w:pStyle w:val="Compact"/>
        <w:numPr>
          <w:ilvl w:val="0"/>
          <w:numId w:val="1040"/>
        </w:numPr>
      </w:pPr>
      <w:r>
        <w:rPr>
          <w:lang w:val="nl-NL"/>
        </w:rPr>
        <w:t xml:space="preserve">Recht van de klant op audit: </w:t>
      </w:r>
      <w:r>
        <w:rPr>
          <w:lang w:val="nl-NL"/>
        </w:rPr>
        <w:t xml:space="preserve">1 </w:t>
      </w:r>
      <w:r>
        <w:rPr>
          <w:b/>
          <w:bCs/>
          <w:lang w:val="nl-NL"/>
        </w:rPr>
        <w:t xml:space="preserve">audit per kalenderjaar, </w:t>
      </w:r>
      <w:r>
        <w:rPr>
          <w:lang w:val="nl-NL"/>
        </w:rPr>
        <w:t xml:space="preserve">schriftelijke kennisgeving </w:t>
      </w:r>
      <w:r>
        <w:rPr>
          <w:lang w:val="nl-NL"/>
        </w:rPr>
        <w:t xml:space="preserve"/>
      </w:r>
      <w:r>
        <w:rPr>
          <w:b/>
          <w:bCs/>
          <w:lang w:val="nl-NL"/>
        </w:rPr>
        <w:t xml:space="preserve">≥ 30 dagen </w:t>
      </w:r>
      <w:r>
        <w:rPr>
          <w:lang w:val="nl-NL"/>
        </w:rPr>
        <w:t xml:space="preserve"/>
      </w:r>
      <w:r>
        <w:rPr>
          <w:lang w:val="nl-NL"/>
        </w:rPr>
        <w:t xml:space="preserve">(behalve ernstig incident of verzoek van een autoriteit).</w:t>
      </w:r>
    </w:p>
    <w:p>
      <w:pPr>
        <w:pStyle w:val="Compact"/>
        <w:numPr>
          <w:ilvl w:val="0"/>
          <w:numId w:val="1040"/>
        </w:numPr>
      </w:pPr>
      <w:r>
        <w:rPr>
          <w:lang w:val="nl-NL"/>
        </w:rPr>
        <w:t xml:space="preserve">Uitgevoerd tijdens werkdagen/uren, zonder de veiligheid, beschikbaarheid of vertrouwelijkheid van de gegevens van andere klanten in gevaar te brengen.</w:t>
      </w:r>
    </w:p>
    <w:p>
      <w:pPr>
        <w:pStyle w:val="Compact"/>
        <w:numPr>
          <w:ilvl w:val="0"/>
          <w:numId w:val="1040"/>
        </w:numPr>
      </w:pPr>
      <w:r>
        <w:rPr>
          <w:lang w:val="nl-NL"/>
        </w:rPr>
        <w:t xml:space="preserve">Mogelijke externe auditor (onder voorbehoud van vertrouwelijkheid, niet-concurrerend).</w:t>
      </w:r>
    </w:p>
    <w:p>
      <w:pPr>
        <w:pStyle w:val="Compact"/>
        <w:numPr>
          <w:ilvl w:val="0"/>
          <w:numId w:val="1040"/>
        </w:numPr>
      </w:pPr>
      <w:r>
        <w:rPr>
          <w:lang w:val="nl-NL"/>
        </w:rPr>
        <w:t xml:space="preserve">Reikwijdte: naleving van artikel 28 en de Verwerkersovereenkomst; uitsluiting van gegevens van andere klanten, bedrijfsgeheimen, broncode zonder licentie.</w:t>
      </w:r>
    </w:p>
    <w:p>
      <w:pPr>
        <w:pStyle w:val="Compact"/>
        <w:numPr>
          <w:ilvl w:val="0"/>
          <w:numId w:val="1040"/>
        </w:numPr>
      </w:pPr>
      <w:r>
        <w:rPr>
          <w:lang w:val="nl-NL"/>
        </w:rPr>
        <w:t xml:space="preserve">Bij substantiële niet-naleving: proportioneel saneringsplan.</w:t>
      </w:r>
    </w:p>
    <w:p>
      <w:r>
        <w:pict>
          <v:rect style="width:0;height:1.5pt" o:hralign="center" o:hrstd="t" o:hr="t"/>
        </w:pict>
      </w:r>
    </w:p>
    <w:bookmarkEnd w:id="145"/>
    <w:bookmarkStart w:id="146" w:name="proc-06--escalade-et-contacts"/>
    <w:p>
      <w:pPr>
        <w:pStyle w:val="Heading2"/>
        <w:keepNext/>
        <w:keepLines/>
      </w:pPr>
      <w:r>
        <w:rPr>
          <w:color w:val="000000"/>
          <w:lang w:val="nl-NL"/>
        </w:rPr>
        <w:t xml:space="preserve">PROC-06 — Escalatie en contacten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nl-NL"/>
              </w:rPr>
              <w:t xml:space="preserve">Onderwerp</w:t>
            </w:r>
          </w:p>
        </w:tc>
        <w:tc>
          <w:tcPr/>
          <w:p>
            <w:pPr>
              <w:pStyle w:val="Compact"/>
            </w:pPr>
            <w:r>
              <w:rPr>
                <w:lang w:val="nl-NL"/>
              </w:rPr>
              <w:t xml:space="preserve">Contacteer</w:t>
            </w:r>
          </w:p>
        </w:tc>
        <w:tc>
          <w:tcPr/>
          <w:p>
            <w:pPr>
              <w:pStyle w:val="Compact"/>
            </w:pPr>
            <w:r>
              <w:rPr>
                <w:lang w:val="nl-NL"/>
              </w:rPr>
              <w:t xml:space="preserve">Doeltermijn</w:t>
            </w:r>
          </w:p>
        </w:tc>
      </w:tr>
      <w:tr>
        <w:trPr>
          <w:cantSplit/>
        </w:trPr>
        <w:tc>
          <w:tcPr/>
          <w:p>
            <w:pPr>
              <w:pStyle w:val="Compact"/>
            </w:pPr>
            <w:r>
              <w:rPr>
                <w:lang w:val="nl-NL"/>
              </w:rPr>
              <w:t xml:space="preserve">Uitoefening van rechten</w:t>
            </w:r>
          </w:p>
        </w:tc>
        <w:tc>
          <w:tcPr/>
          <w:p>
            <w:pPr>
              <w:pStyle w:val="Compact"/>
            </w:pPr>
            <w:hyperlink r:id="rId9">
              <w:r>
                <w:rPr>
                  <w:rStyle w:val="Hyperlink"/>
                  <w:lang w:val="nl-NL"/>
                </w:rPr>
                <w:t xml:space="preserve">privacy@transcribia.eu</w:t>
              </w:r>
            </w:hyperlink>
          </w:p>
        </w:tc>
        <w:tc>
          <w:tcPr/>
          <w:p>
            <w:pPr>
              <w:pStyle w:val="Compact"/>
            </w:pPr>
            <w:r>
              <w:rPr>
                <w:lang w:val="nl-NL"/>
              </w:rPr>
              <w:t xml:space="preserve">Assistentie ≤ 7 werkdagen</w:t>
            </w:r>
          </w:p>
        </w:tc>
      </w:tr>
      <w:tr>
        <w:trPr>
          <w:cantSplit/>
        </w:trPr>
        <w:tc>
          <w:tcPr/>
          <w:p>
            <w:pPr>
              <w:pStyle w:val="Compact"/>
            </w:pPr>
            <w:r>
              <w:rPr>
                <w:lang w:val="nl-NL"/>
              </w:rPr>
              <w:t xml:space="preserve">Datalek</w:t>
            </w:r>
          </w:p>
        </w:tc>
        <w:tc>
          <w:tcPr/>
          <w:p>
            <w:pPr>
              <w:pStyle w:val="Compact"/>
            </w:pPr>
            <w:hyperlink r:id="rId9">
              <w:r>
                <w:rPr>
                  <w:rStyle w:val="Hyperlink"/>
                  <w:lang w:val="nl-NL"/>
                </w:rPr>
                <w:t xml:space="preserve">privacy@transcribia.eu</w:t>
              </w:r>
            </w:hyperlink>
          </w:p>
        </w:tc>
        <w:tc>
          <w:tcPr/>
          <w:p>
            <w:pPr>
              <w:pStyle w:val="Compact"/>
            </w:pPr>
            <w:r>
              <w:rPr>
                <w:lang w:val="nl-NL"/>
              </w:rPr>
              <w:t xml:space="preserve">Melding zonder onredelijke vertraging na kennisneming, ook buiten werkdagen</w:t>
            </w:r>
          </w:p>
        </w:tc>
      </w:tr>
      <w:tr>
        <w:trPr>
          <w:cantSplit/>
        </w:trPr>
        <w:tc>
          <w:tcPr/>
          <w:p>
            <w:pPr>
              <w:pStyle w:val="Compact"/>
            </w:pPr>
            <w:r>
              <w:rPr>
                <w:lang w:val="nl-NL"/>
              </w:rPr>
              <w:t xml:space="preserve">Teruggave/verwijdering</w:t>
            </w:r>
          </w:p>
        </w:tc>
        <w:tc>
          <w:tcPr/>
          <w:p>
            <w:pPr>
              <w:pStyle w:val="Compact"/>
            </w:pPr>
            <w:hyperlink r:id="rId9">
              <w:r>
                <w:rPr>
                  <w:rStyle w:val="Hyperlink"/>
                  <w:lang w:val="nl-NL"/>
                </w:rPr>
                <w:t xml:space="preserve">privacy@transcribia.eu</w:t>
              </w:r>
            </w:hyperlink>
          </w:p>
        </w:tc>
        <w:tc>
          <w:tcPr/>
          <w:p>
            <w:pPr>
              <w:pStyle w:val="Compact"/>
            </w:pPr>
            <w:r>
              <w:rPr>
                <w:lang w:val="nl-NL"/>
              </w:rPr>
              <w:t xml:space="preserve">Verwijdering ≤ 30 dagen / certificaat ≤ 30 dagen</w:t>
            </w:r>
          </w:p>
        </w:tc>
      </w:tr>
      <w:tr>
        <w:trPr>
          <w:cantSplit/>
        </w:trPr>
        <w:tc>
          <w:tcPr/>
          <w:p>
            <w:pPr>
              <w:pStyle w:val="Compact"/>
            </w:pPr>
            <w:r>
              <w:rPr>
                <w:lang w:val="nl-NL"/>
              </w:rPr>
              <w:t xml:space="preserve">GEB / documentatie</w:t>
            </w:r>
          </w:p>
        </w:tc>
        <w:tc>
          <w:tcPr/>
          <w:p>
            <w:pPr>
              <w:pStyle w:val="Compact"/>
            </w:pPr>
            <w:hyperlink r:id="rId9">
              <w:r>
                <w:rPr>
                  <w:rStyle w:val="Hyperlink"/>
                  <w:lang w:val="nl-NL"/>
                </w:rPr>
                <w:t xml:space="preserve">privacy@transcribia.eu</w:t>
              </w:r>
            </w:hyperlink>
          </w:p>
        </w:tc>
        <w:tc>
          <w:tcPr/>
          <w:p>
            <w:pPr>
              <w:pStyle w:val="Compact"/>
            </w:pPr>
            <w:r>
              <w:rPr>
                <w:lang w:val="nl-NL"/>
              </w:rPr>
              <w:t xml:space="preserve">Op aanvraag</w:t>
            </w:r>
          </w:p>
        </w:tc>
      </w:tr>
      <w:tr>
        <w:trPr>
          <w:cantSplit/>
        </w:trPr>
        <w:tc>
          <w:tcPr/>
          <w:p>
            <w:pPr>
              <w:pStyle w:val="Compact"/>
            </w:pPr>
            <w:r>
              <w:rPr>
                <w:lang w:val="nl-NL"/>
              </w:rPr>
              <w:t xml:space="preserve">Controle</w:t>
            </w:r>
          </w:p>
        </w:tc>
        <w:tc>
          <w:tcPr/>
          <w:p>
            <w:pPr>
              <w:pStyle w:val="Compact"/>
            </w:pPr>
            <w:hyperlink r:id="rId9">
              <w:r>
                <w:rPr>
                  <w:rStyle w:val="Hyperlink"/>
                  <w:lang w:val="nl-NL"/>
                </w:rPr>
                <w:t xml:space="preserve">privacy@transcribia.eu</w:t>
              </w:r>
            </w:hyperlink>
          </w:p>
        </w:tc>
        <w:tc>
          <w:tcPr/>
          <w:p>
            <w:pPr>
              <w:pStyle w:val="Compact"/>
            </w:pPr>
            <w:r>
              <w:rPr>
                <w:lang w:val="nl-NL"/>
              </w:rPr>
              <w:t xml:space="preserve">Opzegtermijn ≥ 30 dagen</w:t>
            </w:r>
          </w:p>
        </w:tc>
      </w:tr>
    </w:tbl>
    <w:p>
      <w:pPr>
        <w:pStyle w:val="BlockText"/>
      </w:pPr>
      <w:r>
        <w:rPr>
          <w:lang w:val="nl-NL"/>
        </w:rPr>
        <w:t xml:space="preserve">De contactgegevens van de contactpersoon aan de klantzijde (contactpersoon, DPO) moeten door de klant worden ingevuld — zie OHA-RGPD-09.</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146"/>
    <w:bookmarkEnd w:id="147"/>
    <w:bookmarkStart w:id="152" w:name="Xd09627a6906f0cfd013e0f21fecf00b43a25682"/>
    <w:p>
      <w:pPr>
        <w:pStyle w:val="Heading1"/>
        <w:keepNext/>
        <w:keepLines/>
      </w:pPr>
      <w:r>
        <w:rPr>
          <w:color w:val="000000"/>
          <w:lang w:val="nl-NL"/>
        </w:rPr>
        <w:t xml:space="preserve">Contactpersoon en coördinator voor gegevensbescherming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Referentie</w:t>
            </w:r>
          </w:p>
        </w:tc>
        <w:tc>
          <w:tcPr/>
          <w:p>
            <w:pPr>
              <w:pStyle w:val="Compact"/>
            </w:pPr>
            <w:r>
              <w:rPr>
                <w:lang w:val="nl-NL"/>
              </w:rPr>
              <w:t xml:space="preserve">OHA-RGPD-09</w:t>
            </w:r>
          </w:p>
        </w:tc>
      </w:tr>
      <w:tr>
        <w:trPr>
          <w:cantSplit/>
        </w:trPr>
        <w:tc>
          <w:tcPr/>
          <w:p>
            <w:pPr>
              <w:pStyle w:val="Compact"/>
            </w:pPr>
            <w:r>
              <w:rPr>
                <w:lang w:val="nl-NL"/>
              </w:rPr>
              <w:t xml:space="preserve">Doel</w:t>
            </w:r>
          </w:p>
        </w:tc>
        <w:tc>
          <w:tcPr/>
          <w:p>
            <w:pPr>
              <w:pStyle w:val="Compact"/>
            </w:pPr>
            <w:r>
              <w:rPr>
                <w:lang w:val="nl-NL"/>
              </w:rPr>
              <w:t xml:space="preserve">Coördinator voor gegevensbescherming bij OHADJA en contactpersonen</w:t>
            </w:r>
          </w:p>
        </w:tc>
      </w:tr>
      <w:tr>
        <w:trPr>
          <w:cantSplit/>
        </w:trPr>
        <w:tc>
          <w:tcPr/>
          <w:p>
            <w:pPr>
              <w:pStyle w:val="Compact"/>
            </w:pPr>
            <w:r>
              <w:rPr>
                <w:lang w:val="nl-NL"/>
              </w:rPr>
              <w:t xml:space="preserve">Versie</w:t>
            </w:r>
          </w:p>
        </w:tc>
        <w:tc>
          <w:tcPr/>
          <w:p>
            <w:pPr>
              <w:pStyle w:val="Compact"/>
            </w:pPr>
            <w:r>
              <w:rPr>
                <w:lang w:val="nl-NL"/>
              </w:rPr>
              <w:t xml:space="preserve">1.0</w:t>
            </w:r>
          </w:p>
        </w:tc>
      </w:tr>
      <w:tr>
        <w:trPr>
          <w:cantSplit/>
        </w:trPr>
        <w:tc>
          <w:tcPr/>
          <w:p>
            <w:pPr>
              <w:pStyle w:val="Compact"/>
            </w:pPr>
            <w:r>
              <w:rPr>
                <w:lang w:val="nl-NL"/>
              </w:rPr>
              <w:t xml:space="preserve">Datum</w:t>
            </w:r>
          </w:p>
        </w:tc>
        <w:tc>
          <w:tcPr/>
          <w:p>
            <w:pPr>
              <w:pStyle w:val="Compact"/>
            </w:pPr>
            <w:r>
              <w:rPr>
                <w:lang w:val="nl-NL"/>
              </w:rPr>
              <w:t xml:space="preserve">2026-07-24</w:t>
            </w:r>
          </w:p>
        </w:tc>
      </w:tr>
      <w:tr>
        <w:trPr>
          <w:cantSplit/>
        </w:trPr>
        <w:tc>
          <w:tcPr/>
          <w:p>
            <w:pPr>
              <w:pStyle w:val="Compact"/>
            </w:pPr>
            <w:r>
              <w:rPr>
                <w:lang w:val="nl-NL"/>
              </w:rPr>
              <w:t xml:space="preserve">Redacteur</w:t>
            </w:r>
          </w:p>
        </w:tc>
        <w:tc>
          <w:tcPr/>
          <w:p>
            <w:pPr>
              <w:pStyle w:val="Compact"/>
            </w:pPr>
            <w:r>
              <w:rPr>
                <w:lang w:val="nl-NL"/>
              </w:rPr>
              <w:t xml:space="preserve">OHADJA</w:t>
            </w:r>
          </w:p>
        </w:tc>
      </w:tr>
      <w:tr>
        <w:trPr>
          <w:cantSplit/>
        </w:trPr>
        <w:tc>
          <w:tcPr/>
          <w:p>
            <w:pPr>
              <w:pStyle w:val="Compact"/>
            </w:pPr>
            <w:r>
              <w:rPr>
                <w:lang w:val="nl-NL"/>
              </w:rPr>
              <w:t xml:space="preserve">Ontvanger</w:t>
            </w:r>
          </w:p>
        </w:tc>
        <w:tc>
          <w:tcPr/>
          <w:p>
            <w:pPr>
              <w:pStyle w:val="Compact"/>
            </w:pPr>
            <w:r>
              <w:rPr>
                <w:lang w:val="nl-NL"/>
              </w:rPr>
              <w:t xml:space="preserve">Klantorganisatie (standaarddocument)</w:t>
            </w:r>
          </w:p>
        </w:tc>
      </w:tr>
      <w:tr>
        <w:trPr>
          <w:cantSplit/>
        </w:trPr>
        <w:tc>
          <w:tcPr/>
          <w:p>
            <w:pPr>
              <w:pStyle w:val="Compact"/>
            </w:pPr>
            <w:r>
              <w:rPr>
                <w:lang w:val="nl-NL"/>
              </w:rPr>
              <w:t xml:space="preserve">Classificatie</w:t>
            </w:r>
          </w:p>
        </w:tc>
        <w:tc>
          <w:tcPr/>
          <w:p>
            <w:pPr>
              <w:pStyle w:val="Compact"/>
            </w:pPr>
            <w:r>
              <w:rPr>
                <w:lang w:val="nl-NL"/>
              </w:rPr>
              <w:t xml:space="preserve">Openbaar: standaarddocument, gespecificeerd bij elke contractering</w:t>
            </w:r>
          </w:p>
        </w:tc>
      </w:tr>
    </w:tbl>
    <w:bookmarkStart w:id="148" w:name="Xd7a3ca93746dcf1d0f8d53c63f17d63b80b17bf"/>
    <w:p>
      <w:pPr>
        <w:pStyle w:val="Heading2"/>
        <w:keepNext/>
        <w:keepLines/>
      </w:pPr>
      <w:r>
        <w:rPr>
          <w:color w:val="000000"/>
          <w:lang w:val="nl-NL"/>
        </w:rPr>
        <w:t xml:space="preserve">1. Afwezigheid van een DPO in de zin van artikel 37</w:t>
      </w:r>
    </w:p>
    <w:p>
      <w:pPr>
        <w:pStyle w:val="FirstParagraph"/>
      </w:pPr>
      <w:r>
        <w:rPr>
          <w:lang w:val="nl-NL"/>
        </w:rPr>
        <w:t xml:space="preserve">OHADJA heeft op de datum van dit document geen functionaris voor </w:t>
      </w:r>
      <w:r>
        <w:rPr>
          <w:lang w:val="nl-NL"/>
        </w:rPr>
        <w:t xml:space="preserve">gegevensbescherming </w:t>
      </w:r>
      <w:r>
        <w:rPr>
          <w:b/>
          <w:bCs/>
          <w:lang w:val="nl-NL"/>
        </w:rPr>
        <w:t xml:space="preserve">(FG) aangesteld. De noodzaak van aanstelling </w:t>
      </w:r>
      <w:r>
        <w:rPr>
          <w:lang w:val="nl-NL"/>
        </w:rPr>
        <w:t xml:space="preserve"/>
      </w:r>
      <w:r>
        <w:rPr>
          <w:lang w:val="nl-NL"/>
        </w:rPr>
        <w:t xml:space="preserve">moet worden beoordeeld en gedocumenteerd aan de hand van artikel 37, ook voor verwerkingen als verwerker: de aard van de kernactiviteiten, regelmatige en stelselmatige observatie op grote </w:t>
      </w:r>
      <w:r>
        <w:rPr>
          <w:lang w:val="nl-NL"/>
        </w:rPr>
        <w:t xml:space="preserve">schaal </w:t>
      </w:r>
      <w:r>
        <w:rPr>
          <w:b/>
          <w:bCs/>
          <w:lang w:val="nl-NL"/>
        </w:rPr>
        <w:t xml:space="preserve">en grootschalige verwerking van bijzondere </w:t>
      </w:r>
      <w:r>
        <w:rPr>
          <w:lang w:val="nl-NL"/>
        </w:rPr>
        <w:t xml:space="preserve"/>
      </w:r>
      <w:r>
        <w:rPr>
          <w:lang w:val="nl-NL"/>
        </w:rPr>
        <w:t xml:space="preserve">categorieën of strafrechtelijke gegevens. Alleen namens klanten handelen vormt geen </w:t>
      </w:r>
      <w:r>
        <w:rPr>
          <w:lang w:val="nl-NL"/>
        </w:rPr>
        <w:t xml:space="preserve"/>
      </w:r>
      <w:r>
        <w:rPr>
          <w:b/>
          <w:bCs/>
          <w:lang w:val="nl-NL"/>
        </w:rPr>
        <w:t xml:space="preserve">vrijstelling. De beoordeling en, </w:t>
      </w:r>
      <w:r>
        <w:rPr>
          <w:lang w:val="nl-NL"/>
        </w:rPr>
        <w:t xml:space="preserve">indien </w:t>
      </w:r>
      <w:r>
        <w:rPr>
          <w:lang w:val="nl-NL"/>
        </w:rPr>
        <w:t xml:space="preserve">nodig, de </w:t>
      </w:r>
      <w:r>
        <w:rPr>
          <w:lang w:val="nl-NL"/>
        </w:rPr>
        <w:t xml:space="preserve"/>
      </w:r>
      <w:r>
        <w:rPr>
          <w:b/>
          <w:bCs/>
          <w:lang w:val="nl-NL"/>
        </w:rPr>
        <w:t xml:space="preserve">aanstelling </w:t>
      </w:r>
      <w:r>
        <w:rPr>
          <w:lang w:val="nl-NL"/>
        </w:rPr>
        <w:t xml:space="preserve">moeten </w:t>
      </w:r>
      <w:r>
        <w:rPr>
          <w:lang w:val="nl-NL"/>
        </w:rPr>
        <w:t xml:space="preserve">worden bijgewerkt wanneer de reikwijdte verandert.</w:t>
      </w:r>
    </w:p>
    <w:bookmarkEnd w:id="148"/>
    <w:bookmarkStart w:id="149" w:name="Xd48118d6a794f15c0faa6b011a9f0f3df2cd5dc"/>
    <w:p>
      <w:pPr>
        <w:pStyle w:val="Heading2"/>
        <w:keepNext/>
        <w:keepLines/>
      </w:pPr>
      <w:r>
        <w:rPr>
          <w:color w:val="000000"/>
          <w:lang w:val="nl-NL"/>
        </w:rPr>
        <w:t xml:space="preserve">2. Coördinator voor gegevensbescherming</w:t>
      </w:r>
    </w:p>
    <w:p>
      <w:pPr>
        <w:pStyle w:val="FirstParagraph"/>
      </w:pPr>
      <w:r>
        <w:rPr>
          <w:lang w:val="nl-NL"/>
        </w:rPr>
        <w:t xml:space="preserve">Bij ontbreken van een verplichting om een FG aan te stellen, heeft </w:t>
      </w:r>
      <w:r>
        <w:rPr>
          <w:lang w:val="nl-NL"/>
        </w:rPr>
        <w:t xml:space="preserve"/>
      </w:r>
      <w:r>
        <w:rPr>
          <w:b/>
          <w:bCs/>
          <w:lang w:val="nl-NL"/>
        </w:rPr>
        <w:t xml:space="preserve">OHADJA een coördinator voor </w:t>
      </w:r>
      <w:r>
        <w:rPr>
          <w:lang w:val="nl-NL"/>
        </w:rPr>
        <w:t xml:space="preserve">gegevensbescherming aangewezen als centraal aanspreekpunt voor alle nalevingsvragen: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Naam</w:t>
            </w:r>
          </w:p>
        </w:tc>
        <w:tc>
          <w:tcPr/>
          <w:p>
            <w:pPr>
              <w:pStyle w:val="Compact"/>
            </w:pPr>
            <w:r>
              <w:rPr>
                <w:lang w:val="nl-NL"/>
              </w:rPr>
              <w:t xml:space="preserve">Olivier Dupont</w:t>
            </w:r>
          </w:p>
        </w:tc>
      </w:tr>
      <w:tr>
        <w:trPr>
          <w:cantSplit/>
        </w:trPr>
        <w:tc>
          <w:tcPr/>
          <w:p>
            <w:pPr>
              <w:pStyle w:val="Compact"/>
            </w:pPr>
            <w:r>
              <w:rPr>
                <w:lang w:val="nl-NL"/>
              </w:rPr>
              <w:t xml:space="preserve">Functie</w:t>
            </w:r>
          </w:p>
        </w:tc>
        <w:tc>
          <w:tcPr/>
          <w:p>
            <w:pPr>
              <w:pStyle w:val="Compact"/>
            </w:pPr>
            <w:r>
              <w:rPr>
                <w:lang w:val="nl-NL"/>
              </w:rPr>
              <w:t xml:space="preserve">CTO, medeoprichter van OHADJA</w:t>
            </w:r>
          </w:p>
        </w:tc>
      </w:tr>
      <w:tr>
        <w:trPr>
          <w:cantSplit/>
        </w:trPr>
        <w:tc>
          <w:tcPr/>
          <w:p>
            <w:pPr>
              <w:pStyle w:val="Compact"/>
            </w:pPr>
            <w:r>
              <w:rPr>
                <w:lang w:val="nl-NL"/>
              </w:rPr>
              <w:t xml:space="preserve">Positionering</w:t>
            </w:r>
          </w:p>
        </w:tc>
        <w:tc>
          <w:tcPr/>
          <w:p>
            <w:pPr>
              <w:pStyle w:val="Compact"/>
            </w:pPr>
            <w:r>
              <w:rPr>
                <w:lang w:val="nl-NL"/>
              </w:rPr>
              <w:t xml:space="preserve">Technisch management – beslisser</w:t>
            </w:r>
          </w:p>
        </w:tc>
      </w:tr>
      <w:tr>
        <w:trPr>
          <w:cantSplit/>
        </w:trPr>
        <w:tc>
          <w:tcPr/>
          <w:p>
            <w:pPr>
              <w:pStyle w:val="Compact"/>
            </w:pPr>
            <w:r>
              <w:rPr>
                <w:lang w:val="nl-NL"/>
              </w:rPr>
              <w:t xml:space="preserve">Adres</w:t>
            </w:r>
          </w:p>
        </w:tc>
        <w:tc>
          <w:tcPr/>
          <w:p>
            <w:pPr>
              <w:pStyle w:val="Compact"/>
            </w:pPr>
            <w:hyperlink r:id="rId9">
              <w:r>
                <w:rPr>
                  <w:rStyle w:val="Hyperlink"/>
                  <w:lang w:val="nl-NL"/>
                </w:rPr>
                <w:t xml:space="preserve">privacy@transcribia.eu</w:t>
              </w:r>
            </w:hyperlink>
          </w:p>
        </w:tc>
      </w:tr>
    </w:tbl>
    <w:p>
      <w:pPr>
        <w:pStyle w:val="BodyText"/>
      </w:pPr>
      <w:r>
        <w:rPr>
          <w:b/>
          <w:bCs/>
          <w:lang w:val="nl-NL"/>
        </w:rPr>
        <w:t xml:space="preserve">Missies van de referent:</w:t>
      </w:r>
    </w:p>
    <w:p>
      <w:pPr>
        <w:pStyle w:val="Compact"/>
        <w:numPr>
          <w:ilvl w:val="0"/>
          <w:numId w:val="1041"/>
        </w:numPr>
      </w:pPr>
      <w:r>
        <w:rPr>
          <w:lang w:val="nl-NL"/>
        </w:rPr>
        <w:t xml:space="preserve">één aanspreekpunt voor de Klant over onderwerpen AVG;</w:t>
      </w:r>
    </w:p>
    <w:p>
      <w:pPr>
        <w:pStyle w:val="Compact"/>
        <w:numPr>
          <w:ilvl w:val="0"/>
          <w:numId w:val="1041"/>
        </w:numPr>
      </w:pPr>
      <w:r>
        <w:rPr>
          <w:lang w:val="nl-NL"/>
        </w:rPr>
        <w:t xml:space="preserve">verwerking van verzoeken om bijstand (individuele rechten, GEB, audit);</w:t>
      </w:r>
    </w:p>
    <w:p>
      <w:pPr>
        <w:pStyle w:val="Compact"/>
        <w:numPr>
          <w:ilvl w:val="0"/>
          <w:numId w:val="1041"/>
        </w:numPr>
      </w:pPr>
      <w:r>
        <w:rPr>
          <w:lang w:val="nl-NL"/>
        </w:rPr>
        <w:t xml:space="preserve">het afhandelen van meldingen van datalekken;</w:t>
      </w:r>
    </w:p>
    <w:p>
      <w:pPr>
        <w:pStyle w:val="Compact"/>
        <w:numPr>
          <w:ilvl w:val="0"/>
          <w:numId w:val="1041"/>
        </w:numPr>
      </w:pPr>
      <w:r>
        <w:rPr>
          <w:lang w:val="nl-NL"/>
        </w:rPr>
        <w:t xml:space="preserve">monitoring van subverwerkers en wijzigingen in de lijst;</w:t>
      </w:r>
    </w:p>
    <w:p>
      <w:pPr>
        <w:pStyle w:val="Compact"/>
        <w:numPr>
          <w:ilvl w:val="0"/>
          <w:numId w:val="1041"/>
        </w:numPr>
      </w:pPr>
      <w:r>
        <w:rPr>
          <w:lang w:val="nl-NL"/>
        </w:rPr>
        <w:t xml:space="preserve">beheer van verplichtingen op het gebied van beveiliging en gegevensbescherming.</w:t>
      </w:r>
    </w:p>
    <w:p>
      <w:pPr>
        <w:pStyle w:val="BlockText"/>
      </w:pPr>
      <w:r>
        <w:rPr>
          <w:lang w:val="nl-NL"/>
        </w:rPr>
        <w:t xml:space="preserve">Let op: </w:t>
      </w:r>
      <w:r>
        <w:rPr>
          <w:lang w:val="nl-NL"/>
        </w:rPr>
        <w:t xml:space="preserve"/>
      </w:r>
      <w:r>
        <w:rPr>
          <w:b/>
          <w:bCs/>
          <w:lang w:val="nl-NL"/>
        </w:rPr>
        <w:t xml:space="preserve">AMBASSADIA SARL </w:t>
      </w:r>
      <w:r>
        <w:rPr>
          <w:lang w:val="nl-NL"/>
        </w:rPr>
        <w:t xml:space="preserve"/>
      </w:r>
      <w:r>
        <w:rPr>
          <w:lang w:val="nl-NL"/>
        </w:rPr>
        <w:t xml:space="preserve">treedt uitsluitend op als </w:t>
      </w:r>
      <w:r>
        <w:rPr>
          <w:lang w:val="nl-NL"/>
        </w:rPr>
        <w:t xml:space="preserve"/>
      </w:r>
      <w:r>
        <w:rPr>
          <w:b/>
          <w:bCs/>
          <w:lang w:val="nl-NL"/>
        </w:rPr>
        <w:t xml:space="preserve">commerciële wederverkoper/distributeur </w:t>
      </w:r>
      <w:r>
        <w:rPr>
          <w:lang w:val="nl-NL"/>
        </w:rPr>
        <w:t xml:space="preserve"/>
      </w:r>
      <w:r>
        <w:rPr>
          <w:lang w:val="nl-NL"/>
        </w:rPr>
        <w:t xml:space="preserve">(Monaco en Frankrijk) en speelt geen rol bij de verwerking van productiegegevens (zie OHA-RGPD-01). De contactpersoon voor gegevensbescherming is die van OHADJA hierboven.</w:t>
      </w:r>
    </w:p>
    <w:bookmarkEnd w:id="149"/>
    <w:bookmarkStart w:id="150" w:name="Xd27d2de919086e13e632c8f876706769bd7cd44"/>
    <w:p>
      <w:pPr>
        <w:pStyle w:val="Heading2"/>
        <w:keepNext/>
        <w:keepLines/>
      </w:pPr>
      <w:r>
        <w:rPr>
          <w:color w:val="000000"/>
          <w:lang w:val="nl-NL"/>
        </w:rPr>
        <w:t xml:space="preserve">3. Inzet voor ontwikkeling</w:t>
      </w:r>
    </w:p>
    <w:p>
      <w:pPr>
        <w:pStyle w:val="FirstParagraph"/>
      </w:pPr>
      <w:r>
        <w:rPr>
          <w:lang w:val="nl-NL"/>
        </w:rPr>
        <w:t xml:space="preserve">OHADJA verbindt zich </w:t>
      </w:r>
      <w:r>
        <w:rPr>
          <w:lang w:val="nl-NL"/>
        </w:rPr>
        <w:t xml:space="preserve"/>
      </w:r>
      <w:r>
        <w:rPr>
          <w:b/>
          <w:bCs/>
          <w:lang w:val="nl-NL"/>
        </w:rPr>
        <w:t xml:space="preserve">ertoe een externe DPO aan </w:t>
      </w:r>
      <w:r>
        <w:rPr>
          <w:lang w:val="nl-NL"/>
        </w:rPr>
        <w:t xml:space="preserve"/>
      </w:r>
      <w:r>
        <w:rPr>
          <w:lang w:val="nl-NL"/>
        </w:rPr>
        <w:t xml:space="preserve">te stellen als de evolutie van zijn activiteit daartoe een verplichting of mogelijkheid schept (volumegroei, aard van de verwerking). Besluit </w:t>
      </w:r>
      <w:r>
        <w:rPr>
          <w:lang w:val="nl-NL"/>
        </w:rPr>
        <w:t xml:space="preserve"/>
      </w:r>
      <w:r>
        <w:rPr>
          <w:b/>
          <w:bCs/>
          <w:lang w:val="nl-NL"/>
        </w:rPr>
        <w:t xml:space="preserve">[WORDT BEVESTIGD]. De klant </w:t>
      </w:r>
      <w:r>
        <w:rPr>
          <w:lang w:val="nl-NL"/>
        </w:rPr>
        <w:t xml:space="preserve"/>
      </w:r>
      <w:r>
        <w:rPr>
          <w:lang w:val="nl-NL"/>
        </w:rPr>
        <w:t xml:space="preserve">zou op de hoogte worden gesteld.</w:t>
      </w:r>
    </w:p>
    <w:bookmarkEnd w:id="150"/>
    <w:bookmarkStart w:id="151" w:name="X287af0f67808bd24f67c60b7531ef259dcc71bf"/>
    <w:p>
      <w:pPr>
        <w:pStyle w:val="Heading2"/>
        <w:keepNext/>
        <w:keepLines/>
      </w:pPr>
      <w:r>
        <w:rPr>
          <w:color w:val="000000"/>
          <w:lang w:val="nl-NL"/>
        </w:rPr>
        <w:t xml:space="preserve">4. Contacten aan de klantzijde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nl-NL"/>
              </w:rPr>
              <w:t xml:space="preserve">Element</w:t>
            </w:r>
          </w:p>
        </w:tc>
        <w:tc>
          <w:tcPr/>
          <w:p>
            <w:pPr>
              <w:pStyle w:val="Compact"/>
            </w:pPr>
            <w:r>
              <w:rPr>
                <w:lang w:val="nl-NL"/>
              </w:rPr>
              <w:t xml:space="preserve">Waarde</w:t>
            </w:r>
          </w:p>
        </w:tc>
      </w:tr>
      <w:tr>
        <w:trPr>
          <w:cantSplit/>
        </w:trPr>
        <w:tc>
          <w:tcPr/>
          <w:p>
            <w:pPr>
              <w:pStyle w:val="Compact"/>
            </w:pPr>
            <w:r>
              <w:rPr>
                <w:lang w:val="nl-NL"/>
              </w:rPr>
              <w:t xml:space="preserve">Verwerkingsverantwoordelijke</w:t>
            </w:r>
          </w:p>
        </w:tc>
        <w:tc>
          <w:tcPr/>
          <w:p>
            <w:pPr>
              <w:pStyle w:val="Compact"/>
            </w:pPr>
            <w:r>
              <w:rPr>
                <w:lang w:val="nl-NL"/>
              </w:rPr>
              <w:t xml:space="preserve">de Klant</w:t>
            </w:r>
          </w:p>
        </w:tc>
      </w:tr>
      <w:tr>
        <w:trPr>
          <w:cantSplit/>
        </w:trPr>
        <w:tc>
          <w:tcPr/>
          <w:p>
            <w:pPr>
              <w:pStyle w:val="Compact"/>
            </w:pPr>
            <w:r>
              <w:rPr>
                <w:lang w:val="nl-NL"/>
              </w:rPr>
              <w:t xml:space="preserve">Representatief</w:t>
            </w:r>
          </w:p>
        </w:tc>
        <w:tc>
          <w:tcPr/>
          <w:p>
            <w:pPr>
              <w:pStyle w:val="Compact"/>
            </w:pPr>
            <w:r>
              <w:rPr>
                <w:lang w:val="nl-NL"/>
              </w:rPr>
              <w:t xml:space="preserve">[IN TE VULLEN door de klant]</w:t>
            </w:r>
          </w:p>
        </w:tc>
      </w:tr>
      <w:tr>
        <w:trPr>
          <w:cantSplit/>
        </w:trPr>
        <w:tc>
          <w:tcPr/>
          <w:p>
            <w:pPr>
              <w:pStyle w:val="Compact"/>
            </w:pPr>
            <w:r>
              <w:rPr>
                <w:lang w:val="nl-NL"/>
              </w:rPr>
              <w:t xml:space="preserve">Functionaris Gegevensbescherming (DPO)</w:t>
            </w:r>
          </w:p>
        </w:tc>
        <w:tc>
          <w:tcPr/>
          <w:p>
            <w:pPr>
              <w:pStyle w:val="Compact"/>
            </w:pPr>
            <w:r>
              <w:rPr>
                <w:lang w:val="nl-NL"/>
              </w:rPr>
              <w:t xml:space="preserve">[IN TE VULLEN door de klant: naam, e-mail]</w:t>
            </w:r>
          </w:p>
        </w:tc>
      </w:tr>
      <w:tr>
        <w:trPr>
          <w:cantSplit/>
        </w:trPr>
        <w:tc>
          <w:tcPr/>
          <w:p>
            <w:pPr>
              <w:pStyle w:val="Compact"/>
            </w:pPr>
            <w:r>
              <w:rPr>
                <w:lang w:val="nl-NL"/>
              </w:rPr>
              <w:t xml:space="preserve">Verwijzing zakelijke dienst</w:t>
            </w:r>
          </w:p>
        </w:tc>
        <w:tc>
          <w:tcPr/>
          <w:p>
            <w:pPr>
              <w:pStyle w:val="Compact"/>
            </w:pPr>
            <w:r>
              <w:rPr>
                <w:lang w:val="nl-NL"/>
              </w:rPr>
              <w:t xml:space="preserve">[IN TE VULLEN door de klant]</w:t>
            </w:r>
          </w:p>
        </w:tc>
      </w:tr>
    </w:tbl>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p>
      <w:r>
        <w:br w:type="page"/>
      </w:r>
    </w:p>
    <w:bookmarkEnd w:id="151"/>
    <w:bookmarkEnd w:id="152"/>
    <w:bookmarkStart w:id="161" w:name="Xa0817e5cfd9d4fab3462efccc36c0418bca3f2a"/>
    <w:p>
      <w:pPr>
        <w:pStyle w:val="Heading1"/>
        <w:keepNext/>
        <w:keepLines/>
      </w:pPr>
      <w:r>
        <w:rPr>
          <w:color w:val="000000"/>
          <w:lang w:val="nl-NL"/>
        </w:rPr>
        <w:t xml:space="preserve">TranscribIA — Status van certificeringen en nalevingsaanpak</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nl-NL"/>
              </w:rPr>
              <w:t xml:space="preserve">Referentie</w:t>
            </w:r>
          </w:p>
        </w:tc>
        <w:tc>
          <w:tcPr/>
          <w:p>
            <w:pPr>
              <w:pStyle w:val="Compact"/>
            </w:pPr>
            <w:r>
              <w:rPr>
                <w:lang w:val="nl-NL"/>
              </w:rPr>
              <w:t xml:space="preserve">CERT-TRANSCRIBIA-2026-01</w:t>
            </w:r>
          </w:p>
        </w:tc>
      </w:tr>
      <w:tr>
        <w:trPr>
          <w:cantSplit/>
        </w:trPr>
        <w:tc>
          <w:tcPr/>
          <w:p>
            <w:pPr>
              <w:pStyle w:val="Compact"/>
            </w:pPr>
            <w:r>
              <w:rPr>
                <w:b/>
                <w:bCs/>
                <w:lang w:val="nl-NL"/>
              </w:rPr>
              <w:t xml:space="preserve">Versie</w:t>
            </w:r>
          </w:p>
        </w:tc>
        <w:tc>
          <w:tcPr/>
          <w:p>
            <w:pPr>
              <w:pStyle w:val="Compact"/>
            </w:pPr>
            <w:r>
              <w:rPr>
                <w:lang w:val="nl-NL"/>
              </w:rPr>
              <w:t xml:space="preserve">1.0</w:t>
            </w:r>
          </w:p>
        </w:tc>
      </w:tr>
      <w:tr>
        <w:trPr>
          <w:cantSplit/>
        </w:trPr>
        <w:tc>
          <w:tcPr/>
          <w:p>
            <w:pPr>
              <w:pStyle w:val="Compact"/>
            </w:pPr>
            <w:r>
              <w:rPr>
                <w:b/>
                <w:bCs/>
                <w:lang w:val="nl-NL"/>
              </w:rPr>
              <w:t xml:space="preserve">Datum</w:t>
            </w:r>
          </w:p>
        </w:tc>
        <w:tc>
          <w:tcPr/>
          <w:p>
            <w:pPr>
              <w:pStyle w:val="Compact"/>
            </w:pPr>
            <w:r>
              <w:rPr>
                <w:lang w:val="nl-NL"/>
              </w:rPr>
              <w:t xml:space="preserve">2026-07-24</w:t>
            </w:r>
          </w:p>
        </w:tc>
      </w:tr>
      <w:tr>
        <w:trPr>
          <w:cantSplit/>
        </w:trPr>
        <w:tc>
          <w:tcPr/>
          <w:p>
            <w:pPr>
              <w:pStyle w:val="Compact"/>
            </w:pPr>
            <w:r>
              <w:rPr>
                <w:b/>
                <w:bCs/>
                <w:lang w:val="nl-NL"/>
              </w:rPr>
              <w:t xml:space="preserve">Redacteur</w:t>
            </w:r>
          </w:p>
        </w:tc>
        <w:tc>
          <w:tcPr/>
          <w:p>
            <w:pPr>
              <w:pStyle w:val="Compact"/>
            </w:pPr>
            <w:r>
              <w:rPr>
                <w:lang w:val="nl-NL"/>
              </w:rPr>
              <w:t xml:space="preserve">OHADJA</w:t>
            </w:r>
          </w:p>
        </w:tc>
      </w:tr>
      <w:tr>
        <w:trPr>
          <w:cantSplit/>
        </w:trPr>
        <w:tc>
          <w:tcPr/>
          <w:p>
            <w:pPr>
              <w:pStyle w:val="Compact"/>
            </w:pPr>
            <w:r>
              <w:rPr>
                <w:b/>
                <w:bCs/>
                <w:lang w:val="nl-NL"/>
              </w:rPr>
              <w:t xml:space="preserve">Classificatie</w:t>
            </w:r>
          </w:p>
        </w:tc>
        <w:tc>
          <w:tcPr/>
          <w:p>
            <w:pPr>
              <w:pStyle w:val="Compact"/>
            </w:pPr>
            <w:r>
              <w:rPr>
                <w:lang w:val="nl-NL"/>
              </w:rPr>
              <w:t xml:space="preserve">Openbaar</w:t>
            </w:r>
          </w:p>
        </w:tc>
      </w:tr>
    </w:tbl>
    <w:p>
      <w:r>
        <w:pict>
          <v:rect style="width:0;height:1.5pt" o:hralign="center" o:hrstd="t" o:hr="t"/>
        </w:pict>
      </w:r>
    </w:p>
    <w:bookmarkStart w:id="153" w:name="avertissement-liminaire"/>
    <w:p>
      <w:pPr>
        <w:pStyle w:val="Heading2"/>
        <w:keepNext/>
        <w:keepLines/>
      </w:pPr>
      <w:r>
        <w:rPr>
          <w:color w:val="000000"/>
          <w:lang w:val="nl-NL"/>
        </w:rPr>
        <w:t xml:space="preserve">Voorafgaande waarschuwing</w:t>
      </w:r>
    </w:p>
    <w:p>
      <w:pPr>
        <w:pStyle w:val="FirstParagraph"/>
      </w:pPr>
      <w:r>
        <w:rPr>
          <w:lang w:val="nl-NL"/>
        </w:rPr>
        <w:t xml:space="preserve">Dit document beschrijft op </w:t>
      </w:r>
      <w:r>
        <w:rPr>
          <w:lang w:val="nl-NL"/>
        </w:rPr>
        <w:t xml:space="preserve"/>
      </w:r>
      <w:r>
        <w:rPr>
          <w:b/>
          <w:bCs/>
          <w:lang w:val="nl-NL"/>
        </w:rPr>
        <w:t xml:space="preserve">eerlijke </w:t>
      </w:r>
      <w:r>
        <w:rPr>
          <w:lang w:val="nl-NL"/>
        </w:rPr>
        <w:t xml:space="preserve"/>
      </w:r>
      <w:r>
        <w:rPr>
          <w:lang w:val="nl-NL"/>
        </w:rPr>
        <w:t xml:space="preserve">wijze de status van het certificerings- en nalevingswerk van OHADJA, uitgever van TranscribIA, vanaf 24-07-2026.</w:t>
      </w:r>
    </w:p>
    <w:p>
      <w:pPr>
        <w:pStyle w:val="BodyText"/>
      </w:pPr>
      <w:r>
        <w:rPr>
          <w:b/>
          <w:bCs/>
          <w:lang w:val="nl-NL"/>
        </w:rPr>
        <w:t xml:space="preserve">Tot op heden is er nog geen certificering </w:t>
      </w:r>
      <w:r>
        <w:rPr>
          <w:lang w:val="nl-NL"/>
        </w:rPr>
        <w:t xml:space="preserve"/>
      </w:r>
      <w:r>
        <w:rPr>
          <w:lang w:val="nl-NL"/>
        </w:rPr>
        <w:t xml:space="preserve">behaald. Huidige processen worden als zodanig gepresenteerd, zonder vooruit te lopen op de uitkomst ervan. Niets in dit document mag worden opgevat als een bewering van verworven certificering.</w:t>
      </w:r>
    </w:p>
    <w:p>
      <w:r>
        <w:pict>
          <v:rect style="width:0;height:1.5pt" o:hralign="center" o:hrstd="t" o:hr="t"/>
        </w:pict>
      </w:r>
    </w:p>
    <w:bookmarkEnd w:id="153"/>
    <w:bookmarkStart w:id="154" w:name="Xa679f6b55037bda2ffd42c65cf46be439bdcc24"/>
    <w:p>
      <w:pPr>
        <w:pStyle w:val="Heading2"/>
        <w:keepNext/>
        <w:keepLines/>
      </w:pPr>
      <w:r>
        <w:rPr>
          <w:color w:val="000000"/>
          <w:lang w:val="nl-NL"/>
        </w:rPr>
        <w:t xml:space="preserve">1. Certificeringsstatustabel</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nl-NL"/>
              </w:rPr>
              <w:t xml:space="preserve">Bewaarplaats</w:t>
            </w:r>
          </w:p>
        </w:tc>
        <w:tc>
          <w:tcPr>
            <w:tcW w:type="dxa" w:w="2340"/>
            <w:tcMar>
              <w:left w:type="dxa" w:w="80"/>
              <w:right w:type="dxa" w:w="80"/>
            </w:tcMar>
          </w:tcPr>
          <w:p>
            <w:pPr>
              <w:pStyle w:val="Compact"/>
            </w:pPr>
            <w:r>
              <w:rPr>
                <w:sz w:val="19"/>
                <w:szCs w:val="19"/>
                <w:lang w:val="nl-NL"/>
              </w:rPr>
              <w:t xml:space="preserve">Natuur</w:t>
            </w:r>
          </w:p>
        </w:tc>
        <w:tc>
          <w:tcPr>
            <w:tcW w:type="dxa" w:w="2340"/>
            <w:tcMar>
              <w:left w:type="dxa" w:w="80"/>
              <w:right w:type="dxa" w:w="80"/>
            </w:tcMar>
          </w:tcPr>
          <w:p>
            <w:pPr>
              <w:pStyle w:val="Compact"/>
            </w:pPr>
            <w:r>
              <w:rPr>
                <w:sz w:val="19"/>
                <w:szCs w:val="19"/>
                <w:lang w:val="nl-NL"/>
              </w:rPr>
              <w:t xml:space="preserve">Status vanaf 24-07-2026</w:t>
            </w:r>
          </w:p>
        </w:tc>
        <w:tc>
          <w:tcPr>
            <w:tcW w:type="dxa" w:w="2340"/>
            <w:tcMar>
              <w:left w:type="dxa" w:w="80"/>
              <w:right w:type="dxa" w:w="80"/>
            </w:tcMar>
          </w:tcPr>
          <w:p>
            <w:pPr>
              <w:pStyle w:val="Compact"/>
            </w:pPr>
            <w:r>
              <w:rPr>
                <w:sz w:val="19"/>
                <w:szCs w:val="19"/>
                <w:lang w:val="nl-NL"/>
              </w:rPr>
              <w:t xml:space="preserve">Doelhorizon</w:t>
            </w:r>
          </w:p>
        </w:tc>
      </w:tr>
      <w:tr>
        <w:trPr>
          <w:cantSplit/>
        </w:trPr>
        <w:tc>
          <w:tcPr>
            <w:tcW w:type="dxa" w:w="2340"/>
            <w:tcMar>
              <w:left w:type="dxa" w:w="80"/>
              <w:right w:type="dxa" w:w="80"/>
            </w:tcMar>
          </w:tcPr>
          <w:p>
            <w:pPr>
              <w:pStyle w:val="Compact"/>
            </w:pPr>
            <w:r>
              <w:rPr>
                <w:sz w:val="19"/>
                <w:szCs w:val="19"/>
                <w:lang w:val="nl-NL"/>
              </w:rPr>
              <w:t xml:space="preserve">ISO/IEC 27001 (informatiebeveiligingsbeheer)</w:t>
            </w:r>
          </w:p>
        </w:tc>
        <w:tc>
          <w:tcPr>
            <w:tcW w:type="dxa" w:w="2340"/>
            <w:tcMar>
              <w:left w:type="dxa" w:w="80"/>
              <w:right w:type="dxa" w:w="80"/>
            </w:tcMar>
          </w:tcPr>
          <w:p>
            <w:pPr>
              <w:pStyle w:val="Compact"/>
            </w:pPr>
            <w:r>
              <w:rPr>
                <w:sz w:val="19"/>
                <w:szCs w:val="19"/>
                <w:lang w:val="nl-NL"/>
              </w:rPr>
              <w:t xml:space="preserve">Certificering van managementsystemen</w:t>
            </w:r>
          </w:p>
        </w:tc>
        <w:tc>
          <w:tcPr>
            <w:tcW w:type="dxa" w:w="2340"/>
            <w:tcMar>
              <w:left w:type="dxa" w:w="80"/>
              <w:right w:type="dxa" w:w="80"/>
            </w:tcMar>
          </w:tcPr>
          <w:p>
            <w:pPr>
              <w:pStyle w:val="Compact"/>
            </w:pPr>
            <w:r>
              <w:rPr>
                <w:b/>
                <w:bCs/>
                <w:sz w:val="19"/>
                <w:szCs w:val="19"/>
                <w:lang w:val="nl-NL"/>
              </w:rPr>
              <w:t xml:space="preserve">Toegewijde aanpak </w:t>
            </w:r>
            <w:r>
              <w:rPr>
                <w:sz w:val="19"/>
                <w:szCs w:val="19"/>
                <w:lang w:val="nl-NL"/>
              </w:rPr>
              <w:t xml:space="preserve"/>
            </w:r>
            <w:r>
              <w:rPr>
                <w:sz w:val="19"/>
                <w:szCs w:val="19"/>
                <w:lang w:val="nl-NL"/>
              </w:rPr>
              <w:t xml:space="preserve">— ISMS-documentairebasis aanwezig (16 geformaliseerd beleid); niet </w:t>
            </w:r>
            <w:r>
              <w:rPr>
                <w:sz w:val="19"/>
                <w:szCs w:val="19"/>
                <w:lang w:val="nl-NL"/>
              </w:rPr>
              <w:t xml:space="preserve"/>
            </w:r>
            <w:r>
              <w:rPr>
                <w:b/>
                <w:bCs/>
                <w:sz w:val="19"/>
                <w:szCs w:val="19"/>
                <w:lang w:val="nl-NL"/>
              </w:rPr>
              <w:t xml:space="preserve">gecertificeerd</w:t>
            </w:r>
          </w:p>
        </w:tc>
        <w:tc>
          <w:tcPr>
            <w:tcW w:type="dxa" w:w="2340"/>
            <w:tcMar>
              <w:left w:type="dxa" w:w="80"/>
              <w:right w:type="dxa" w:w="80"/>
            </w:tcMar>
          </w:tcPr>
          <w:p>
            <w:pPr>
              <w:pStyle w:val="Compact"/>
            </w:pPr>
            <w:r>
              <w:rPr>
                <w:sz w:val="19"/>
                <w:szCs w:val="19"/>
                <w:lang w:val="nl-NL"/>
              </w:rPr>
              <w:t xml:space="preserve">Certificeringsaudit gepland </w:t>
            </w:r>
            <w:r>
              <w:rPr>
                <w:sz w:val="19"/>
                <w:szCs w:val="19"/>
                <w:lang w:val="nl-NL"/>
              </w:rPr>
              <w:t xml:space="preserve"/>
            </w:r>
            <w:r>
              <w:rPr>
                <w:b/>
                <w:bCs/>
                <w:sz w:val="19"/>
                <w:szCs w:val="19"/>
                <w:lang w:val="nl-NL"/>
              </w:rPr>
              <w:t xml:space="preserve">voor begin 2027</w:t>
            </w:r>
          </w:p>
        </w:tc>
      </w:tr>
      <w:tr>
        <w:trPr>
          <w:cantSplit/>
        </w:trPr>
        <w:tc>
          <w:tcPr>
            <w:tcW w:type="dxa" w:w="2340"/>
            <w:tcMar>
              <w:left w:type="dxa" w:w="80"/>
              <w:right w:type="dxa" w:w="80"/>
            </w:tcMar>
          </w:tcPr>
          <w:p>
            <w:pPr>
              <w:pStyle w:val="Compact"/>
            </w:pPr>
            <w:r>
              <w:rPr>
                <w:sz w:val="19"/>
                <w:szCs w:val="19"/>
                <w:lang w:val="nl-NL"/>
              </w:rPr>
              <w:t xml:space="preserve">SOC 2 Type I</w:t>
            </w:r>
          </w:p>
        </w:tc>
        <w:tc>
          <w:tcPr>
            <w:tcW w:type="dxa" w:w="2340"/>
            <w:tcMar>
              <w:left w:type="dxa" w:w="80"/>
              <w:right w:type="dxa" w:w="80"/>
            </w:tcMar>
          </w:tcPr>
          <w:p>
            <w:pPr>
              <w:pStyle w:val="Compact"/>
            </w:pPr>
            <w:r>
              <w:rPr>
                <w:sz w:val="19"/>
                <w:szCs w:val="19"/>
                <w:lang w:val="nl-NL"/>
              </w:rPr>
              <w:t xml:space="preserve">Assurancerapport</w:t>
            </w:r>
          </w:p>
        </w:tc>
        <w:tc>
          <w:tcPr>
            <w:tcW w:type="dxa" w:w="2340"/>
            <w:tcMar>
              <w:left w:type="dxa" w:w="80"/>
              <w:right w:type="dxa" w:w="80"/>
            </w:tcMar>
          </w:tcPr>
          <w:p>
            <w:pPr>
              <w:pStyle w:val="Compact"/>
            </w:pPr>
            <w:r>
              <w:rPr>
                <w:b/>
                <w:bCs/>
                <w:sz w:val="19"/>
                <w:szCs w:val="19"/>
                <w:lang w:val="nl-NL"/>
              </w:rPr>
              <w:t xml:space="preserve">Audit gepland voor 2026; </w:t>
            </w:r>
            <w:r>
              <w:rPr>
                <w:sz w:val="19"/>
                <w:szCs w:val="19"/>
                <w:lang w:val="nl-NL"/>
              </w:rPr>
              <w:t xml:space="preserve">tot </w:t>
            </w:r>
            <w:r>
              <w:rPr>
                <w:sz w:val="19"/>
                <w:szCs w:val="19"/>
                <w:lang w:val="nl-NL"/>
              </w:rPr>
              <w:t xml:space="preserve"/>
            </w:r>
            <w:r>
              <w:rPr>
                <w:sz w:val="19"/>
                <w:szCs w:val="19"/>
                <w:lang w:val="nl-NL"/>
              </w:rPr>
              <w:t xml:space="preserve"/>
            </w:r>
            <w:r>
              <w:rPr>
                <w:b/>
                <w:bCs/>
                <w:sz w:val="19"/>
                <w:szCs w:val="19"/>
                <w:lang w:val="nl-NL"/>
              </w:rPr>
              <w:t xml:space="preserve">op heden niet gerealiseerd</w:t>
            </w:r>
          </w:p>
        </w:tc>
        <w:tc>
          <w:tcPr>
            <w:tcW w:type="dxa" w:w="2340"/>
            <w:tcMar>
              <w:left w:type="dxa" w:w="80"/>
              <w:right w:type="dxa" w:w="80"/>
            </w:tcMar>
          </w:tcPr>
          <w:p>
            <w:pPr>
              <w:pStyle w:val="Compact"/>
            </w:pPr>
            <w:r>
              <w:rPr>
                <w:sz w:val="19"/>
                <w:szCs w:val="19"/>
                <w:lang w:val="nl-NL"/>
              </w:rPr>
              <w:t xml:space="preserve">2026</w:t>
            </w:r>
          </w:p>
        </w:tc>
      </w:tr>
      <w:tr>
        <w:trPr>
          <w:cantSplit/>
        </w:trPr>
        <w:tc>
          <w:tcPr>
            <w:tcW w:type="dxa" w:w="2340"/>
            <w:tcMar>
              <w:left w:type="dxa" w:w="80"/>
              <w:right w:type="dxa" w:w="80"/>
            </w:tcMar>
          </w:tcPr>
          <w:p>
            <w:pPr>
              <w:pStyle w:val="Compact"/>
            </w:pPr>
            <w:r>
              <w:rPr>
                <w:sz w:val="19"/>
                <w:szCs w:val="19"/>
                <w:lang w:val="nl-NL"/>
              </w:rPr>
              <w:t xml:space="preserve">ISO/IEC 27701 (privacybeschermingsbeheer)</w:t>
            </w:r>
          </w:p>
        </w:tc>
        <w:tc>
          <w:tcPr>
            <w:tcW w:type="dxa" w:w="2340"/>
            <w:tcMar>
              <w:left w:type="dxa" w:w="80"/>
              <w:right w:type="dxa" w:w="80"/>
            </w:tcMar>
          </w:tcPr>
          <w:p>
            <w:pPr>
              <w:pStyle w:val="Compact"/>
            </w:pPr>
            <w:r>
              <w:rPr>
                <w:sz w:val="19"/>
                <w:szCs w:val="19"/>
                <w:lang w:val="nl-NL"/>
              </w:rPr>
              <w:t xml:space="preserve">Certificering (extensie van 27001)</w:t>
            </w:r>
          </w:p>
        </w:tc>
        <w:tc>
          <w:tcPr>
            <w:tcW w:type="dxa" w:w="2340"/>
            <w:tcMar>
              <w:left w:type="dxa" w:w="80"/>
              <w:right w:type="dxa" w:w="80"/>
            </w:tcMar>
          </w:tcPr>
          <w:p>
            <w:pPr>
              <w:pStyle w:val="Compact"/>
            </w:pPr>
            <w:r>
              <w:rPr>
                <w:b/>
                <w:bCs/>
                <w:sz w:val="19"/>
                <w:szCs w:val="19"/>
                <w:lang w:val="nl-NL"/>
              </w:rPr>
              <w:t xml:space="preserve">In studie </w:t>
            </w:r>
            <w:r>
              <w:rPr>
                <w:sz w:val="19"/>
                <w:szCs w:val="19"/>
                <w:lang w:val="nl-NL"/>
              </w:rPr>
              <w:t xml:space="preserve"/>
            </w:r>
            <w:r>
              <w:rPr>
                <w:sz w:val="19"/>
                <w:szCs w:val="19"/>
                <w:lang w:val="nl-NL"/>
              </w:rPr>
              <w:t xml:space="preserve">- natuurlijke uitbreiding gepland na verkrijging van 27001</w:t>
            </w:r>
          </w:p>
        </w:tc>
        <w:tc>
          <w:tcPr>
            <w:tcW w:type="dxa" w:w="2340"/>
            <w:tcMar>
              <w:left w:type="dxa" w:w="80"/>
              <w:right w:type="dxa" w:w="80"/>
            </w:tcMar>
          </w:tcPr>
          <w:p>
            <w:pPr>
              <w:pStyle w:val="Compact"/>
            </w:pPr>
            <w:r>
              <w:rPr>
                <w:sz w:val="19"/>
                <w:szCs w:val="19"/>
                <w:lang w:val="nl-NL"/>
              </w:rPr>
              <w:t xml:space="preserve">Na 27001</w:t>
            </w:r>
          </w:p>
        </w:tc>
      </w:tr>
      <w:tr>
        <w:trPr>
          <w:cantSplit/>
        </w:trPr>
        <w:tc>
          <w:tcPr>
            <w:tcW w:type="dxa" w:w="2340"/>
            <w:tcMar>
              <w:left w:type="dxa" w:w="80"/>
              <w:right w:type="dxa" w:w="80"/>
            </w:tcMar>
          </w:tcPr>
          <w:p>
            <w:pPr>
              <w:pStyle w:val="Compact"/>
            </w:pPr>
            <w:r>
              <w:rPr>
                <w:sz w:val="19"/>
                <w:szCs w:val="19"/>
                <w:lang w:val="nl-NL"/>
              </w:rPr>
              <w:t xml:space="preserve">HDS (hosting van gezondheidsgegevens)</w:t>
            </w:r>
          </w:p>
        </w:tc>
        <w:tc>
          <w:tcPr>
            <w:tcW w:type="dxa" w:w="2340"/>
            <w:tcMar>
              <w:left w:type="dxa" w:w="80"/>
              <w:right w:type="dxa" w:w="80"/>
            </w:tcMar>
          </w:tcPr>
          <w:p>
            <w:pPr>
              <w:pStyle w:val="Compact"/>
            </w:pPr>
            <w:r>
              <w:rPr>
                <w:sz w:val="19"/>
                <w:szCs w:val="19"/>
                <w:lang w:val="nl-NL"/>
              </w:rPr>
              <w:t xml:space="preserve">Certificering</w:t>
            </w:r>
          </w:p>
        </w:tc>
        <w:tc>
          <w:tcPr>
            <w:tcW w:type="dxa" w:w="2340"/>
            <w:tcMar>
              <w:left w:type="dxa" w:w="80"/>
              <w:right w:type="dxa" w:w="80"/>
            </w:tcMar>
          </w:tcPr>
          <w:p>
            <w:pPr>
              <w:pStyle w:val="Compact"/>
            </w:pPr>
            <w:r>
              <w:rPr>
                <w:b/>
                <w:bCs/>
                <w:sz w:val="19"/>
                <w:szCs w:val="19"/>
                <w:lang w:val="nl-NL"/>
              </w:rPr>
              <w:t xml:space="preserve">In onderzoek </w:t>
            </w:r>
            <w:r>
              <w:rPr>
                <w:sz w:val="19"/>
                <w:szCs w:val="19"/>
                <w:lang w:val="nl-NL"/>
              </w:rPr>
              <w:t xml:space="preserve"/>
            </w:r>
            <w:r>
              <w:rPr>
                <w:sz w:val="19"/>
                <w:szCs w:val="19"/>
                <w:lang w:val="nl-NL"/>
              </w:rPr>
              <w:t xml:space="preserve">– alleen relevant bij het verwerken van gezondheidsgegevens</w:t>
            </w:r>
          </w:p>
        </w:tc>
        <w:tc>
          <w:tcPr>
            <w:tcW w:type="dxa" w:w="2340"/>
            <w:tcMar>
              <w:left w:type="dxa" w:w="80"/>
              <w:right w:type="dxa" w:w="80"/>
            </w:tcMar>
          </w:tcPr>
          <w:p>
            <w:pPr>
              <w:pStyle w:val="Compact"/>
            </w:pPr>
            <w:r>
              <w:rPr>
                <w:sz w:val="19"/>
                <w:szCs w:val="19"/>
                <w:lang w:val="nl-NL"/>
              </w:rPr>
              <w:t xml:space="preserve">Volgens de behoeften van de klant</w:t>
            </w:r>
          </w:p>
        </w:tc>
      </w:tr>
      <w:tr>
        <w:trPr>
          <w:cantSplit/>
        </w:trPr>
        <w:tc>
          <w:tcPr>
            <w:tcW w:type="dxa" w:w="2340"/>
            <w:tcMar>
              <w:left w:type="dxa" w:w="80"/>
              <w:right w:type="dxa" w:w="80"/>
            </w:tcMar>
          </w:tcPr>
          <w:p>
            <w:pPr>
              <w:pStyle w:val="Compact"/>
            </w:pPr>
            <w:r>
              <w:rPr>
                <w:sz w:val="19"/>
                <w:szCs w:val="19"/>
                <w:lang w:val="nl-NL"/>
              </w:rPr>
              <w:t xml:space="preserve">SecNumCloud (ANSSI)</w:t>
            </w:r>
          </w:p>
        </w:tc>
        <w:tc>
          <w:tcPr>
            <w:tcW w:type="dxa" w:w="2340"/>
            <w:tcMar>
              <w:left w:type="dxa" w:w="80"/>
              <w:right w:type="dxa" w:w="80"/>
            </w:tcMar>
          </w:tcPr>
          <w:p>
            <w:pPr>
              <w:pStyle w:val="Compact"/>
            </w:pPr>
            <w:r>
              <w:rPr>
                <w:sz w:val="19"/>
                <w:szCs w:val="19"/>
                <w:lang w:val="nl-NL"/>
              </w:rPr>
              <w:t xml:space="preserve">Kwalificatie</w:t>
            </w:r>
          </w:p>
        </w:tc>
        <w:tc>
          <w:tcPr>
            <w:tcW w:type="dxa" w:w="2340"/>
            <w:tcMar>
              <w:left w:type="dxa" w:w="80"/>
              <w:right w:type="dxa" w:w="80"/>
            </w:tcMar>
          </w:tcPr>
          <w:p>
            <w:pPr>
              <w:pStyle w:val="Compact"/>
            </w:pPr>
            <w:r>
              <w:rPr>
                <w:b/>
                <w:bCs/>
                <w:sz w:val="19"/>
                <w:szCs w:val="19"/>
                <w:lang w:val="nl-NL"/>
              </w:rPr>
              <w:t xml:space="preserve">Monitoring </w:t>
            </w:r>
            <w:r>
              <w:rPr>
                <w:sz w:val="19"/>
                <w:szCs w:val="19"/>
                <w:lang w:val="nl-NL"/>
              </w:rPr>
              <w:t xml:space="preserve"/>
            </w:r>
            <w:r>
              <w:rPr>
                <w:sz w:val="19"/>
                <w:szCs w:val="19"/>
                <w:lang w:val="nl-NL"/>
              </w:rPr>
              <w:t xml:space="preserve">– niet gericht op de korte termijn</w:t>
            </w:r>
          </w:p>
        </w:tc>
        <w:tc>
          <w:tcPr>
            <w:tcW w:type="dxa" w:w="2340"/>
            <w:tcMar>
              <w:left w:type="dxa" w:w="80"/>
              <w:right w:type="dxa" w:w="80"/>
            </w:tcMar>
          </w:tcPr>
          <w:p>
            <w:pPr>
              <w:pStyle w:val="Compact"/>
            </w:pPr>
            <w:r>
              <w:rPr>
                <w:sz w:val="19"/>
                <w:szCs w:val="19"/>
                <w:lang w:val="nl-NL"/>
              </w:rPr>
              <w:t xml:space="preserve">Niet gepland</w:t>
            </w:r>
          </w:p>
        </w:tc>
      </w:tr>
      <w:tr>
        <w:trPr>
          <w:cantSplit/>
        </w:trPr>
        <w:tc>
          <w:tcPr>
            <w:tcW w:type="dxa" w:w="2340"/>
            <w:tcMar>
              <w:left w:type="dxa" w:w="80"/>
              <w:right w:type="dxa" w:w="80"/>
            </w:tcMar>
          </w:tcPr>
          <w:p>
            <w:pPr>
              <w:pStyle w:val="Compact"/>
            </w:pPr>
            <w:r>
              <w:rPr>
                <w:sz w:val="19"/>
                <w:szCs w:val="19"/>
                <w:lang w:val="nl-NL"/>
              </w:rPr>
              <w:t xml:space="preserve">AVG (Verordening (EU) 2016/679)</w:t>
            </w:r>
          </w:p>
        </w:tc>
        <w:tc>
          <w:tcPr>
            <w:tcW w:type="dxa" w:w="2340"/>
            <w:tcMar>
              <w:left w:type="dxa" w:w="80"/>
              <w:right w:type="dxa" w:w="80"/>
            </w:tcMar>
          </w:tcPr>
          <w:p>
            <w:pPr>
              <w:pStyle w:val="Compact"/>
            </w:pPr>
            <w:r>
              <w:rPr>
                <w:sz w:val="19"/>
                <w:szCs w:val="19"/>
                <w:lang w:val="nl-NL"/>
              </w:rPr>
              <w:t xml:space="preserve">Naleving van regelgeving (niet-certificerend)</w:t>
            </w:r>
          </w:p>
        </w:tc>
        <w:tc>
          <w:tcPr>
            <w:tcW w:type="dxa" w:w="2340"/>
            <w:tcMar>
              <w:left w:type="dxa" w:w="80"/>
              <w:right w:type="dxa" w:w="80"/>
            </w:tcMar>
          </w:tcPr>
          <w:p>
            <w:pPr>
              <w:pStyle w:val="Compact"/>
            </w:pPr>
            <w:r>
              <w:rPr>
                <w:b/>
                <w:bCs/>
                <w:sz w:val="19"/>
                <w:szCs w:val="19"/>
                <w:lang w:val="nl-NL"/>
              </w:rPr>
              <w:t xml:space="preserve">Van toepassing en gedocumenteerd </w:t>
            </w:r>
            <w:r>
              <w:rPr>
                <w:sz w:val="19"/>
                <w:szCs w:val="19"/>
                <w:lang w:val="nl-NL"/>
              </w:rPr>
              <w:t xml:space="preserve"/>
            </w:r>
            <w:r>
              <w:rPr>
                <w:sz w:val="19"/>
                <w:szCs w:val="19"/>
                <w:lang w:val="nl-NL"/>
              </w:rPr>
              <w:t xml:space="preserve">— zie speciaal bestand AVG</w:t>
            </w:r>
          </w:p>
        </w:tc>
        <w:tc>
          <w:tcPr>
            <w:tcW w:type="dxa" w:w="2340"/>
            <w:tcMar>
              <w:left w:type="dxa" w:w="80"/>
              <w:right w:type="dxa" w:w="80"/>
            </w:tcMar>
          </w:tcPr>
          <w:p>
            <w:pPr>
              <w:pStyle w:val="Compact"/>
            </w:pPr>
            <w:r>
              <w:rPr>
                <w:sz w:val="19"/>
                <w:szCs w:val="19"/>
                <w:lang w:val="nl-NL"/>
              </w:rPr>
              <w:t xml:space="preserve">Permanent</w:t>
            </w:r>
          </w:p>
        </w:tc>
      </w:tr>
      <w:tr>
        <w:trPr>
          <w:cantSplit/>
        </w:trPr>
        <w:tc>
          <w:tcPr>
            <w:tcW w:type="dxa" w:w="2340"/>
            <w:tcMar>
              <w:left w:type="dxa" w:w="80"/>
              <w:right w:type="dxa" w:w="80"/>
            </w:tcMar>
          </w:tcPr>
          <w:p>
            <w:pPr>
              <w:pStyle w:val="Compact"/>
            </w:pPr>
            <w:r>
              <w:rPr>
                <w:sz w:val="19"/>
                <w:szCs w:val="19"/>
                <w:lang w:val="nl-NL"/>
              </w:rPr>
              <w:t xml:space="preserve">NIS2-richtlijn (EU) 2022/2555</w:t>
            </w:r>
          </w:p>
        </w:tc>
        <w:tc>
          <w:tcPr>
            <w:tcW w:type="dxa" w:w="2340"/>
            <w:tcMar>
              <w:left w:type="dxa" w:w="80"/>
              <w:right w:type="dxa" w:w="80"/>
            </w:tcMar>
          </w:tcPr>
          <w:p>
            <w:pPr>
              <w:pStyle w:val="Compact"/>
            </w:pPr>
            <w:r>
              <w:rPr>
                <w:sz w:val="19"/>
                <w:szCs w:val="19"/>
                <w:lang w:val="nl-NL"/>
              </w:rPr>
              <w:t xml:space="preserve">Regelgevend kader (niet-certificerend voor een product)</w:t>
            </w:r>
          </w:p>
        </w:tc>
        <w:tc>
          <w:tcPr>
            <w:tcW w:type="dxa" w:w="2340"/>
            <w:tcMar>
              <w:left w:type="dxa" w:w="80"/>
              <w:right w:type="dxa" w:w="80"/>
            </w:tcMar>
          </w:tcPr>
          <w:p>
            <w:pPr>
              <w:pStyle w:val="Compact"/>
            </w:pPr>
            <w:r>
              <w:rPr>
                <w:sz w:val="19"/>
                <w:szCs w:val="19"/>
                <w:lang w:val="nl-NL"/>
              </w:rPr>
              <w:t xml:space="preserve">Gedocumenteerde </w:t>
            </w:r>
            <w:r>
              <w:rPr>
                <w:sz w:val="19"/>
                <w:szCs w:val="19"/>
                <w:lang w:val="nl-NL"/>
              </w:rPr>
              <w:t xml:space="preserve"/>
            </w:r>
            <w:r>
              <w:rPr>
                <w:b/>
                <w:bCs/>
                <w:sz w:val="19"/>
                <w:szCs w:val="19"/>
                <w:lang w:val="nl-NL"/>
              </w:rPr>
              <w:t xml:space="preserve">bijdragende technische </w:t>
            </w:r>
            <w:r>
              <w:rPr>
                <w:sz w:val="19"/>
                <w:szCs w:val="19"/>
                <w:lang w:val="nl-NL"/>
              </w:rPr>
              <w:t xml:space="preserve"/>
            </w:r>
            <w:r>
              <w:rPr>
                <w:sz w:val="19"/>
                <w:szCs w:val="19"/>
                <w:lang w:val="nl-NL"/>
              </w:rPr>
              <w:t xml:space="preserve">maatregelen</w:t>
            </w:r>
          </w:p>
        </w:tc>
        <w:tc>
          <w:tcPr>
            <w:tcW w:type="dxa" w:w="2340"/>
            <w:tcMar>
              <w:left w:type="dxa" w:w="80"/>
              <w:right w:type="dxa" w:w="80"/>
            </w:tcMar>
          </w:tcPr>
          <w:p>
            <w:pPr>
              <w:pStyle w:val="Compact"/>
            </w:pPr>
            <w:r>
              <w:rPr>
                <w:sz w:val="19"/>
                <w:szCs w:val="19"/>
                <w:lang w:val="nl-NL"/>
              </w:rPr>
              <w:t xml:space="preserve">Volgens klantverplichtingen</w:t>
            </w:r>
          </w:p>
        </w:tc>
      </w:tr>
      <w:tr>
        <w:trPr>
          <w:cantSplit/>
        </w:trPr>
        <w:tc>
          <w:tcPr>
            <w:tcW w:type="dxa" w:w="2340"/>
            <w:tcMar>
              <w:left w:type="dxa" w:w="80"/>
              <w:right w:type="dxa" w:w="80"/>
            </w:tcMar>
          </w:tcPr>
          <w:p>
            <w:pPr>
              <w:pStyle w:val="Compact"/>
            </w:pPr>
            <w:r>
              <w:rPr>
                <w:sz w:val="19"/>
                <w:szCs w:val="19"/>
                <w:lang w:val="nl-NL"/>
              </w:rPr>
              <w:t xml:space="preserve">Toegankelijkheid (EAA / RGAA)</w:t>
            </w:r>
          </w:p>
        </w:tc>
        <w:tc>
          <w:tcPr>
            <w:tcW w:type="dxa" w:w="2340"/>
            <w:tcMar>
              <w:left w:type="dxa" w:w="80"/>
              <w:right w:type="dxa" w:w="80"/>
            </w:tcMar>
          </w:tcPr>
          <w:p>
            <w:pPr>
              <w:pStyle w:val="Compact"/>
            </w:pPr>
            <w:r>
              <w:rPr>
                <w:sz w:val="19"/>
                <w:szCs w:val="19"/>
                <w:lang w:val="nl-NL"/>
              </w:rPr>
              <w:t xml:space="preserve">Naleving van regelgeving</w:t>
            </w:r>
          </w:p>
        </w:tc>
        <w:tc>
          <w:tcPr>
            <w:tcW w:type="dxa" w:w="2340"/>
            <w:tcMar>
              <w:left w:type="dxa" w:w="80"/>
              <w:right w:type="dxa" w:w="80"/>
            </w:tcMar>
          </w:tcPr>
          <w:p>
            <w:pPr>
              <w:pStyle w:val="Compact"/>
            </w:pPr>
            <w:r>
              <w:rPr>
                <w:b/>
                <w:bCs/>
                <w:sz w:val="19"/>
                <w:szCs w:val="19"/>
                <w:lang w:val="nl-NL"/>
              </w:rPr>
              <w:t xml:space="preserve">[IN TE VULLEN: toegankelijkheidsstatus]</w:t>
            </w:r>
          </w:p>
        </w:tc>
        <w:tc>
          <w:tcPr>
            <w:tcW w:type="dxa" w:w="2340"/>
            <w:tcMar>
              <w:left w:type="dxa" w:w="80"/>
              <w:right w:type="dxa" w:w="80"/>
            </w:tcMar>
          </w:tcPr>
          <w:p>
            <w:pPr>
              <w:pStyle w:val="Compact"/>
            </w:pPr>
            <w:r>
              <w:rPr>
                <w:sz w:val="19"/>
                <w:szCs w:val="19"/>
                <w:lang w:val="nl-NL"/>
              </w:rPr>
              <w:t xml:space="preserve">[WORDEN VOLTOOID]</w:t>
            </w:r>
          </w:p>
        </w:tc>
      </w:tr>
    </w:tbl>
    <w:p>
      <w:r>
        <w:pict>
          <v:rect style="width:0;height:1.5pt" o:hralign="center" o:hrstd="t" o:hr="t"/>
        </w:pict>
      </w:r>
    </w:p>
    <w:bookmarkEnd w:id="154"/>
    <w:bookmarkStart w:id="155" w:name="X30f21e3fe687fa7ed7647d19bfa3f440a66be0d"/>
    <w:p>
      <w:pPr>
        <w:pStyle w:val="Heading2"/>
        <w:keepNext/>
        <w:keepLines/>
      </w:pPr>
      <w:r>
        <w:rPr>
          <w:color w:val="000000"/>
          <w:lang w:val="nl-NL"/>
        </w:rPr>
        <w:t xml:space="preserve">2. ISO/IEC 27001 — gevolgde aanpak</w:t>
      </w:r>
    </w:p>
    <w:p>
      <w:pPr>
        <w:pStyle w:val="FirstParagraph"/>
      </w:pPr>
      <w:r>
        <w:rPr>
          <w:lang w:val="nl-NL"/>
        </w:rPr>
        <w:t xml:space="preserve">OHADJA heeft een gestructureerde aanpak in de richting van ISO/IEC 27001-certificering geïnitieerd. In dit stadium:</w:t>
      </w:r>
    </w:p>
    <w:p>
      <w:pPr>
        <w:pStyle w:val="Compact"/>
        <w:numPr>
          <w:ilvl w:val="0"/>
          <w:numId w:val="1042"/>
        </w:numPr>
      </w:pPr>
      <w:r>
        <w:rPr>
          <w:lang w:val="nl-NL"/>
        </w:rPr>
        <w:t xml:space="preserve">er </w:t>
      </w:r>
      <w:r>
        <w:rPr>
          <w:lang w:val="nl-NL"/>
        </w:rPr>
        <w:t xml:space="preserve"/>
      </w:r>
      <w:r>
        <w:rPr>
          <w:b/>
          <w:bCs/>
          <w:lang w:val="nl-NL"/>
        </w:rPr>
        <w:t xml:space="preserve">is een documentaire basis voor het informatiebeveiligingsbeheersysteem (ISMS), </w:t>
      </w:r>
      <w:r>
        <w:rPr>
          <w:lang w:val="nl-NL"/>
        </w:rPr>
        <w:t xml:space="preserve"/>
      </w:r>
      <w:r>
        <w:rPr>
          <w:lang w:val="nl-NL"/>
        </w:rPr>
        <w:t xml:space="preserve">bestaande uit de zestien (16) </w:t>
      </w:r>
      <w:r>
        <w:rPr>
          <w:lang w:val="nl-NL"/>
        </w:rPr>
        <w:t xml:space="preserve"/>
      </w:r>
      <w:r>
        <w:rPr>
          <w:b/>
          <w:bCs/>
          <w:lang w:val="nl-NL"/>
        </w:rPr>
        <w:t xml:space="preserve">geformaliseerde beleidslijnen van de uitgever OHADJA </w:t>
      </w:r>
      <w:r>
        <w:rPr>
          <w:lang w:val="nl-NL"/>
        </w:rPr>
        <w:t xml:space="preserve"/>
      </w:r>
      <w:r>
        <w:rPr>
          <w:lang w:val="nl-NL"/>
        </w:rPr>
        <w:t xml:space="preserve">(repository OHADJA-POL, versie 2.0, herziening van mei 2026 — zie sectie 6);</w:t>
      </w:r>
    </w:p>
    <w:p>
      <w:pPr>
        <w:pStyle w:val="Compact"/>
        <w:numPr>
          <w:ilvl w:val="0"/>
          <w:numId w:val="1042"/>
        </w:numPr>
      </w:pPr>
      <w:r>
        <w:rPr>
          <w:lang w:val="nl-NL"/>
        </w:rPr>
        <w:t xml:space="preserve">de </w:t>
      </w:r>
      <w:r>
        <w:rPr>
          <w:b/>
          <w:bCs/>
          <w:lang w:val="nl-NL"/>
        </w:rPr>
        <w:t xml:space="preserve">certificeringsaudit is gepland voor begin </w:t>
      </w:r>
      <w:r>
        <w:rPr>
          <w:lang w:val="nl-NL"/>
        </w:rPr>
        <w:t xml:space="preserve">2027.</w:t>
      </w:r>
    </w:p>
    <w:p>
      <w:pPr>
        <w:pStyle w:val="FirstParagraph"/>
      </w:pPr>
      <w:r>
        <w:rPr>
          <w:lang w:val="nl-NL"/>
        </w:rPr>
        <w:t xml:space="preserve">Tot op heden is er geen ISO/IEC 27001-certificaat afgegeven. Momenteel wordt de aanpak gestructureerd en geïmplementeerd.</w:t>
      </w:r>
    </w:p>
    <w:bookmarkEnd w:id="155"/>
    <w:bookmarkStart w:id="156" w:name="Xb666bc933ca9b071007a4b8affeac18b39b0724"/>
    <w:p>
      <w:pPr>
        <w:pStyle w:val="Heading2"/>
        <w:keepNext/>
        <w:keepLines/>
      </w:pPr>
      <w:r>
        <w:rPr>
          <w:color w:val="000000"/>
          <w:lang w:val="nl-NL"/>
        </w:rPr>
        <w:t xml:space="preserve">3. SOC 2 Type I</w:t>
      </w:r>
    </w:p>
    <w:p>
      <w:pPr>
        <w:pStyle w:val="FirstParagraph"/>
      </w:pPr>
      <w:r>
        <w:rPr>
          <w:lang w:val="nl-NL"/>
        </w:rPr>
        <w:t xml:space="preserve">Voor </w:t>
      </w:r>
      <w:r>
        <w:rPr>
          <w:lang w:val="nl-NL"/>
        </w:rPr>
        <w:t xml:space="preserve"/>
      </w:r>
      <w:r>
        <w:rPr>
          <w:b/>
          <w:bCs/>
          <w:lang w:val="nl-NL"/>
        </w:rPr>
        <w:t xml:space="preserve">het jaar 2026 is een SOC 2 Type I-audit gepland. </w:t>
      </w:r>
      <w:r>
        <w:rPr>
          <w:lang w:val="nl-NL"/>
        </w:rPr>
        <w:t xml:space="preserve">Deze toezegging is reeds gecommuniceerd in het publieke compliancedossier van TranscribIA. Op de datum van dit document is de audit nog niet uitgevoerd en is er geen SOC 2-rapport beschikbaar.</w:t>
      </w:r>
    </w:p>
    <w:bookmarkEnd w:id="156"/>
    <w:bookmarkStart w:id="157" w:name="Xdff9f055eed22f210ec3b463d1e59173981f1ea"/>
    <w:p>
      <w:pPr>
        <w:pStyle w:val="Heading2"/>
        <w:keepNext/>
        <w:keepLines/>
      </w:pPr>
      <w:r>
        <w:rPr>
          <w:color w:val="000000"/>
          <w:lang w:val="nl-NL"/>
        </w:rPr>
        <w:t xml:space="preserve">4. Andere opslagplaatsen</w:t>
      </w:r>
    </w:p>
    <w:p>
      <w:pPr>
        <w:pStyle w:val="Compact"/>
        <w:numPr>
          <w:ilvl w:val="0"/>
          <w:numId w:val="1043"/>
        </w:numPr>
      </w:pPr>
      <w:r>
        <w:rPr>
          <w:b/>
          <w:bCs/>
          <w:lang w:val="nl-NL"/>
        </w:rPr>
        <w:t xml:space="preserve">ISO/IEC 27701: </w:t>
      </w:r>
      <w:r>
        <w:rPr>
          <w:lang w:val="nl-NL"/>
        </w:rPr>
        <w:t xml:space="preserve"/>
      </w:r>
      <w:r>
        <w:rPr>
          <w:lang w:val="nl-NL"/>
        </w:rPr>
        <w:t xml:space="preserve">bedoeld als een natuurlijke uitbreiding van het managementsysteem zodra de 27001-certificering is behaald. In studie, nog niet formeel vastgelegd in dit stadium.</w:t>
      </w:r>
    </w:p>
    <w:p>
      <w:pPr>
        <w:pStyle w:val="Compact"/>
        <w:numPr>
          <w:ilvl w:val="0"/>
          <w:numId w:val="1043"/>
        </w:numPr>
      </w:pPr>
      <w:r>
        <w:rPr>
          <w:b/>
          <w:bCs/>
          <w:lang w:val="nl-NL"/>
        </w:rPr>
        <w:t xml:space="preserve">HDS (hosting van gezondheidsgegevens): </w:t>
      </w:r>
      <w:r>
        <w:rPr>
          <w:lang w:val="nl-NL"/>
        </w:rPr>
        <w:t xml:space="preserve"/>
      </w:r>
      <w:r>
        <w:rPr>
          <w:lang w:val="nl-NL"/>
        </w:rPr>
        <w:t xml:space="preserve">in studie. Deze repository is alleen relevant indien Klant gezondheidsgegevens </w:t>
      </w:r>
      <w:r>
        <w:rPr>
          <w:lang w:val="nl-NL"/>
        </w:rPr>
        <w:t xml:space="preserve"/>
      </w:r>
      <w:r>
        <w:rPr>
          <w:b/>
          <w:bCs/>
          <w:lang w:val="nl-NL"/>
        </w:rPr>
        <w:t xml:space="preserve">verwerkt met </w:t>
      </w:r>
      <w:r>
        <w:rPr>
          <w:lang w:val="nl-NL"/>
        </w:rPr>
        <w:t xml:space="preserve"/>
      </w:r>
      <w:r>
        <w:rPr>
          <w:lang w:val="nl-NL"/>
        </w:rPr>
        <w:t xml:space="preserve">behulp van de Oplossing. Indien nodig zal dit van geval tot geval worden bekeken.</w:t>
      </w:r>
    </w:p>
    <w:p>
      <w:pPr>
        <w:pStyle w:val="Compact"/>
        <w:numPr>
          <w:ilvl w:val="0"/>
          <w:numId w:val="1043"/>
        </w:numPr>
      </w:pPr>
      <w:r>
        <w:rPr>
          <w:b/>
          <w:bCs/>
          <w:lang w:val="nl-NL"/>
        </w:rPr>
        <w:t xml:space="preserve">SecNumCloud: </w:t>
      </w:r>
      <w:r>
        <w:rPr>
          <w:lang w:val="nl-NL"/>
        </w:rPr>
        <w:t xml:space="preserve"/>
      </w:r>
      <w:r>
        <w:rPr>
          <w:lang w:val="nl-NL"/>
        </w:rPr>
        <w:t xml:space="preserve"/>
      </w:r>
      <w:r>
        <w:rPr>
          <w:lang w:val="nl-NL"/>
        </w:rPr>
        <w:t xml:space="preserve"/>
      </w:r>
      <w:r>
        <w:rPr>
          <w:b/>
          <w:bCs/>
          <w:lang w:val="nl-NL"/>
        </w:rPr>
        <w:t xml:space="preserve">stand-by, </w:t>
      </w:r>
      <w:r>
        <w:rPr>
          <w:lang w:val="nl-NL"/>
        </w:rPr>
        <w:t xml:space="preserve">niet gericht op de korte termijn. Dit ANSSI-kwalificatieraamwerk is vooral gericht op grootschalige cloudserviceproviders, een reikwijdte die niet overeenkomt met de huidige positionering van TranscribIA.</w:t>
      </w:r>
    </w:p>
    <w:p>
      <w:r>
        <w:pict>
          <v:rect style="width:0;height:1.5pt" o:hralign="center" o:hrstd="t" o:hr="t"/>
        </w:pict>
      </w:r>
    </w:p>
    <w:bookmarkEnd w:id="157"/>
    <w:bookmarkStart w:id="158" w:name="X3c16480e655205b358e4f8dce0588232afc3ce6"/>
    <w:p>
      <w:pPr>
        <w:pStyle w:val="Heading2"/>
        <w:keepNext/>
        <w:keepLines/>
      </w:pPr>
      <w:r>
        <w:rPr>
          <w:color w:val="000000"/>
          <w:lang w:val="nl-NL"/>
        </w:rPr>
        <w:t xml:space="preserve">5. Naleving van de regelgeving van toepassing zonder certificering</w:t>
      </w:r>
    </w:p>
    <w:p>
      <w:pPr>
        <w:pStyle w:val="FirstParagraph"/>
      </w:pPr>
      <w:r>
        <w:rPr>
          <w:lang w:val="nl-NL"/>
        </w:rPr>
        <w:t xml:space="preserve">Bepaalde verplichtingen zijn van toepassing, ongeacht eventuele certificering. OHADJA verwerkt ze als onderdeel van zijn compliancedossier:</w:t>
      </w:r>
    </w:p>
    <w:p>
      <w:pPr>
        <w:pStyle w:val="Compact"/>
        <w:numPr>
          <w:ilvl w:val="0"/>
          <w:numId w:val="1044"/>
        </w:numPr>
      </w:pPr>
      <w:r>
        <w:rPr>
          <w:b/>
          <w:bCs/>
          <w:lang w:val="nl-NL"/>
        </w:rPr>
        <w:t xml:space="preserve">AVG: </w:t>
      </w:r>
      <w:r>
        <w:rPr>
          <w:lang w:val="nl-NL"/>
        </w:rPr>
        <w:t xml:space="preserve"/>
      </w:r>
      <w:r>
        <w:rPr>
          <w:lang w:val="nl-NL"/>
        </w:rPr>
        <w:t xml:space="preserve">de naleving van de Algemene Verordening Gegevensbescherming is het </w:t>
      </w:r>
      <w:r>
        <w:rPr>
          <w:lang w:val="nl-NL"/>
        </w:rPr>
        <w:t xml:space="preserve">onderwerp </w:t>
      </w:r>
      <w:r>
        <w:rPr>
          <w:b/>
          <w:bCs/>
          <w:lang w:val="nl-NL"/>
        </w:rPr>
        <w:t xml:space="preserve">van een </w:t>
      </w:r>
      <w:r>
        <w:rPr>
          <w:lang w:val="nl-NL"/>
        </w:rPr>
        <w:t xml:space="preserve"/>
      </w:r>
      <w:r>
        <w:rPr>
          <w:lang w:val="nl-NL"/>
        </w:rPr>
        <w:t xml:space="preserve">speciaal bestand (Verwerkingsovereenkomst voor persoonsgegevens onder artikel 28, technische en organisatorische maatregelen onder artikel 32, beheer van individuele rechten, toezicht op subverwerkers en overdrachten). AVG is een bindend regelgevingskader, geen certificeringsbenchmark.</w:t>
      </w:r>
    </w:p>
    <w:p>
      <w:pPr>
        <w:pStyle w:val="Compact"/>
        <w:numPr>
          <w:ilvl w:val="0"/>
          <w:numId w:val="1044"/>
        </w:numPr>
      </w:pPr>
      <w:r>
        <w:rPr>
          <w:b/>
          <w:bCs/>
          <w:lang w:val="nl-NL"/>
        </w:rPr>
        <w:t xml:space="preserve">NIS2-richtlijn: </w:t>
      </w:r>
      <w:r>
        <w:rPr>
          <w:lang w:val="nl-NL"/>
        </w:rPr>
        <w:t xml:space="preserve"/>
      </w:r>
      <w:r>
        <w:rPr>
          <w:lang w:val="nl-NL"/>
        </w:rPr>
        <w:t xml:space="preserve">TranscribIA is niet en kan niet “NIS2-gecertificeerd” zijn (dergelijke productcertificering bestaat niet). Aan de andere kant </w:t>
      </w:r>
      <w:r>
        <w:rPr>
          <w:lang w:val="nl-NL"/>
        </w:rPr>
        <w:t xml:space="preserve"/>
      </w:r>
      <w:r>
        <w:rPr>
          <w:b/>
          <w:bCs/>
          <w:lang w:val="nl-NL"/>
        </w:rPr>
        <w:t xml:space="preserve">kunnen de verifieerbare technische </w:t>
      </w:r>
      <w:r>
        <w:rPr>
          <w:lang w:val="nl-NL"/>
        </w:rPr>
        <w:t xml:space="preserve"/>
      </w:r>
      <w:r>
        <w:rPr>
          <w:lang w:val="nl-NL"/>
        </w:rPr>
        <w:t xml:space="preserve">maatregelen (toegangscontrole, encryptie, logging, incidentbeheer, continuïteit, beveiliging van de toeleveringsketen) bijdragen </w:t>
      </w:r>
      <w:r>
        <w:rPr>
          <w:lang w:val="nl-NL"/>
        </w:rPr>
        <w:t xml:space="preserve"/>
      </w:r>
      <w:r>
        <w:rPr>
          <w:b/>
          <w:bCs/>
          <w:lang w:val="nl-NL"/>
        </w:rPr>
        <w:t xml:space="preserve">tot de </w:t>
      </w:r>
      <w:r>
        <w:rPr>
          <w:lang w:val="nl-NL"/>
        </w:rPr>
        <w:t xml:space="preserve"/>
      </w:r>
      <w:r>
        <w:rPr>
          <w:lang w:val="nl-NL"/>
        </w:rPr>
        <w:t xml:space="preserve">compliance van de opdrachtgever, onder diens verantwoordelijkheid. Deze elementen worden gedetailleerd beschreven in het compliancedossier.</w:t>
      </w:r>
    </w:p>
    <w:p>
      <w:pPr>
        <w:pStyle w:val="Compact"/>
        <w:numPr>
          <w:ilvl w:val="0"/>
          <w:numId w:val="1044"/>
        </w:numPr>
      </w:pPr>
      <w:r>
        <w:rPr>
          <w:b/>
          <w:bCs/>
          <w:lang w:val="nl-NL"/>
        </w:rPr>
        <w:t xml:space="preserve">Toegankelijkheid (EAA / </w:t>
      </w:r>
      <w:r>
        <w:rPr>
          <w:lang w:val="nl-NL"/>
        </w:rPr>
        <w:t xml:space="preserve"/>
      </w:r>
      <w:r>
        <w:rPr>
          <w:lang w:val="nl-NL"/>
        </w:rPr>
        <w:t xml:space="preserve"/>
      </w:r>
      <w:r>
        <w:rPr>
          <w:lang w:val="nl-NL"/>
        </w:rPr>
        <w:t xml:space="preserve">RGAA): </w:t>
      </w:r>
      <w:r>
        <w:rPr>
          <w:b/>
          <w:bCs/>
          <w:lang w:val="nl-NL"/>
        </w:rPr>
        <w:t xml:space="preserve">[IN TE VULLEN: nalevingsstatus digitale toegankelijkheid – RGAA-audit al dan niet uitgevoerd, nalevingspercentage, </w:t>
      </w:r>
      <w:r>
        <w:rPr>
          <w:lang w:val="nl-NL"/>
        </w:rPr>
        <w:t xml:space="preserve">toegankelijkheidsverklaring].</w:t>
      </w:r>
    </w:p>
    <w:p>
      <w:r>
        <w:pict>
          <v:rect style="width:0;height:1.5pt" o:hralign="center" o:hrstd="t" o:hr="t"/>
        </w:pict>
      </w:r>
    </w:p>
    <w:bookmarkEnd w:id="158"/>
    <w:bookmarkStart w:id="159" w:name="X259421c5b1f2bba1d219494517f0f28089bf3c9"/>
    <w:p>
      <w:pPr>
        <w:pStyle w:val="Heading2"/>
        <w:keepNext/>
        <w:keepLines/>
      </w:pPr>
      <w:r>
        <w:rPr>
          <w:color w:val="000000"/>
          <w:lang w:val="nl-NL"/>
        </w:rPr>
        <w:t xml:space="preserve">6. ISMS-documentairebasis — lijst van 16 beleidsmaatregelen</w:t>
      </w:r>
    </w:p>
    <w:p>
      <w:pPr>
        <w:pStyle w:val="FirstParagraph"/>
      </w:pPr>
      <w:r>
        <w:rPr>
          <w:lang w:val="nl-NL"/>
        </w:rPr>
        <w:t xml:space="preserve">Het informatiebeveiligingsbeheersysteem is gebaseerd op de zestien geformaliseerde beleidslijnen van de uitgever OHADJA, met referenties </w:t>
      </w:r>
      <w:r>
        <w:rPr>
          <w:lang w:val="nl-NL"/>
        </w:rPr>
        <w:t xml:space="preserve"/>
      </w:r>
      <w:r>
        <w:rPr>
          <w:b/>
          <w:bCs/>
          <w:lang w:val="nl-NL"/>
        </w:rPr>
        <w:t xml:space="preserve">OHADJA-POL-01 tot OHADJA-POL-16, </w:t>
      </w:r>
      <w:r>
        <w:rPr>
          <w:lang w:val="nl-NL"/>
        </w:rPr>
        <w:t xml:space="preserve">in </w:t>
      </w:r>
      <w:r>
        <w:rPr>
          <w:lang w:val="nl-NL"/>
        </w:rPr>
        <w:t xml:space="preserve"/>
      </w:r>
      <w:r>
        <w:rPr>
          <w:b/>
          <w:bCs/>
          <w:lang w:val="nl-NL"/>
        </w:rPr>
        <w:t xml:space="preserve">versie 2.0 (herziening van mei </w:t>
      </w:r>
      <w:r>
        <w:rPr>
          <w:lang w:val="nl-NL"/>
        </w:rPr>
        <w:t xml:space="preserve"/>
      </w:r>
      <w:r>
        <w:rPr>
          <w:lang w:val="nl-NL"/>
        </w:rPr>
        <w:t xml:space="preserve">2026):</w:t>
      </w:r>
    </w:p>
    <w:p>
      <w:pPr>
        <w:pStyle w:val="Compact"/>
        <w:numPr>
          <w:ilvl w:val="0"/>
          <w:numId w:val="1045"/>
        </w:numPr>
      </w:pPr>
      <w:r>
        <w:rPr>
          <w:lang w:val="nl-NL"/>
        </w:rPr>
        <w:t xml:space="preserve">OHADJA-POL-01 — Informatiebeveiligingsbeleid</w:t>
      </w:r>
    </w:p>
    <w:p>
      <w:pPr>
        <w:pStyle w:val="Compact"/>
        <w:numPr>
          <w:ilvl w:val="0"/>
          <w:numId w:val="1045"/>
        </w:numPr>
      </w:pPr>
      <w:r>
        <w:rPr>
          <w:lang w:val="nl-NL"/>
        </w:rPr>
        <w:t xml:space="preserve">OHADJA-POL-02 — Beleid voor informatieclassificatie</w:t>
      </w:r>
    </w:p>
    <w:p>
      <w:pPr>
        <w:pStyle w:val="Compact"/>
        <w:numPr>
          <w:ilvl w:val="0"/>
          <w:numId w:val="1045"/>
        </w:numPr>
      </w:pPr>
      <w:r>
        <w:rPr>
          <w:lang w:val="nl-NL"/>
        </w:rPr>
        <w:t xml:space="preserve">OHADJA-POL-03 — Cryptobeleid</w:t>
      </w:r>
    </w:p>
    <w:p>
      <w:pPr>
        <w:pStyle w:val="Compact"/>
        <w:numPr>
          <w:ilvl w:val="0"/>
          <w:numId w:val="1045"/>
        </w:numPr>
      </w:pPr>
      <w:r>
        <w:rPr>
          <w:lang w:val="nl-NL"/>
        </w:rPr>
        <w:t xml:space="preserve">OHADJA-POL-04 — Toegangscontrolebeleid</w:t>
      </w:r>
    </w:p>
    <w:p>
      <w:pPr>
        <w:pStyle w:val="Compact"/>
        <w:numPr>
          <w:ilvl w:val="0"/>
          <w:numId w:val="1045"/>
        </w:numPr>
      </w:pPr>
      <w:r>
        <w:rPr>
          <w:lang w:val="nl-NL"/>
        </w:rPr>
        <w:t xml:space="preserve">OHADJA-POL-05 — Wachtwoordbeheerbeleid</w:t>
      </w:r>
    </w:p>
    <w:p>
      <w:pPr>
        <w:pStyle w:val="Compact"/>
        <w:numPr>
          <w:ilvl w:val="0"/>
          <w:numId w:val="1045"/>
        </w:numPr>
      </w:pPr>
      <w:r>
        <w:rPr>
          <w:lang w:val="nl-NL"/>
        </w:rPr>
        <w:t xml:space="preserve">OHADJA-POL-06 — Beleid voor wijzigingsbeheer</w:t>
      </w:r>
    </w:p>
    <w:p>
      <w:pPr>
        <w:pStyle w:val="Compact"/>
        <w:numPr>
          <w:ilvl w:val="0"/>
          <w:numId w:val="1045"/>
        </w:numPr>
      </w:pPr>
      <w:r>
        <w:rPr>
          <w:lang w:val="nl-NL"/>
        </w:rPr>
        <w:t xml:space="preserve">OHADJA-POL-07 — Beleid voor veilige softwareontwikkeling (veilige SDLC)</w:t>
      </w:r>
    </w:p>
    <w:p>
      <w:pPr>
        <w:pStyle w:val="Compact"/>
        <w:numPr>
          <w:ilvl w:val="0"/>
          <w:numId w:val="1045"/>
        </w:numPr>
      </w:pPr>
      <w:r>
        <w:rPr>
          <w:lang w:val="nl-NL"/>
        </w:rPr>
        <w:t xml:space="preserve">OHADJA-POL-08 — Fysiek beveiligingsbeleid</w:t>
      </w:r>
    </w:p>
    <w:p>
      <w:pPr>
        <w:pStyle w:val="Compact"/>
        <w:numPr>
          <w:ilvl w:val="0"/>
          <w:numId w:val="1045"/>
        </w:numPr>
      </w:pPr>
      <w:r>
        <w:rPr>
          <w:lang w:val="nl-NL"/>
        </w:rPr>
        <w:t xml:space="preserve">OHADJA-POL-09 — Beleid voor respons op incidenten</w:t>
      </w:r>
    </w:p>
    <w:p>
      <w:pPr>
        <w:pStyle w:val="Compact"/>
        <w:numPr>
          <w:ilvl w:val="0"/>
          <w:numId w:val="1045"/>
        </w:numPr>
      </w:pPr>
      <w:r>
        <w:rPr>
          <w:lang w:val="nl-NL"/>
        </w:rPr>
        <w:t xml:space="preserve">OHADJA-POL-10 — Back-upbeleid</w:t>
      </w:r>
    </w:p>
    <w:p>
      <w:pPr>
        <w:pStyle w:val="Compact"/>
        <w:numPr>
          <w:ilvl w:val="0"/>
          <w:numId w:val="1045"/>
        </w:numPr>
      </w:pPr>
      <w:r>
        <w:rPr>
          <w:lang w:val="nl-NL"/>
        </w:rPr>
        <w:t xml:space="preserve">OHADJA-POL-11 — Bedrijfscontinuïteit- en herstelbeleid (PCA / PRA)</w:t>
      </w:r>
    </w:p>
    <w:p>
      <w:pPr>
        <w:pStyle w:val="Compact"/>
        <w:numPr>
          <w:ilvl w:val="0"/>
          <w:numId w:val="1045"/>
        </w:numPr>
      </w:pPr>
      <w:r>
        <w:rPr>
          <w:lang w:val="nl-NL"/>
        </w:rPr>
        <w:t xml:space="preserve">OHADJA-POL-12 — Netwerkbeveiligingsbeleid</w:t>
      </w:r>
    </w:p>
    <w:p>
      <w:pPr>
        <w:pStyle w:val="Compact"/>
        <w:numPr>
          <w:ilvl w:val="0"/>
          <w:numId w:val="1045"/>
        </w:numPr>
      </w:pPr>
      <w:r>
        <w:rPr>
          <w:lang w:val="nl-NL"/>
        </w:rPr>
        <w:t xml:space="preserve">OHADJA-POL-13 — Gegevensbeschermingsbeleid</w:t>
      </w:r>
    </w:p>
    <w:p>
      <w:pPr>
        <w:pStyle w:val="Compact"/>
        <w:numPr>
          <w:ilvl w:val="0"/>
          <w:numId w:val="1045"/>
        </w:numPr>
      </w:pPr>
      <w:r>
        <w:rPr>
          <w:lang w:val="nl-NL"/>
        </w:rPr>
        <w:t xml:space="preserve">OHADJA-POL-14 — Ethisch beleid</w:t>
      </w:r>
    </w:p>
    <w:p>
      <w:pPr>
        <w:pStyle w:val="Compact"/>
        <w:numPr>
          <w:ilvl w:val="0"/>
          <w:numId w:val="1045"/>
        </w:numPr>
      </w:pPr>
      <w:r>
        <w:rPr>
          <w:lang w:val="nl-NL"/>
        </w:rPr>
        <w:t xml:space="preserve">OHADJA-POL-15 — Beleid voor acceptabel gebruik</w:t>
      </w:r>
    </w:p>
    <w:p>
      <w:pPr>
        <w:pStyle w:val="Compact"/>
        <w:numPr>
          <w:ilvl w:val="0"/>
          <w:numId w:val="1045"/>
        </w:numPr>
      </w:pPr>
      <w:r>
        <w:rPr>
          <w:lang w:val="nl-NL"/>
        </w:rPr>
        <w:t xml:space="preserve">OHADJA-POL-16 — Beleid inzake kwetsbaarheid en patchbeheer</w:t>
      </w:r>
    </w:p>
    <w:p>
      <w:r>
        <w:pict>
          <v:rect style="width:0;height:1.5pt" o:hralign="center" o:hrstd="t" o:hr="t"/>
        </w:pict>
      </w:r>
    </w:p>
    <w:bookmarkEnd w:id="159"/>
    <w:bookmarkStart w:id="160" w:name="Xc8fed863851aa9c00eed84623d24aa00af6affd"/>
    <w:p>
      <w:pPr>
        <w:pStyle w:val="Heading2"/>
        <w:keepNext/>
        <w:keepLines/>
      </w:pPr>
      <w:r>
        <w:rPr>
          <w:color w:val="000000"/>
          <w:lang w:val="nl-NL"/>
        </w:rPr>
        <w:t xml:space="preserve">7. Voorzieningen</w:t>
      </w:r>
    </w:p>
    <w:p>
      <w:pPr>
        <w:pStyle w:val="FirstParagraph"/>
      </w:pPr>
      <w:r>
        <w:rPr>
          <w:lang w:val="nl-NL"/>
        </w:rPr>
        <w:t xml:space="preserve">Voortgangsverklaringen </w:t>
      </w:r>
      <w:r>
        <w:rPr>
          <w:lang w:val="nl-NL"/>
        </w:rPr>
        <w:t xml:space="preserve"/>
      </w:r>
      <w:r>
        <w:rPr>
          <w:b/>
          <w:bCs/>
          <w:lang w:val="nl-NL"/>
        </w:rPr>
        <w:t xml:space="preserve">over het </w:t>
      </w:r>
      <w:r>
        <w:rPr>
          <w:lang w:val="nl-NL"/>
        </w:rPr>
        <w:t xml:space="preserve"/>
      </w:r>
      <w:r>
        <w:rPr>
          <w:lang w:val="nl-NL"/>
        </w:rPr>
        <w:t xml:space="preserve">nalevings- en certificeringstraject zijn op aanvraag </w:t>
      </w:r>
      <w:r>
        <w:rPr>
          <w:lang w:val="nl-NL"/>
        </w:rPr>
        <w:t xml:space="preserve"/>
      </w:r>
      <w:r>
        <w:rPr>
          <w:b/>
          <w:bCs/>
          <w:lang w:val="nl-NL"/>
        </w:rPr>
        <w:t xml:space="preserve">beschikbaar. OHADJA verbindt </w:t>
      </w:r>
      <w:r>
        <w:rPr>
          <w:lang w:val="nl-NL"/>
        </w:rPr>
        <w:t xml:space="preserve">zich ertoe de feitelijke stand van de werkzaamheden te beschrijven, zonder vooruit te lopen op een nog niet toegekende certificering.</w:t>
      </w:r>
    </w:p>
    <w:p>
      <w:r>
        <w:pict>
          <v:rect style="width:0;height:1.5pt" o:hralign="center" o:hrstd="t" o:hr="t"/>
        </w:pict>
      </w:r>
    </w:p>
    <w:p>
      <w:pPr>
        <w:pStyle w:val="FirstParagraph"/>
      </w:pPr>
      <w:r>
        <w:rPr>
          <w:i/>
          <w:iCs/>
          <w:lang w:val="nl-NL"/>
        </w:rPr>
        <w:t xml:space="preserve">Werkdocument opgesteld door OHADJA — moet vóór ondertekening worden gevalideerd door uw juridisch adviseur/DPO.</w:t>
      </w:r>
    </w:p>
    <w:bookmarkEnd w:id="160"/>
    <w:bookmarkEnd w:id="161"/>
    <w:p>
      <w:pPr>
        <w:pStyle w:val="Heading1"/>
        <w:pageBreakBefore/>
        <w:keepNext/>
        <w:keepLines/>
      </w:pPr>
      <w:r>
        <w:rPr>
          <w:lang w:val="nl-NL"/>
          <w:color w:val="000000"/>
        </w:rPr>
        <w:t xml:space="preserve">Bijlage over nationale implementatieregels</w:t>
      </w:r>
    </w:p>
    <w:p>
      <w:pPr>
        <w:pStyle w:val="Heading2"/>
        <w:keepNext/>
        <w:keepLines/>
      </w:pPr>
      <w:r>
        <w:rPr>
          <w:lang w:val="nl-NL"/>
          <w:color w:val="000000"/>
        </w:rPr>
        <w:t xml:space="preserve">Reikwijdte van deze bijlage</w:t>
      </w:r>
    </w:p>
    <w:p>
      <w:pPr>
        <w:pStyle w:val="BodyText"/>
      </w:pPr>
      <w:r>
        <w:rPr>
          <w:lang w:val="nl-NL"/>
        </w:rPr>
        <w:t xml:space="preserve">Deze editie behandelt het AVG-kader van de Europese Unie en de onderstaande implementatiepunten voor Frankrijk, Ierland, Nederland, Spanje en Portugal. De toelichtingen moeten worden gelezen in het licht van het feitelijke land en gebruik van de Klant, ongeacht de taal van het document. Zij vullen de projectdocumenten aan zonder automatisch de identiteit van partijen, het gekozen Franse recht of de aangewezen rechtbanken te wijzigen. Toepasselijke dwingende regels blijven voorbehouden. Franse nationale verwijzingen in de hoofdtekst blijven als zodanig herkenbaar; zij vormen geen buitenlandse equivalenten.</w:t>
      </w:r>
    </w:p>
    <w:p>
      <w:pPr>
        <w:pStyle w:val="Heading2"/>
        <w:keepNext/>
        <w:keepLines/>
      </w:pPr>
      <w:r>
        <w:rPr>
          <w:lang w:val="nl-NL"/>
          <w:color w:val="000000"/>
        </w:rPr>
        <w:t xml:space="preserve">Europees kader te documenteren vóór ingebruikname</w:t>
      </w:r>
    </w:p>
    <w:p>
      <w:pPr>
        <w:pStyle w:val="BodyText"/>
      </w:pPr>
      <w:r>
        <w:rPr>
          <w:lang w:val="nl-NL"/>
        </w:rPr>
        <w:t xml:space="preserve">De Klant moet het doel, de noodzaak, de evenredigheid en de rechtsgrond van elke opname en verwerking bepalen; personen vóór de verzameling informeren; ontvangers, bewaartermijnen en mogelijkheden voor het uitoefenen van rechten vastleggen; en voor aan een verwerker toevertrouwde handelingen een overeenkomst sluiten die aan artikel 28 voldoet. Alleen informeren, raadplegen of menselijke validatie maakt een verwerking niet rechtmatig. Toestemming van werknemers moet voorzichtig worden beoordeeld gezien de ongelijke verhouding tot de werkgever.</w:t>
      </w:r>
    </w:p>
    <w:p>
      <w:pPr>
        <w:pStyle w:val="BodyText"/>
      </w:pPr>
      <w:r>
        <w:rPr>
          <w:lang w:val="nl-NL"/>
        </w:rPr>
        <w:t xml:space="preserve">Bij verwerking van bijzondere categorieën gegevens moet naast de grondslag van artikel 6 een toepasselijke voorwaarde van artikel 9 worden vastgesteld. Stemvergelijking voor unieke identificatie moet op biometrische aspecten worden beoordeeld, ook zonder blijvend sjabloon. Vóór verwerkingen die waarschijnlijk een hoog risico opleveren, moet een effectbeoordeling worden uitgevoerd; de regels voor voorafgaande raadpleging van de autoriteit blijven gelden wanneer aan de voorwaarden van artikel 36 is voldaan. Lokale hosting of een addendum ontslaat niet van deze beoordeling.</w:t>
      </w:r>
    </w:p>
    <w:p>
      <w:pPr>
        <w:pStyle w:val="BodyText"/>
      </w:pPr>
      <w:r>
        <w:rPr>
          <w:lang w:val="nl-NL"/>
        </w:rPr>
        <w:t xml:space="preserve">De bevoegde autoriteit wordt bepaald door de AVG-regels, met name bij grensoverschrijdende verwerking; zij hangt niet af van de gekozen taal. De verwerker waarschuwt de Klant zonder onredelijke vertraging. De verwerkingsverantwoordelijke meldt de inbreuk aan de bevoegde autoriteit onder de voorwaarden van artikel 33, waar mogelijk binnen 72 uur na kennisneming, tenzij deze waarschijnlijk geen risico voor rechten en vrijheden oplevert. Voor mededeling aan personen gelden de voorwaarden van artikel 34.</w:t>
      </w:r>
    </w:p>
    <w:p>
      <w:pPr>
        <w:pStyle w:val="BodyText"/>
      </w:pPr>
      <w:r>
        <w:rPr>
          <w:lang w:val="nl-NL"/>
        </w:rPr>
        <w:t xml:space="preserve">Europese bronnen https://eur-lex.europa.eu/eli/reg/2016/679/oj en https://www.edpb.europa.eu/documents/guideline/guidelines-052020-on-consent-under-regulation-2016679_en</w:t>
      </w:r>
    </w:p>
    <w:p>
      <w:pPr>
        <w:pStyle w:val="Heading2"/>
        <w:keepNext/>
        <w:keepLines/>
      </w:pPr>
      <w:r>
        <w:rPr>
          <w:lang w:val="nl-NL"/>
          <w:color w:val="000000"/>
        </w:rPr>
        <w:t xml:space="preserve">Frankrijk</w:t>
      </w:r>
    </w:p>
    <w:p>
      <w:pPr>
        <w:pStyle w:val="BodyText"/>
      </w:pPr>
      <w:r>
        <w:rPr>
          <w:lang w:val="nl-NL"/>
        </w:rPr>
        <w:t xml:space="preserve">Bepaal voor implementatie in Frankrijk de verplichtingen voor informatie aan werknemers en voorafgaande raadpleging van de CSE op basis van het systeem, de personeelsomvang en het toepasselijke wettelijke bereik. De Franse Code du travail betreft onder meer technieken die controle van activiteiten mogelijk maken, ook als het product als schrijfondersteuning wordt gepresenteerd. Informatie en raadpleging vervangen niet de beoordeling van rechtmatigheid, noodzaak en evenredigheid, noch de regels voor privégesprekken, gevoelige gegevens en vertrouwelijkheid. De CNIL is de nationale toezichthouder, onder voorbehoud van de bevoegdheidsregels van de AVG.</w:t>
      </w:r>
    </w:p>
    <w:p>
      <w:pPr>
        <w:pStyle w:val="BodyText"/>
      </w:pPr>
      <w:r>
        <w:rPr>
          <w:lang w:val="nl-NL"/>
        </w:rPr>
        <w:t xml:space="preserve">Franse bronnen Code du travail, artikelen L1222-4 en L2312-38 https://www.legifrance.gouv.fr/codes/article_lc/LEGIARTI000006900861 en https://www.legifrance.gouv.fr/codes/section_lc/LEGITEXT000006072050/LEGISCTA000035610273/</w:t>
      </w:r>
    </w:p>
    <w:p>
      <w:pPr>
        <w:pStyle w:val="Heading2"/>
        <w:keepNext/>
        <w:keepLines/>
      </w:pPr>
      <w:r>
        <w:rPr>
          <w:lang w:val="nl-NL"/>
          <w:color w:val="000000"/>
        </w:rPr>
        <w:t xml:space="preserve">Ierland</w:t>
      </w:r>
    </w:p>
    <w:p>
      <w:pPr>
        <w:pStyle w:val="BodyText"/>
      </w:pPr>
      <w:r>
        <w:rPr>
          <w:lang w:val="nl-NL"/>
        </w:rPr>
        <w:t xml:space="preserve">Pas voor implementatie in Ierland de AVG en het nationale kader toe; documenteer de rechtsgrond en informeer deelnemers vóór de opname. Onderzoek de informatie- en raadplegingsverplichtingen jegens werknemers op basis van het toepassingsgebied, de personeelsomvang, collectieve overeenkomsten en bestaande regelingen. Het Ierse stelsel is niet hetzelfde als de Franse CSE en legt niet iedere werkgever een identieke raadpleging op. De Data Protection Commission is de nationale toezichthouder, onder voorbehoud van de grensoverschrijdende bevoegdheidsregels.</w:t>
      </w:r>
    </w:p>
    <w:p>
      <w:pPr>
        <w:pStyle w:val="BodyText"/>
      </w:pPr>
      <w:r>
        <w:rPr>
          <w:lang w:val="nl-NL"/>
        </w:rPr>
        <w:t xml:space="preserve">Ierse bronnen https://www.dataprotection.ie/en/dpc-guidance/video-recording en Employees (Provision of Information and Consultation) Act 2006 https://www.irishstatutebook.ie/eli/2006/act/9/enacted/en/print</w:t>
      </w:r>
    </w:p>
    <w:p>
      <w:pPr>
        <w:pStyle w:val="Heading2"/>
        <w:keepNext/>
        <w:keepLines/>
      </w:pPr>
      <w:r>
        <w:rPr>
          <w:lang w:val="nl-NL"/>
          <w:color w:val="000000"/>
        </w:rPr>
        <w:t xml:space="preserve">Nederland</w:t>
      </w:r>
    </w:p>
    <w:p>
      <w:pPr>
        <w:pStyle w:val="BodyText"/>
      </w:pPr>
      <w:r>
        <w:rPr>
          <w:lang w:val="nl-NL"/>
        </w:rPr>
        <w:t xml:space="preserve">Onderzoek voor implementatie in Nederland de bevoegdheden van de ondernemingsraad of OR. Een systeem waarmee aanwezigheid, gedrag of prestaties kunnen worden gevolgd, kan onder zijn voorafgaande instemmingsrecht op grond van de Wet op de ondernemingsraden vallen, ook als het nog niet voor dat doel wordt gebruikt. Instemming van de OR vervangt noch de rechtsgrond voor de verwerking, noch de voorwaarden voor biometrie en gevoelige gegevens. De Autoriteit Persoonsgegevens is de nationale toezichthouder, onder voorbehoud van de bevoegdheidsregels van de AVG.</w:t>
      </w:r>
    </w:p>
    <w:p>
      <w:pPr>
        <w:pStyle w:val="BodyText"/>
      </w:pPr>
      <w:r>
        <w:rPr>
          <w:lang w:val="nl-NL"/>
        </w:rPr>
        <w:t xml:space="preserve">Nederlandse bron Autoriteit Persoonsgegevens https://autoriteitpersoonsgegevens.nl/en/themes/employment-and-benefits/works-council/the-works-council-and-staff-tracking-systems</w:t>
      </w:r>
    </w:p>
    <w:p>
      <w:pPr>
        <w:pStyle w:val="Heading2"/>
        <w:keepNext/>
        <w:keepLines/>
      </w:pPr>
      <w:r>
        <w:rPr>
          <w:lang w:val="nl-NL"/>
          <w:color w:val="000000"/>
        </w:rPr>
        <w:t xml:space="preserve">Spanje</w:t>
      </w:r>
    </w:p>
    <w:p>
      <w:pPr>
        <w:pStyle w:val="BodyText"/>
      </w:pPr>
      <w:r>
        <w:rPr>
          <w:lang w:val="nl-NL"/>
        </w:rPr>
        <w:t xml:space="preserve">Maak voor implementatie in Spanje onderscheid tussen transcriptie van vergaderingen en het gebruik van systemen voor geluidsbewaking. Binnen de reikwijdte van artikel 89 van Ley Orgánica 3/2018 is geluidsopname op de werkplek strikt beperkt tot bepaalde veiligheidsrisico’s, met evenredigheid, minimale inbreuk en waarborgen; rustruimten zijn beschermd. Onderzoek de informatie- en raadplegingsrechten van vertegenwoordigers en toepasselijke overeenkomsten. Deze bepalingen mogen niet zonder beoordeling op elke incidentele vergadering worden toegepast; instemming van deelnemers vormt geen algemene toestemming. Bepaal afhankelijk van de verwerking of de AEPD of een regionale autoriteit bevoegd is.</w:t>
      </w:r>
    </w:p>
    <w:p>
      <w:pPr>
        <w:pStyle w:val="BodyText"/>
      </w:pPr>
      <w:r>
        <w:rPr>
          <w:lang w:val="nl-NL"/>
        </w:rPr>
        <w:t xml:space="preserve">Spaanse bronnen Ley Orgánica 3/2018, artikel 89 https://www.boe.es/buscar/act.php?id=BOE-A-2018-16673#a89 en Estatuto de los Trabajadores, artikel 64 https://www.boe.es/buscar/act.php?id=BOE-A-2015-11430#a64</w:t>
      </w:r>
    </w:p>
    <w:p>
      <w:pPr>
        <w:pStyle w:val="Heading2"/>
        <w:keepNext/>
        <w:keepLines/>
      </w:pPr>
      <w:r>
        <w:rPr>
          <w:lang w:val="nl-NL"/>
          <w:color w:val="000000"/>
        </w:rPr>
        <w:t xml:space="preserve">Portugal</w:t>
      </w:r>
    </w:p>
    <w:p>
      <w:pPr>
        <w:pStyle w:val="BodyText"/>
      </w:pPr>
      <w:r>
        <w:rPr>
          <w:lang w:val="nl-NL"/>
        </w:rPr>
        <w:t xml:space="preserve">Onderzoek voor implementatie in Portugal de Código do Trabalho, Lei 58/2019 en de regels voor het concrete systeem. Toezicht op afstand met als doel controle van de beroepsprestaties is verboden. Geluidsregistratie binnen een videobewakingssysteem is aan specifieke beperkingen onderworpen; dit betekent niet dat elke opname van een vergadering verboden is, noch dat deze altijd is toegestaan. Bepaal vóór ingebruikname de verplichtingen jegens werknemers en hun vertegenwoordigers. De Comissão Nacional de Proteção de Dados is de nationale toezichthouder, onder voorbehoud van de bevoegdheidsregels van de AVG.</w:t>
      </w:r>
    </w:p>
    <w:p>
      <w:pPr>
        <w:pStyle w:val="BodyText"/>
      </w:pPr>
      <w:r>
        <w:rPr>
          <w:lang w:val="nl-NL"/>
        </w:rPr>
        <w:t xml:space="preserve">Portugese bronnen Código do Trabalho, artikelen 20 en 21 https://diariodarepublica.pt/dr/legislacao-consolidada/lei/2009-34546475-211441911 en CNPD https://www.cnpd.pt/organizacoes/areas-tematicas/videovigilancia/</w:t>
      </w:r>
    </w:p>
    <w:p>
      <w:pPr>
        <w:pStyle w:val="Heading2"/>
        <w:keepNext/>
        <w:keepLines/>
      </w:pPr>
      <w:r>
        <w:rPr>
          <w:lang w:val="nl-NL"/>
          <w:color w:val="000000"/>
        </w:rPr>
        <w:t xml:space="preserve">Franse kaders en projecttoezeggingen</w:t>
      </w:r>
    </w:p>
    <w:p>
      <w:pPr>
        <w:pStyle w:val="BodyText"/>
      </w:pPr>
      <w:r>
        <w:rPr>
          <w:lang w:val="nl-NL"/>
        </w:rPr>
        <w:t xml:space="preserve">De termen CSE, CGCT, HDS, SecNumCloud, ANSSI en RGAA verwijzen naar Franse instanties, regels of kaders. Zij bewijzen noch certificering van TranscribIA, noch automatische naleving van een buitenlands kader. Bedragen en betalingsregelingen in de verkoopvoorwaarden, waaronder de verwijzing naar de Franse Code de commerce, moeten worden afgestemd op het gekozen recht, de hoedanigheid van de Klant en toepasselijke dwingende regels; zij mogen niet worden gepresenteerd als omzettingen van elk nationaal recht. Regelingen voor overheidsopdrachten, consumenten en gereguleerde sectoren moeten waar relevant afzonderlijk worden uitgewerkt.</w:t>
      </w:r>
    </w:p>
    <w:p>
      <w:pPr>
        <w:pStyle w:val="BodyText"/>
      </w:pPr>
      <w:r>
        <w:rPr>
          <w:lang w:val="nl-NL"/>
        </w:rPr>
        <w:t xml:space="preserve">Vul vóór ondertekening de projectbijlagen in en controleer deze wat betreft partijen, SaaS- of on-premiseconfiguratie, verwerkings- en toegangslocaties, subverwerkers, doorgiften, feitelijke beveiligingsmaatregelen, bewaring en serviceniveaus. Deze bijlage stelt niet vast dat een technische maatregel al is ingevoerd en vervangt geen overeengekomen specifieke toezeggingen. Britse en Belgische stelsels en andere landen vallen niet onder deze nationale toelichtingen; zij vereisen een afzonderlijke aanpassing.</w:t>
      </w:r>
    </w:p>
    <w:p>
      <w:pPr>
        <w:pStyle w:val="BodyText"/>
      </w:pPr>
      <w:r>
        <w:rPr>
          <w:lang w:val="nl-NL"/>
        </w:rPr>
        <w:t xml:space="preserve">Schermafbeeldingen en voorbeelden uit de applicatie kunnen in het Frans blijven. Toelichtingen en documentbijschriften worden vertaald; opdrachten, bestandsnamen, technische identificatoren en documentverwijzingen moeten exact behouden blijven.</w:t>
      </w:r>
    </w:p>
    <w:p>
      <w:pPr>
        <w:pStyle w:val="Heading1"/>
        <w:keepNext/>
        <w:keepLines/>
      </w:pPr>
      <w:r>
        <w:rPr>
          <w:lang w:val="nl-NL"/>
          <w:color w:val="000000"/>
        </w:rPr>
        <w:t>Geschiedenis van deze editie</w:t>
      </w:r>
    </w:p>
    <w:p>
      <w:pPr>
        <w:pStyle w:val="BodyText"/>
      </w:pPr>
      <w:r>
        <w:rPr>
          <w:lang w:val="nl-NL"/>
        </w:rPr>
        <w:t>1.1 — 2026-10-17</w:t>
      </w:r>
    </w:p>
    <w:p>
      <w:pPr>
        <w:pStyle w:val="BodyText"/>
      </w:pPr>
      <w:r>
        <w:rPr>
          <w:lang w:val="nl-NL"/>
        </w:rPr>
        <w:t>Meertalige editie en documentcorrecties. Eerdere versies en hun datums blijven behouden. De Franse tekst is doorslaggevend; vertalingen vergemakkelijken het lezen en wijzigen de partijen of het toepasselijke recht niet.</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nl-NL"/>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6" Target="media/rId56.png" /><Relationship Type="http://schemas.openxmlformats.org/officeDocument/2006/relationships/image" Id="rId73" Target="media/rId73.png" /><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