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4" w:name="X1b1b5836544e95e7ba683b8f0eb4f65bf553171"/>
    <w:p>
      <w:pPr>
        <w:pStyle w:val="Title"/>
        <w:keepNext/>
        <w:keepLines/>
      </w:pPr>
      <w:r>
        <w:rPr>
          <w:color w:val="000000"/>
          <w:lang w:val="pt-PT"/>
        </w:rPr>
        <w:t xml:space="preserve">Declaração de confidencialidade e de não reutilização de dados — TranscribIA</w:t>
      </w:r>
    </w:p>
    <w:p>
      <w:pPr>
        <w:pStyle w:val="BodyText"/>
      </w:pPr>
      <w:r>
        <w:rPr>
          <w:lang w:val="pt-PT"/>
        </w:rPr>
        <w:t xml:space="preserve">Edição localizada v1.1 — 2026-10-17</w:t>
      </w:r>
    </w:p>
    <w:p>
      <w:pPr>
        <w:pStyle w:val="BodyText"/>
      </w:pPr>
      <w:r>
        <w:rPr>
          <w:lang w:val="pt-PT"/>
        </w:rPr>
        <w:t xml:space="preserve">O texto francês prevalece. Esta edição abrange França, Irlanda, Países Baixos, Espanha e Portugal. O idioma não determina o país de implementação, as partes ou a lei aplicável. Leia o anexo nacional no final do documento segundo o país e a utilização reais.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Referência</w:t>
            </w:r>
          </w:p>
        </w:tc>
        <w:tc>
          <w:tcPr/>
          <w:p>
            <w:pPr>
              <w:pStyle w:val="Compact"/>
            </w:pPr>
            <w:r>
              <w:rPr>
                <w:lang w:val="pt-PT"/>
              </w:rPr>
              <w:t xml:space="preserve">TRB-CONF-01.05</w:t>
            </w:r>
          </w:p>
        </w:tc>
      </w:tr>
      <w:tr>
        <w:trPr>
          <w:cantSplit/>
        </w:trPr>
        <w:tc>
          <w:tcPr/>
          <w:p>
            <w:pPr>
              <w:pStyle w:val="Compact"/>
            </w:pPr>
            <w:r>
              <w:rPr>
                <w:lang w:val="pt-PT"/>
              </w:rPr>
              <w:t xml:space="preserve">Versão</w:t>
            </w:r>
          </w:p>
        </w:tc>
        <w:tc>
          <w:tcPr/>
          <w:p>
            <w:pPr>
              <w:pStyle w:val="Compact"/>
            </w:pPr>
            <w:r>
              <w:rPr>
                <w:lang w:val="pt-PT"/>
              </w:rPr>
              <w:t xml:space="preserve">1.0</w:t>
            </w:r>
          </w:p>
        </w:tc>
      </w:tr>
      <w:tr>
        <w:trPr>
          <w:cantSplit/>
        </w:trPr>
        <w:tc>
          <w:tcPr/>
          <w:p>
            <w:pPr>
              <w:pStyle w:val="Compact"/>
            </w:pPr>
            <w:r>
              <w:rPr>
                <w:lang w:val="pt-PT"/>
              </w:rPr>
              <w:t xml:space="preserve">Data</w:t>
            </w:r>
          </w:p>
        </w:tc>
        <w:tc>
          <w:tcPr/>
          <w:p>
            <w:pPr>
              <w:pStyle w:val="Compact"/>
            </w:pPr>
            <w:r>
              <w:rPr>
                <w:lang w:val="pt-PT"/>
              </w:rPr>
              <w:t xml:space="preserve">2026-07-24</w:t>
            </w:r>
          </w:p>
        </w:tc>
      </w:tr>
      <w:tr>
        <w:trPr>
          <w:cantSplit/>
        </w:trPr>
        <w:tc>
          <w:tcPr/>
          <w:p>
            <w:pPr>
              <w:pStyle w:val="Compact"/>
            </w:pPr>
            <w:r>
              <w:rPr>
                <w:lang w:val="pt-PT"/>
              </w:rPr>
              <w:t xml:space="preserve">Editor</w:t>
            </w:r>
          </w:p>
        </w:tc>
        <w:tc>
          <w:tcPr/>
          <w:p>
            <w:pPr>
              <w:pStyle w:val="Compact"/>
            </w:pPr>
            <w:r>
              <w:rPr>
                <w:lang w:val="pt-PT"/>
              </w:rPr>
              <w:t xml:space="preserve">OHADJA</w:t>
            </w:r>
          </w:p>
        </w:tc>
      </w:tr>
      <w:tr>
        <w:trPr>
          <w:cantSplit/>
        </w:trPr>
        <w:tc>
          <w:tcPr/>
          <w:p>
            <w:pPr>
              <w:pStyle w:val="Compact"/>
            </w:pPr>
            <w:r>
              <w:rPr>
                <w:lang w:val="pt-PT"/>
              </w:rPr>
              <w:t xml:space="preserve">Classificação</w:t>
            </w:r>
          </w:p>
        </w:tc>
        <w:tc>
          <w:tcPr/>
          <w:p>
            <w:pPr>
              <w:pStyle w:val="Compact"/>
            </w:pPr>
            <w:r>
              <w:rPr>
                <w:lang w:val="pt-PT"/>
              </w:rPr>
              <w:t xml:space="preserve">Público — documento padrão, especificado durante cada contratação</w:t>
            </w:r>
          </w:p>
        </w:tc>
      </w:tr>
    </w:tbl>
    <w:bookmarkStart w:id="9" w:name="X911dca219555f1a78d100c92819cb03dc37c622"/>
    <w:p>
      <w:pPr>
        <w:pStyle w:val="Heading2"/>
        <w:keepNext/>
        <w:keepLines/>
      </w:pPr>
      <w:r>
        <w:rPr>
          <w:color w:val="000000"/>
          <w:lang w:val="pt-PT"/>
        </w:rPr>
        <w:t xml:space="preserve">1. Objeto e âmbito da declaração</w:t>
      </w:r>
    </w:p>
    <w:p>
      <w:pPr>
        <w:pStyle w:val="FirstParagraph"/>
      </w:pPr>
      <w:r>
        <w:rPr>
          <w:lang w:val="pt-PT"/>
        </w:rPr>
        <w:t xml:space="preserve">A presente declaração é emitida pela OHADJA, editora e fornecedora da solução TranscribIA, a pedido do seu cliente, para confirmar por escrito as garantias de confidencialidade e de não reutilização de dados aplicáveis a uma implementação em Opção </w:t>
      </w:r>
      <w:r>
        <w:rPr>
          <w:lang w:val="pt-PT"/>
        </w:rPr>
        <w:t xml:space="preserve">B </w:t>
      </w:r>
      <w:r>
        <w:rPr>
          <w:b/>
          <w:bCs/>
          <w:lang w:val="pt-PT"/>
        </w:rPr>
        <w:t xml:space="preserve">— instalação local </w:t>
      </w:r>
      <w:r>
        <w:rPr>
          <w:lang w:val="pt-PT"/>
        </w:rPr>
        <w:t xml:space="preserve">isolada.</w:t>
      </w:r>
    </w:p>
    <w:p>
      <w:pPr>
        <w:pStyle w:val="BodyText"/>
      </w:pPr>
      <w:r>
        <w:rPr>
          <w:b/>
          <w:bCs/>
          <w:lang w:val="pt-PT"/>
        </w:rPr>
        <w:t xml:space="preserve">Âmbito abrangido. </w:t>
      </w:r>
      <w:r>
        <w:rPr>
          <w:lang w:val="pt-PT"/>
        </w:rPr>
        <w:t xml:space="preserve"/>
      </w:r>
      <w:r>
        <w:rPr>
          <w:lang w:val="pt-PT"/>
        </w:rPr>
        <w:t xml:space="preserve">A declaração da secção 2 aplica-se exclusivamente a uma implementação da TranscribIA </w:t>
      </w:r>
      <w:r>
        <w:rPr>
          <w:lang w:val="pt-PT"/>
        </w:rPr>
        <w:t xml:space="preserve"/>
      </w:r>
      <w:r>
        <w:rPr>
          <w:b/>
          <w:bCs/>
          <w:lang w:val="pt-PT"/>
        </w:rPr>
        <w:t xml:space="preserve">na Opção B local isolada, </w:t>
      </w:r>
      <w:r>
        <w:rPr>
          <w:lang w:val="pt-PT"/>
        </w:rPr>
        <w:t xml:space="preserve">ou seja, uma instalação em que a totalidade dos componentes da solução (aplicação, base de dados, worker de transcrição GPU e modelo de inteligência artificial autoalojado) é executada na infraestrutura do cliente, sem fluxos de saída necessários ao funcionamento normal.</w:t>
      </w:r>
    </w:p>
    <w:p>
      <w:pPr>
        <w:pStyle w:val="BodyText"/>
      </w:pPr>
      <w:r>
        <w:rPr>
          <w:b/>
          <w:bCs/>
          <w:lang w:val="pt-PT"/>
        </w:rPr>
        <w:t xml:space="preserve">Exclusões e reservas. </w:t>
      </w:r>
      <w:r>
        <w:rPr>
          <w:lang w:val="pt-PT"/>
        </w:rPr>
        <w:t xml:space="preserve"/>
      </w:r>
      <w:r>
        <w:rPr>
          <w:lang w:val="pt-PT"/>
        </w:rPr>
        <w:t xml:space="preserve">A declaração não abrange:</w:t>
      </w:r>
    </w:p>
    <w:p>
      <w:pPr>
        <w:pStyle w:val="Compact"/>
        <w:numPr>
          <w:ilvl w:val="0"/>
          <w:numId w:val="1001"/>
        </w:numPr>
      </w:pPr>
      <w:r>
        <w:rPr>
          <w:lang w:val="pt-PT"/>
        </w:rPr>
        <w:t xml:space="preserve">operações realizadas pelo próprio cliente em sua infraestrutura (alojamento, administração de sistemas, segurança de rede, backups, supervisão), que são de sua responsabilidade;</w:t>
      </w:r>
    </w:p>
    <w:p>
      <w:pPr>
        <w:pStyle w:val="Compact"/>
        <w:numPr>
          <w:ilvl w:val="0"/>
          <w:numId w:val="1001"/>
        </w:numPr>
      </w:pPr>
      <w:r>
        <w:rPr>
          <w:lang w:val="pt-PT"/>
        </w:rPr>
        <w:t xml:space="preserve">qualquer ativação, pelo cliente, de uma função que envolva um fluxo de saída (por exemplo, uso de um modelo de IA remoto ou de um recurso de GPU externo), que levaria a implementação para fora do perímetro “isolado”;</w:t>
      </w:r>
    </w:p>
    <w:p>
      <w:pPr>
        <w:pStyle w:val="Compact"/>
        <w:numPr>
          <w:ilvl w:val="0"/>
          <w:numId w:val="1001"/>
        </w:numPr>
      </w:pPr>
      <w:r>
        <w:rPr>
          <w:lang w:val="pt-PT"/>
        </w:rPr>
        <w:t xml:space="preserve">suporte remoto, que só ocorre com </w:t>
      </w:r>
      <w:r>
        <w:rPr>
          <w:lang w:val="pt-PT"/>
        </w:rPr>
        <w:t xml:space="preserve"/>
      </w:r>
      <w:r>
        <w:rPr>
          <w:b/>
          <w:bCs/>
          <w:lang w:val="pt-PT"/>
        </w:rPr>
        <w:t xml:space="preserve">autorização prévia expressa do cliente, no âmbito de uma sessão supervisionada pelo </w:t>
      </w:r>
      <w:r>
        <w:rPr>
          <w:lang w:val="pt-PT"/>
        </w:rPr>
        <w:t xml:space="preserve"/>
      </w:r>
      <w:r>
        <w:rPr>
          <w:lang w:val="pt-PT"/>
        </w:rPr>
        <w:t xml:space="preserve">cliente, </w:t>
      </w:r>
      <w:r>
        <w:rPr>
          <w:lang w:val="pt-PT"/>
        </w:rPr>
        <w:t xml:space="preserve"/>
      </w:r>
      <w:r>
        <w:rPr>
          <w:b/>
          <w:bCs/>
          <w:lang w:val="pt-PT"/>
        </w:rPr>
        <w:t xml:space="preserve">realizada exclusivamente a partir de França ou da União </w:t>
      </w:r>
      <w:r>
        <w:rPr>
          <w:lang w:val="pt-PT"/>
        </w:rPr>
        <w:t xml:space="preserve">Europeia, sem cópia local dos dados de produção, e cada intervenção da qual é registada.</w:t>
      </w:r>
    </w:p>
    <w:p>
      <w:pPr>
        <w:pStyle w:val="FirstParagraph"/>
      </w:pPr>
      <w:r>
        <w:rPr>
          <w:lang w:val="pt-PT"/>
        </w:rPr>
        <w:t xml:space="preserve">Qualquer intervenção fora deste âmbito é objeto de um acordo específico e não é abrangida pela presente declaração.</w:t>
      </w:r>
    </w:p>
    <w:bookmarkEnd w:id="9"/>
    <w:bookmarkStart w:id="10" w:name="Xedb769931442d0b50170f248284f489fa6faaa2"/>
    <w:p>
      <w:pPr>
        <w:pStyle w:val="Heading2"/>
        <w:keepNext/>
        <w:keepLines/>
      </w:pPr>
      <w:r>
        <w:rPr>
          <w:color w:val="000000"/>
          <w:lang w:val="pt-PT"/>
        </w:rPr>
        <w:t xml:space="preserve">2. Declaração — Opção B de instalação local isolada</w:t>
      </w:r>
    </w:p>
    <w:p>
      <w:pPr>
        <w:pStyle w:val="FirstParagraph"/>
      </w:pPr>
      <w:r>
        <w:rPr>
          <w:lang w:val="pt-PT"/>
        </w:rPr>
        <w:t xml:space="preserve">Eu, abaixo assinado, Olivier Dupont, na qualidade de Presidente e representante da OHADJA, declaro, para uma implementação da solução TranscribIA em Opção B de instalação local isolada, conforme definida na secção 1:</w:t>
      </w:r>
    </w:p>
    <w:p>
      <w:pPr>
        <w:numPr>
          <w:ilvl w:val="0"/>
          <w:numId w:val="1002"/>
        </w:numPr>
      </w:pPr>
      <w:r>
        <w:rPr>
          <w:b/>
          <w:bCs/>
          <w:lang w:val="pt-PT"/>
        </w:rPr>
        <w:t xml:space="preserve">Nenhum dado enviado para a nuvem. </w:t>
      </w:r>
      <w:r>
        <w:rPr>
          <w:lang w:val="pt-PT"/>
        </w:rPr>
        <w:t xml:space="preserve"/>
      </w:r>
      <w:r>
        <w:rPr>
          <w:lang w:val="pt-PT"/>
        </w:rPr>
        <w:t xml:space="preserve">Nenhum dado do cliente (ficheiros de áudio, transcrições, documentos, metadados, contas de utilizadores, gerações) é transmitido a um serviço de nuvem externo ou a terceiros para a operação nominal da solução. Todo o processamento, incluindo transcrição, diarização e exploração por inteligência artificial, é executado em componentes hospedados na infraestrutura do cliente.</w:t>
      </w:r>
    </w:p>
    <w:p>
      <w:pPr>
        <w:numPr>
          <w:ilvl w:val="0"/>
          <w:numId w:val="1002"/>
        </w:numPr>
      </w:pPr>
      <w:r>
        <w:rPr>
          <w:b/>
          <w:bCs/>
          <w:lang w:val="pt-PT"/>
        </w:rPr>
        <w:t xml:space="preserve">Nenhum dado do cliente usado para treinar modelos. </w:t>
      </w:r>
      <w:r>
        <w:rPr>
          <w:lang w:val="pt-PT"/>
        </w:rPr>
        <w:t xml:space="preserve"/>
      </w:r>
      <w:r>
        <w:rPr>
          <w:lang w:val="pt-PT"/>
        </w:rPr>
        <w:t xml:space="preserve">Nenhum dado do cliente é usado pelo OHADJA para treinar, treinar novamente, refinar ou avaliar qualquer modelo, seja transcrição, diarização, inteligência artificial ou modelos de correlação de fala.</w:t>
      </w:r>
    </w:p>
    <w:p>
      <w:pPr>
        <w:numPr>
          <w:ilvl w:val="0"/>
          <w:numId w:val="1002"/>
        </w:numPr>
      </w:pPr>
      <w:r>
        <w:rPr>
          <w:b/>
          <w:bCs/>
          <w:lang w:val="pt-PT"/>
        </w:rPr>
        <w:t xml:space="preserve">Sem reutilização de dados pelo prestador. A </w:t>
      </w:r>
      <w:r>
        <w:rPr>
          <w:lang w:val="pt-PT"/>
        </w:rPr>
        <w:t xml:space="preserve">OHADJA </w:t>
      </w:r>
      <w:r>
        <w:rPr>
          <w:lang w:val="pt-PT"/>
        </w:rPr>
        <w:t xml:space="preserve">não reutiliza os dados do cliente para fins próprios. Os dados são tratados exclusivamente por conta do cliente, no âmbito do fornecimento da solução e das instruções documentadas do cliente.</w:t>
      </w:r>
    </w:p>
    <w:p>
      <w:pPr>
        <w:numPr>
          <w:ilvl w:val="0"/>
          <w:numId w:val="1002"/>
        </w:numPr>
      </w:pPr>
      <w:r>
        <w:rPr>
          <w:b/>
          <w:bCs/>
          <w:lang w:val="pt-PT"/>
        </w:rPr>
        <w:t xml:space="preserve">Todos os dados permanecem hospedados na infraestrutura do cliente. </w:t>
      </w:r>
      <w:r>
        <w:rPr>
          <w:lang w:val="pt-PT"/>
        </w:rPr>
        <w:t xml:space="preserve"/>
      </w:r>
      <w:r>
        <w:rPr>
          <w:lang w:val="pt-PT"/>
        </w:rPr>
        <w:t xml:space="preserve">Todos os dados processados ​​permanecem armazenados e hospedados na infraestrutura designada pelo cliente. OHADJA não mantém nenhuma cópia dos dados de produção do cliente.</w:t>
      </w:r>
    </w:p>
    <w:p>
      <w:pPr>
        <w:pStyle w:val="FirstParagraph"/>
      </w:pPr>
      <w:r>
        <w:rPr>
          <w:lang w:val="pt-PT"/>
        </w:rPr>
        <w:t xml:space="preserve">Esta declaração é emitida de boa-fé com base no âmbito local isolado acordado. Antes da assinatura, devem ser verificados e documentados a implementação efetiva, os fluxos de saída, as dependências remotas e os acessos de manutenção. A declaração está subordinada à manutenção desse âmbito e à ausência de ativação de opções que impliquem fluxos externos. Não constitui uma certificação nem uma autorização geral para tratar dados pessoais.</w:t>
      </w:r>
    </w:p>
    <w:bookmarkEnd w:id="10"/>
    <w:bookmarkStart w:id="11" w:name="Xd34e22c39898983bff1130fe82c10f2b73dc6cb"/>
    <w:p>
      <w:pPr>
        <w:pStyle w:val="Heading2"/>
        <w:keepNext/>
        <w:keepLines/>
      </w:pPr>
      <w:r>
        <w:rPr>
          <w:color w:val="000000"/>
          <w:lang w:val="pt-PT"/>
        </w:rPr>
        <w:t xml:space="preserve">3. Variante – Opção A SaaS Soberano</w:t>
      </w:r>
    </w:p>
    <w:p>
      <w:pPr>
        <w:pStyle w:val="FirstParagraph"/>
      </w:pPr>
      <w:r>
        <w:rPr>
          <w:lang w:val="pt-PT"/>
        </w:rPr>
        <w:t xml:space="preserve">Quando a solução é fornecida na </w:t>
      </w:r>
      <w:r>
        <w:rPr>
          <w:lang w:val="pt-PT"/>
        </w:rPr>
        <w:t xml:space="preserve"/>
      </w:r>
      <w:r>
        <w:rPr>
          <w:b/>
          <w:bCs/>
          <w:lang w:val="pt-PT"/>
        </w:rPr>
        <w:t xml:space="preserve">Opção A — SaaS soberano, a </w:t>
      </w:r>
      <w:r>
        <w:rPr>
          <w:lang w:val="pt-PT"/>
        </w:rPr>
        <w:t xml:space="preserve">declaração de isolamento total da secção 2 não se aplica, uma vez que a solução é alojada e explorada pela OHADJA. As seguintes garantias continuam, no entanto, a ser aplicáveis:</w:t>
      </w:r>
    </w:p>
    <w:p>
      <w:pPr>
        <w:pStyle w:val="Compact"/>
        <w:numPr>
          <w:ilvl w:val="0"/>
          <w:numId w:val="1003"/>
        </w:numPr>
      </w:pPr>
      <w:r>
        <w:rPr>
          <w:b/>
          <w:bCs/>
          <w:lang w:val="pt-PT"/>
        </w:rPr>
        <w:t xml:space="preserve">Sem treino (ponto 2 acima): </w:t>
      </w:r>
      <w:r>
        <w:rPr>
          <w:lang w:val="pt-PT"/>
        </w:rPr>
        <w:t xml:space="preserve"/>
      </w:r>
      <w:r>
        <w:rPr>
          <w:lang w:val="pt-PT"/>
        </w:rPr>
        <w:t xml:space="preserve">Nenhum dado do cliente é usado para treinar modelos.</w:t>
      </w:r>
    </w:p>
    <w:p>
      <w:pPr>
        <w:pStyle w:val="Compact"/>
        <w:numPr>
          <w:ilvl w:val="0"/>
          <w:numId w:val="1003"/>
        </w:numPr>
      </w:pPr>
      <w:r>
        <w:rPr>
          <w:b/>
          <w:bCs/>
          <w:lang w:val="pt-PT"/>
        </w:rPr>
        <w:t xml:space="preserve">Não reutilização (ponto 3 acima): </w:t>
      </w:r>
      <w:r>
        <w:rPr>
          <w:lang w:val="pt-PT"/>
        </w:rPr>
        <w:t xml:space="preserve"/>
      </w:r>
      <w:r>
        <w:rPr>
          <w:lang w:val="pt-PT"/>
        </w:rPr>
        <w:t xml:space="preserve">OHADJA não reutiliza dados de clientes para seus próprios fins.</w:t>
      </w:r>
    </w:p>
    <w:p>
      <w:pPr>
        <w:pStyle w:val="Compact"/>
        <w:numPr>
          <w:ilvl w:val="0"/>
          <w:numId w:val="1003"/>
        </w:numPr>
      </w:pPr>
      <w:r>
        <w:rPr>
          <w:b/>
          <w:bCs/>
          <w:lang w:val="pt-PT"/>
        </w:rPr>
        <w:t xml:space="preserve">Alojamento França/UE: </w:t>
      </w:r>
      <w:r>
        <w:rPr>
          <w:lang w:val="pt-PT"/>
        </w:rPr>
        <w:t xml:space="preserve"/>
      </w:r>
      <w:r>
        <w:rPr>
          <w:lang w:val="pt-PT"/>
        </w:rPr>
        <w:t xml:space="preserve">os dados de produção são hospedados na França (datacenter de Estrasburgo) e os backups cifrados são armazenados na França (Scaleway).</w:t>
      </w:r>
    </w:p>
    <w:p>
      <w:pPr>
        <w:pStyle w:val="Compact"/>
        <w:numPr>
          <w:ilvl w:val="0"/>
          <w:numId w:val="1003"/>
        </w:numPr>
      </w:pPr>
      <w:r>
        <w:rPr>
          <w:b/>
          <w:bCs/>
          <w:lang w:val="pt-PT"/>
        </w:rPr>
        <w:t xml:space="preserve">Enquadramento da </w:t>
      </w:r>
      <w:r>
        <w:rPr>
          <w:lang w:val="pt-PT"/>
        </w:rPr>
        <w:t xml:space="preserve">IA: </w:t>
      </w:r>
      <w:r>
        <w:rPr>
          <w:lang w:val="pt-PT"/>
        </w:rPr>
        <w:t xml:space="preserve">os tratamentos de inteligência artificial operam apenas sobre as fontes selecionadas pelo cliente, com minimização, sem treino com os dados e sem armazenamento duradouro nos fornecedores. Consoante a configuração, é possível um tratamento fora do EEE; nesse caso, é enquadrado pelos mecanismos do capítulo V do RGPD e detalhado no documento TRB-CONF-01.04. Um perfil «UE estrita» permite excluir qualquer tratamento fora do EEE.</w:t>
      </w:r>
    </w:p>
    <w:p>
      <w:pPr>
        <w:pStyle w:val="FirstParagraph"/>
      </w:pPr>
      <w:r>
        <w:rPr>
          <w:lang w:val="pt-PT"/>
        </w:rPr>
        <w:t xml:space="preserve">A variante SaaS não pode, portanto, atestar a ausência de qualquer envio de dados para fora da infraestrutura OHADJA, ao contrário da Opção B isolada. Esta distinção é feita de forma transparente.</w:t>
      </w:r>
    </w:p>
    <w:bookmarkEnd w:id="11"/>
    <w:bookmarkStart w:id="12" w:name="Xf87c5737d18b8839b8ac13a17e1a029202535fd"/>
    <w:p>
      <w:pPr>
        <w:pStyle w:val="Heading2"/>
        <w:keepNext/>
        <w:keepLines/>
      </w:pPr>
      <w:r>
        <w:rPr>
          <w:color w:val="000000"/>
          <w:lang w:val="pt-PT"/>
        </w:rPr>
        <w:t xml:space="preserve">4. Alcance jurídico e verificação do âmbito</w:t>
      </w:r>
    </w:p>
    <w:p>
      <w:pPr>
        <w:pStyle w:val="FirstParagraph"/>
      </w:pPr>
      <w:r>
        <w:rPr>
          <w:lang w:val="pt-PT"/>
        </w:rPr>
        <w:t xml:space="preserve">A presente declaração complementa, sem os substituir, os compromissos do Acordo de subcontratação (documento TRB-CONF-01.02) e do contrato principal. Em caso de divergência, prevalecem as estipulações do DPA e do contrato principal.</w:t>
      </w:r>
    </w:p>
    <w:bookmarkEnd w:id="12"/>
    <w:bookmarkStart w:id="13" w:name="X14bc5de1db413596a714c28200c343943188e49"/>
    <w:p>
      <w:pPr>
        <w:pStyle w:val="Heading2"/>
        <w:keepNext/>
        <w:keepLines/>
      </w:pPr>
      <w:r>
        <w:rPr>
          <w:color w:val="000000"/>
          <w:lang w:val="pt-PT"/>
        </w:rPr>
        <w:t xml:space="preserve">5. Assinatura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pt-PT"/>
              </w:rPr>
              <w:t xml:space="preserve">Feito em</w:t>
            </w:r>
          </w:p>
        </w:tc>
        <w:tc>
          <w:tcPr/>
          <w:p>
            <w:pPr>
              <w:pStyle w:val="Compact"/>
            </w:pPr>
            <w:r>
              <w:rPr>
                <w:lang w:val="pt-PT"/>
              </w:rPr>
              <w:t xml:space="preserve">[A SER CONCLUÍDO: localização]</w:t>
            </w:r>
          </w:p>
        </w:tc>
      </w:tr>
      <w:tr>
        <w:trPr>
          <w:cantSplit/>
        </w:trPr>
        <w:tc>
          <w:tcPr/>
          <w:p>
            <w:pPr>
              <w:pStyle w:val="Compact"/>
            </w:pPr>
            <w:r>
              <w:rPr>
                <w:lang w:val="pt-PT"/>
              </w:rPr>
              <w:t xml:space="preserve">Em</w:t>
            </w:r>
          </w:p>
        </w:tc>
        <w:tc>
          <w:tcPr/>
          <w:p>
            <w:pPr>
              <w:pStyle w:val="Compact"/>
            </w:pPr>
            <w:r>
              <w:rPr>
                <w:lang w:val="pt-PT"/>
              </w:rPr>
              <w:t xml:space="preserve">[A SER PREENCHIDO: data de assinatura]</w:t>
            </w:r>
          </w:p>
        </w:tc>
      </w:tr>
      <w:tr>
        <w:trPr>
          <w:cantSplit/>
        </w:trPr>
        <w:tc>
          <w:tcPr/>
          <w:p>
            <w:pPr>
              <w:pStyle w:val="Compact"/>
            </w:pPr>
            <w:r>
              <w:rPr>
                <w:lang w:val="pt-PT"/>
              </w:rPr>
              <w:t xml:space="preserve">Nome</w:t>
            </w:r>
          </w:p>
        </w:tc>
        <w:tc>
          <w:tcPr/>
          <w:p>
            <w:pPr>
              <w:pStyle w:val="Compact"/>
            </w:pPr>
            <w:r>
              <w:rPr>
                <w:lang w:val="pt-PT"/>
              </w:rPr>
              <w:t xml:space="preserve">Olivier Dupont</w:t>
            </w:r>
          </w:p>
        </w:tc>
      </w:tr>
      <w:tr>
        <w:trPr>
          <w:cantSplit/>
        </w:trPr>
        <w:tc>
          <w:tcPr/>
          <w:p>
            <w:pPr>
              <w:pStyle w:val="Compact"/>
            </w:pPr>
            <w:r>
              <w:rPr>
                <w:lang w:val="pt-PT"/>
              </w:rPr>
              <w:t xml:space="preserve">Qualidade</w:t>
            </w:r>
          </w:p>
        </w:tc>
        <w:tc>
          <w:tcPr/>
          <w:p>
            <w:pPr>
              <w:pStyle w:val="Compact"/>
            </w:pPr>
            <w:r>
              <w:rPr>
                <w:lang w:val="pt-PT"/>
              </w:rPr>
              <w:t xml:space="preserve">Presidente</w:t>
            </w:r>
          </w:p>
        </w:tc>
      </w:tr>
      <w:tr>
        <w:trPr>
          <w:cantSplit/>
        </w:trPr>
        <w:tc>
          <w:tcPr/>
          <w:p>
            <w:pPr>
              <w:pStyle w:val="Compact"/>
            </w:pPr>
            <w:r>
              <w:rPr>
                <w:lang w:val="pt-PT"/>
              </w:rPr>
              <w:t xml:space="preserve">Assinatura</w:t>
            </w:r>
          </w:p>
        </w:tc>
        <w:tc>
          <w:tcPr/>
          <w:p>
            <w:pPr>
              <w:pStyle w:val="Compact"/>
            </w:pPr>
          </w:p>
        </w:tc>
      </w:tr>
      <w:tr>
        <w:trPr>
          <w:cantSplit/>
        </w:trPr>
        <w:tc>
          <w:tcPr/>
          <w:p>
            <w:pPr>
              <w:pStyle w:val="Compact"/>
            </w:pPr>
            <w:r>
              <w:rPr>
                <w:lang w:val="pt-PT"/>
              </w:rPr>
              <w:t xml:space="preserve">Carimbo</w:t>
            </w:r>
          </w:p>
        </w:tc>
        <w:tc>
          <w:tcPr/>
          <w:p>
            <w:pPr>
              <w:pStyle w:val="Compact"/>
            </w:pPr>
          </w:p>
        </w:tc>
      </w:tr>
    </w:tbl>
    <w:p>
      <w:r>
        <w:pict>
          <v:rect style="width:0;height:1.5pt" o:hralign="center" o:hrstd="t" o:hr="t"/>
        </w:pict>
      </w:r>
    </w:p>
    <w:p>
      <w:pPr>
        <w:pStyle w:val="FirstParagraph"/>
      </w:pPr>
      <w:r>
        <w:rPr>
          <w:i/>
          <w:iCs/>
          <w:lang w:val="pt-PT"/>
        </w:rPr>
        <w:t xml:space="preserve">Documento de trabalho estabelecido por OHADJA — a ser validado pelo seu consultor jurídico/DPO antes da assinatura.</w:t>
      </w:r>
    </w:p>
    <w:bookmarkEnd w:id="13"/>
    <w:bookmarkEnd w:id="14"/>
    <w:p>
      <w:pPr>
        <w:pStyle w:val="Heading1"/>
        <w:pageBreakBefore/>
        <w:keepNext/>
        <w:keepLines/>
      </w:pPr>
      <w:r>
        <w:rPr>
          <w:lang w:val="pt-PT"/>
          <w:color w:val="000000"/>
        </w:rPr>
        <w:t xml:space="preserve">Anexo sobre as regras nacionais de implementação</w:t>
      </w:r>
    </w:p>
    <w:p>
      <w:pPr>
        <w:pStyle w:val="Heading2"/>
        <w:keepNext/>
        <w:keepLines/>
      </w:pPr>
      <w:r>
        <w:rPr>
          <w:lang w:val="pt-PT"/>
          <w:color w:val="000000"/>
        </w:rPr>
        <w:t xml:space="preserve">Âmbito deste anexo</w:t>
      </w:r>
    </w:p>
    <w:p>
      <w:pPr>
        <w:pStyle w:val="BodyText"/>
      </w:pPr>
      <w:r>
        <w:rPr>
          <w:lang w:val="pt-PT"/>
        </w:rPr>
        <w:t xml:space="preserve">Esta edição abrange a base do RGPD da União Europeia e os aspetos de implementação abaixo indicados para França, Irlanda, Países Baixos, Espanha e Portugal. Estas notas devem ser lidas em função do país e da utilização efetivos do Cliente, independentemente do idioma do documento. Complementam os documentos do projeto sem alterar automaticamente a identidade das partes, o direito francês escolhido ou os tribunais designados. Ficam ressalvadas as normas imperativas aplicáveis ao Cliente. As referências nacionais francesas do corpo do documento continuam identificadas como tal; não constituem uma equivalência estrangeira.</w:t>
      </w:r>
    </w:p>
    <w:p>
      <w:pPr>
        <w:pStyle w:val="Heading2"/>
        <w:keepNext/>
        <w:keepLines/>
      </w:pPr>
      <w:r>
        <w:rPr>
          <w:lang w:val="pt-PT"/>
          <w:color w:val="000000"/>
        </w:rPr>
        <w:t xml:space="preserve">Base europeia a documentar antes da entrada em serviço</w:t>
      </w:r>
    </w:p>
    <w:p>
      <w:pPr>
        <w:pStyle w:val="BodyText"/>
      </w:pPr>
      <w:r>
        <w:rPr>
          <w:lang w:val="pt-PT"/>
        </w:rPr>
        <w:t xml:space="preserve">O Cliente deve determinar a finalidade, a necessidade, a proporcionalidade e o fundamento de licitude de cada gravação e tratamento; informar as pessoas antes da recolha; definir os destinatários, os prazos e os meios de exercício dos direitos; e celebrar um acordo conforme com o artigo 28.º para as operações confiadas a um subcontratante. A informação, a consulta ou a validação humana não bastam para tornar um tratamento lícito. O consentimento dos trabalhadores deve ser examinado com prudência, tendo em conta o desequilíbrio face ao empregador.</w:t>
      </w:r>
    </w:p>
    <w:p>
      <w:pPr>
        <w:pStyle w:val="BodyText"/>
      </w:pPr>
      <w:r>
        <w:rPr>
          <w:lang w:val="pt-PT"/>
        </w:rPr>
        <w:t xml:space="preserve">Se forem tratadas categorias especiais de dados, deve ser identificada uma condição aplicável do artigo 9.º, além do fundamento do artigo 6.º. Uma comparação vocal que vise a identificação inequívoca deve ser analisada à luz da biometria, mesmo sem um modelo persistente. A avaliação de impacto deve ser realizada antes dos tratamentos suscetíveis de resultar num risco elevado e as regras de consulta prévia da autoridade continuam a aplicar-se quando estiverem reunidas as condições do artigo 36.º. Nem o alojamento local nem um aditamento dispensam esta análise.</w:t>
      </w:r>
    </w:p>
    <w:p>
      <w:pPr>
        <w:pStyle w:val="BodyText"/>
      </w:pPr>
      <w:r>
        <w:rPr>
          <w:lang w:val="pt-PT"/>
        </w:rPr>
        <w:t xml:space="preserve">A autoridade competente depende das regras do RGPD, nomeadamente em caso de tratamento transfronteiriço; não depende do idioma escolhido. O subcontratante alerta o Cliente sem demora injustificada. O responsável pelo tratamento notifica a autoridade competente nas condições do artigo 33.º, sempre que possível nas 72 horas após ter conhecimento de uma violação, salvo se esta não for suscetível de resultar num risco para os direitos e liberdades. A comunicação aos titulares dos dados está sujeita às condições do artigo 34.º.</w:t>
      </w:r>
    </w:p>
    <w:p>
      <w:pPr>
        <w:pStyle w:val="BodyText"/>
      </w:pPr>
      <w:r>
        <w:rPr>
          <w:lang w:val="pt-PT"/>
        </w:rPr>
        <w:t xml:space="preserve">Fontes europeias https://eur-lex.europa.eu/eli/reg/2016/679/oj e https://www.edpb.europa.eu/documents/guideline/guidelines-052020-on-consent-under-regulation-2016679_en</w:t>
      </w:r>
    </w:p>
    <w:p>
      <w:pPr>
        <w:pStyle w:val="Heading2"/>
        <w:keepNext/>
        <w:keepLines/>
      </w:pPr>
      <w:r>
        <w:rPr>
          <w:lang w:val="pt-PT"/>
          <w:color w:val="000000"/>
        </w:rPr>
        <w:t xml:space="preserve">França</w:t>
      </w:r>
    </w:p>
    <w:p>
      <w:pPr>
        <w:pStyle w:val="BodyText"/>
      </w:pPr>
      <w:r>
        <w:rPr>
          <w:lang w:val="pt-PT"/>
        </w:rPr>
        <w:t xml:space="preserve">Para uma implementação em França, determinar as obrigações de informação dos trabalhadores e de consulta prévia do CSE em função do dispositivo, do número de trabalhadores e do âmbito legal aplicável. O Code du travail francês abrange, nomeadamente, as técnicas que permitem controlar a atividade, mesmo que o produto seja apresentado como apoio à redação. A informação e a consulta não substituem a análise de licitude, necessidade e proporcionalidade, nem as regras específicas relativas às conversas privadas, aos dados sensíveis e à confidencialidade. A CNIL é a autoridade nacional, sem prejuízo das regras de competência do RGPD.</w:t>
      </w:r>
    </w:p>
    <w:p>
      <w:pPr>
        <w:pStyle w:val="BodyText"/>
      </w:pPr>
      <w:r>
        <w:rPr>
          <w:lang w:val="pt-PT"/>
        </w:rPr>
        <w:t xml:space="preserve">Fontes de França Code du travail, artigos L1222-4 e L2312-38 https://www.legifrance.gouv.fr/codes/article_lc/LEGIARTI000006900861 e https://www.legifrance.gouv.fr/codes/section_lc/LEGITEXT000006072050/LEGISCTA000035610273/</w:t>
      </w:r>
    </w:p>
    <w:p>
      <w:pPr>
        <w:pStyle w:val="Heading2"/>
        <w:keepNext/>
        <w:keepLines/>
      </w:pPr>
      <w:r>
        <w:rPr>
          <w:lang w:val="pt-PT"/>
          <w:color w:val="000000"/>
        </w:rPr>
        <w:t xml:space="preserve">Irlanda</w:t>
      </w:r>
    </w:p>
    <w:p>
      <w:pPr>
        <w:pStyle w:val="BodyText"/>
      </w:pPr>
      <w:r>
        <w:rPr>
          <w:lang w:val="pt-PT"/>
        </w:rPr>
        <w:t xml:space="preserve">Para uma implementação na Irlanda, aplicar o RGPD e o quadro nacional; documentar o fundamento de licitude e informar os participantes antes da gravação. Examinar as obrigações de informação e consulta dos trabalhadores em função do âmbito, do número de trabalhadores, dos acordos coletivos e dos mecanismos existentes. O regime irlandês não equivale ao CSE francês nem estabelece uma consulta idêntica para todos os empregadores. A Data Protection Commission é a autoridade nacional, sem prejuízo das regras de competência transfronteiriça.</w:t>
      </w:r>
    </w:p>
    <w:p>
      <w:pPr>
        <w:pStyle w:val="BodyText"/>
      </w:pPr>
      <w:r>
        <w:rPr>
          <w:lang w:val="pt-PT"/>
        </w:rPr>
        <w:t xml:space="preserve">Fontes da Irlanda https://www.dataprotection.ie/en/dpc-guidance/video-recording e Employees Provision of Information and Consultation Act 2006 https://www.irishstatutebook.ie/eli/2006/act/9/enacted/en/print</w:t>
      </w:r>
    </w:p>
    <w:p>
      <w:pPr>
        <w:pStyle w:val="Heading2"/>
        <w:keepNext/>
        <w:keepLines/>
      </w:pPr>
      <w:r>
        <w:rPr>
          <w:lang w:val="pt-PT"/>
          <w:color w:val="000000"/>
        </w:rPr>
        <w:t xml:space="preserve">Países Baixos</w:t>
      </w:r>
    </w:p>
    <w:p>
      <w:pPr>
        <w:pStyle w:val="BodyText"/>
      </w:pPr>
      <w:r>
        <w:rPr>
          <w:lang w:val="pt-PT"/>
        </w:rPr>
        <w:t xml:space="preserve">Para uma implementação nos Países Baixos, examinar as competências do ondernemingsraad ou OR. Um dispositivo que possa permitir acompanhar a presença, o comportamento ou o desempenho pode estar sujeito ao seu direito de aprovação prévia ao abrigo da Wet op de ondernemingsraden, mesmo que ainda não seja utilizado para esse fim. A aprovação do OR não substitui o fundamento de licitude do tratamento nem as condições aplicáveis à biometria e aos dados sensíveis. A Autoriteit Persoonsgegevens é a autoridade nacional, sem prejuízo das regras de competência do RGPD.</w:t>
      </w:r>
    </w:p>
    <w:p>
      <w:pPr>
        <w:pStyle w:val="BodyText"/>
      </w:pPr>
      <w:r>
        <w:rPr>
          <w:lang w:val="pt-PT"/>
        </w:rPr>
        <w:t xml:space="preserve">Fonte dos Países Baixos Autoriteit Persoonsgegevens https://autoriteitpersoonsgegevens.nl/en/themes/employment-and-benefits/works-council/the-works-council-and-staff-tracking-systems</w:t>
      </w:r>
    </w:p>
    <w:p>
      <w:pPr>
        <w:pStyle w:val="Heading2"/>
        <w:keepNext/>
        <w:keepLines/>
      </w:pPr>
      <w:r>
        <w:rPr>
          <w:lang w:val="pt-PT"/>
          <w:color w:val="000000"/>
        </w:rPr>
        <w:t xml:space="preserve">Espanha</w:t>
      </w:r>
    </w:p>
    <w:p>
      <w:pPr>
        <w:pStyle w:val="BodyText"/>
      </w:pPr>
      <w:r>
        <w:rPr>
          <w:lang w:val="pt-PT"/>
        </w:rPr>
        <w:t xml:space="preserve">Para uma implementação em Espanha, distinguir a transcrição de reuniões do recurso a dispositivos de vigilância sonora. No âmbito do artigo 89.º da Ley Orgánica 3/2018, a gravação de som no trabalho está estritamente limitada a determinados riscos de segurança, com proporcionalidade, intervenção mínima e garantias; os espaços de descanso são protegidos. Examinar os direitos de informação e consulta dos representantes e os acordos aplicáveis. Estas disposições não devem ser alargadas, sem análise, a qualquer reunião pontual, e o acordo dos participantes não constitui uma autorização geral. Identificar a AEPD ou a autoridade regional competente em função do tratamento.</w:t>
      </w:r>
    </w:p>
    <w:p>
      <w:pPr>
        <w:pStyle w:val="BodyText"/>
      </w:pPr>
      <w:r>
        <w:rPr>
          <w:lang w:val="pt-PT"/>
        </w:rPr>
        <w:t xml:space="preserve">Fontes de Espanha Ley Orgánica 3/2018, artigo 89.º https://www.boe.es/buscar/act.php?id=BOE-A-2018-16673#a89 e Estatuto de los Trabajadores, artigo 64.º https://www.boe.es/buscar/act.php?id=BOE-A-2015-11430#a64</w:t>
      </w:r>
    </w:p>
    <w:p>
      <w:pPr>
        <w:pStyle w:val="Heading2"/>
        <w:keepNext/>
        <w:keepLines/>
      </w:pPr>
      <w:r>
        <w:rPr>
          <w:lang w:val="pt-PT"/>
          <w:color w:val="000000"/>
        </w:rPr>
        <w:t xml:space="preserve">Portugal</w:t>
      </w:r>
    </w:p>
    <w:p>
      <w:pPr>
        <w:pStyle w:val="BodyText"/>
      </w:pPr>
      <w:r>
        <w:rPr>
          <w:lang w:val="pt-PT"/>
        </w:rPr>
        <w:t xml:space="preserve">Para uma implementação em Portugal, examinar o Código do Trabalho, a Lei 58/2019 e as regras aplicáveis ao dispositivo concreto. É proibida a vigilância à distância destinada ao controlo do desempenho profissional. A captação de som num dispositivo de videovigilância está sujeita a restrições específicas; esta regra não significa que todas as gravações de reuniões sejam proibidas nem que sejam sempre autorizadas. Determinar as obrigações perante os trabalhadores e os seus representantes antes da entrada em serviço. A Comissão Nacional de Proteção de Dados é a autoridade nacional, sem prejuízo das regras de competência do RGPD.</w:t>
      </w:r>
    </w:p>
    <w:p>
      <w:pPr>
        <w:pStyle w:val="BodyText"/>
      </w:pPr>
      <w:r>
        <w:rPr>
          <w:lang w:val="pt-PT"/>
        </w:rPr>
        <w:t xml:space="preserve">Fontes de Portugal Código do Trabalho, artigos 20.º e 21.º https://diariodarepublica.pt/dr/legislacao-consolidada/lei/2009-34546475-211441911 e CNPD https://www.cnpd.pt/organizacoes/areas-tematicas/videovigilancia/</w:t>
      </w:r>
    </w:p>
    <w:p>
      <w:pPr>
        <w:pStyle w:val="Heading2"/>
        <w:keepNext/>
        <w:keepLines/>
      </w:pPr>
      <w:r>
        <w:rPr>
          <w:lang w:val="pt-PT"/>
          <w:color w:val="000000"/>
        </w:rPr>
        <w:t xml:space="preserve">Quadros franceses e compromissos do projeto</w:t>
      </w:r>
    </w:p>
    <w:p>
      <w:pPr>
        <w:pStyle w:val="BodyText"/>
      </w:pPr>
      <w:r>
        <w:rPr>
          <w:lang w:val="pt-PT"/>
        </w:rPr>
        <w:t xml:space="preserve">Os termos CSE, CGCT, HDS, SecNumCloud, ANSSI e RGAA designam instituições, regras ou referenciais franceses. Não comprovam uma certificação da TranscribIA nem o cumprimento automático de um quadro estrangeiro. Os montantes e mecanismos de pagamento das condições gerais de venda, incluindo a remissão para o Code de commerce francês, devem ser articulados com o direito escolhido, a qualidade do Cliente e as normas imperativas aplicáveis; não devem ser apresentados como uma reprodução de cada direito nacional. As modalidades aplicáveis à contratação pública, aos consumidores e aos setores regulados devem ser especificadas separadamente quando estejam em causa.</w:t>
      </w:r>
    </w:p>
    <w:p>
      <w:pPr>
        <w:pStyle w:val="BodyText"/>
      </w:pPr>
      <w:r>
        <w:rPr>
          <w:lang w:val="pt-PT"/>
        </w:rPr>
        <w:t xml:space="preserve">Antes da assinatura, completar e verificar os anexos do projeto relativos às partes, à configuração SaaS ou local, aos locais de tratamento e de acesso, aos subcontratantes ulteriores, às transferências, às medidas de segurança efetivas, à conservação e aos níveis de serviço. Este anexo não atesta que uma medida técnica já esteja implementada nem substitui os compromissos particulares acordados. Os regimes britânicos, belgas e dos restantes países não são abrangidos por estas notas nacionais; exigem uma adaptação distinta.</w:t>
      </w:r>
    </w:p>
    <w:p>
      <w:pPr>
        <w:pStyle w:val="BodyText"/>
      </w:pPr>
      <w:r>
        <w:rPr>
          <w:lang w:val="pt-PT"/>
        </w:rPr>
        <w:t xml:space="preserve">As capturas de interface e os exemplos retirados da aplicação podem permanecer em francês. As explicações e as legendas documentais são traduzidas; os comandos, nomes de ficheiros, identificadores técnicos e referências documentais devem ser conservados exatamente.</w:t>
      </w:r>
    </w:p>
    <w:p>
      <w:pPr>
        <w:pStyle w:val="Heading1"/>
        <w:keepNext/>
        <w:keepLines/>
      </w:pPr>
      <w:r>
        <w:rPr>
          <w:lang w:val="pt-PT"/>
          <w:color w:val="000000"/>
        </w:rPr>
        <w:t>Histórico desta edição</w:t>
      </w:r>
    </w:p>
    <w:p>
      <w:pPr>
        <w:pStyle w:val="BodyText"/>
      </w:pPr>
      <w:r>
        <w:rPr>
          <w:lang w:val="pt-PT"/>
        </w:rPr>
        <w:t>1.1 — 2026-10-17</w:t>
      </w:r>
    </w:p>
    <w:p>
      <w:pPr>
        <w:pStyle w:val="BodyText"/>
      </w:pPr>
      <w:r>
        <w:rPr>
          <w:lang w:val="pt-PT"/>
        </w:rPr>
        <w:t>Edição multilingue e correções documentais. As versões anteriores e as respetivas datas são conservadas. O texto francês prevalece; as traduções facilitam a leitura e não alteram as partes nem a lei aplicável.</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pt-PT"/>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2026-07-25T09:45:12Z</dcterms:created>
  <dcterms:modified xsi:type="dcterms:W3CDTF">2026-07-25T09:45:12Z</dcterms:modified>
</cp:coreProperties>
</file>

<file path=docProps/custom.xml><?xml version="1.0" encoding="utf-8"?>
<Properties xmlns="http://schemas.openxmlformats.org/officeDocument/2006/custom-properties" xmlns:vt="http://schemas.openxmlformats.org/officeDocument/2006/docPropsVTypes"/>
</file>