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57" w:name="X539e31f0c026021fb8cde29549f83f5b9ec291c"/>
    <w:p>
      <w:pPr>
        <w:pStyle w:val="Title"/>
        <w:keepNext/>
        <w:keepLines/>
      </w:pPr>
      <w:r>
        <w:rPr>
          <w:color w:val="000000"/>
          <w:lang w:val="pt-PT"/>
        </w:rPr>
        <w:t xml:space="preserve">Condições gerais de venda e manutenção — TranscribIA</w:t>
      </w:r>
    </w:p>
    <w:p>
      <w:pPr>
        <w:pStyle w:val="BodyText"/>
      </w:pPr>
      <w:r>
        <w:rPr>
          <w:lang w:val="pt-PT"/>
        </w:rPr>
        <w:t xml:space="preserve">Edição localizada v1.1 — 2026-10-17</w:t>
      </w:r>
    </w:p>
    <w:p>
      <w:pPr>
        <w:pStyle w:val="BodyText"/>
      </w:pPr>
      <w:r>
        <w:rPr>
          <w:lang w:val="pt-PT"/>
        </w:rPr>
        <w:t xml:space="preserve">O texto francês prevalece. Esta edição abrange França, Irlanda, Países Baixos, Espanha e Portugal. O idioma não determina o país de implementação, as partes ou a lei aplicável. Leia o anexo nacional no final do documento segundo o país e a utilização reais.</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p>
        </w:tc>
        <w:tc>
          <w:tcPr/>
          <w:p>
            <w:pPr>
              <w:pStyle w:val="Compact"/>
            </w:pPr>
          </w:p>
        </w:tc>
      </w:tr>
      <w:tr>
        <w:trPr>
          <w:cantSplit/>
        </w:trPr>
        <w:tc>
          <w:tcPr/>
          <w:p>
            <w:pPr>
              <w:pStyle w:val="Compact"/>
            </w:pPr>
            <w:r>
              <w:rPr>
                <w:b/>
                <w:bCs/>
                <w:lang w:val="pt-PT"/>
              </w:rPr>
              <w:t xml:space="preserve">Referência</w:t>
            </w:r>
          </w:p>
        </w:tc>
        <w:tc>
          <w:tcPr/>
          <w:p>
            <w:pPr>
              <w:pStyle w:val="Compact"/>
            </w:pPr>
            <w:r>
              <w:rPr>
                <w:lang w:val="pt-PT"/>
              </w:rPr>
              <w:t xml:space="preserve">CGVM-TRANSCRIBIA-2026-01</w:t>
            </w:r>
          </w:p>
        </w:tc>
      </w:tr>
      <w:tr>
        <w:trPr>
          <w:cantSplit/>
        </w:trPr>
        <w:tc>
          <w:tcPr/>
          <w:p>
            <w:pPr>
              <w:pStyle w:val="Compact"/>
            </w:pPr>
            <w:r>
              <w:rPr>
                <w:b/>
                <w:bCs/>
                <w:lang w:val="pt-PT"/>
              </w:rPr>
              <w:t xml:space="preserve">Versão</w:t>
            </w:r>
          </w:p>
        </w:tc>
        <w:tc>
          <w:tcPr/>
          <w:p>
            <w:pPr>
              <w:pStyle w:val="Compact"/>
            </w:pPr>
            <w:r>
              <w:rPr>
                <w:lang w:val="pt-PT"/>
              </w:rPr>
              <w:t xml:space="preserve">1.0</w:t>
            </w:r>
          </w:p>
        </w:tc>
      </w:tr>
      <w:tr>
        <w:trPr>
          <w:cantSplit/>
        </w:trPr>
        <w:tc>
          <w:tcPr/>
          <w:p>
            <w:pPr>
              <w:pStyle w:val="Compact"/>
            </w:pPr>
            <w:r>
              <w:rPr>
                <w:b/>
                <w:bCs/>
                <w:lang w:val="pt-PT"/>
              </w:rPr>
              <w:t xml:space="preserve">Data</w:t>
            </w:r>
          </w:p>
        </w:tc>
        <w:tc>
          <w:tcPr/>
          <w:p>
            <w:pPr>
              <w:pStyle w:val="Compact"/>
            </w:pPr>
            <w:r>
              <w:rPr>
                <w:lang w:val="pt-PT"/>
              </w:rPr>
              <w:t xml:space="preserve">2026-07-24</w:t>
            </w:r>
          </w:p>
        </w:tc>
      </w:tr>
      <w:tr>
        <w:trPr>
          <w:cantSplit/>
        </w:trPr>
        <w:tc>
          <w:tcPr/>
          <w:p>
            <w:pPr>
              <w:pStyle w:val="Compact"/>
            </w:pPr>
            <w:r>
              <w:rPr>
                <w:b/>
                <w:bCs/>
                <w:lang w:val="pt-PT"/>
              </w:rPr>
              <w:t xml:space="preserve">Editor</w:t>
            </w:r>
          </w:p>
        </w:tc>
        <w:tc>
          <w:tcPr/>
          <w:p>
            <w:pPr>
              <w:pStyle w:val="Compact"/>
            </w:pPr>
            <w:r>
              <w:rPr>
                <w:lang w:val="pt-PT"/>
              </w:rPr>
              <w:t xml:space="preserve">OHADJA</w:t>
            </w:r>
          </w:p>
        </w:tc>
      </w:tr>
      <w:tr>
        <w:trPr>
          <w:cantSplit/>
        </w:trPr>
        <w:tc>
          <w:tcPr/>
          <w:p>
            <w:pPr>
              <w:pStyle w:val="Compact"/>
            </w:pPr>
            <w:r>
              <w:rPr>
                <w:b/>
                <w:bCs/>
                <w:lang w:val="pt-PT"/>
              </w:rPr>
              <w:t xml:space="preserve">Classificação</w:t>
            </w:r>
          </w:p>
        </w:tc>
        <w:tc>
          <w:tcPr/>
          <w:p>
            <w:pPr>
              <w:pStyle w:val="Compact"/>
            </w:pPr>
            <w:r>
              <w:rPr>
                <w:lang w:val="pt-PT"/>
              </w:rPr>
              <w:t xml:space="preserve">Público — modelo de contrato (a ser preenchido antes da assinatura)</w:t>
            </w:r>
          </w:p>
        </w:tc>
      </w:tr>
    </w:tbl>
    <w:p>
      <w:r>
        <w:pict>
          <v:rect style="width:0;height:1.5pt" o:hralign="center" o:hrstd="t" o:hr="t"/>
        </w:pict>
      </w:r>
    </w:p>
    <w:bookmarkStart w:id="15" w:name="article-1--objet-et-définitions"/>
    <w:p>
      <w:pPr>
        <w:pStyle w:val="Heading2"/>
        <w:keepNext/>
        <w:keepLines/>
      </w:pPr>
      <w:r>
        <w:rPr>
          <w:color w:val="000000"/>
          <w:lang w:val="pt-PT"/>
        </w:rPr>
        <w:t xml:space="preserve">Artigo 1.º — Objectivo e definições</w:t>
      </w:r>
    </w:p>
    <w:bookmarkStart w:id="9" w:name="Xf4671889473d27fcb7b5710cf7ac2343be1d8a0"/>
    <w:p>
      <w:pPr>
        <w:pStyle w:val="Heading3"/>
        <w:keepNext/>
        <w:keepLines/>
      </w:pPr>
      <w:r>
        <w:rPr>
          <w:color w:val="000000"/>
          <w:lang w:val="pt-PT"/>
        </w:rPr>
        <w:t xml:space="preserve">1.1 Objetivo</w:t>
      </w:r>
    </w:p>
    <w:p>
      <w:pPr>
        <w:pStyle w:val="FirstParagraph"/>
      </w:pPr>
      <w:r>
        <w:rPr>
          <w:lang w:val="pt-PT"/>
        </w:rPr>
        <w:t xml:space="preserve">As presentes condições gerais de venda e manutenção (doravante “Condições” ou “CGVM”) regulam o fornecimento, pela empresa OHADJA, editora da solução de software </w:t>
      </w:r>
      <w:r>
        <w:rPr>
          <w:lang w:val="pt-PT"/>
        </w:rPr>
        <w:t xml:space="preserve"/>
      </w:r>
      <w:r>
        <w:rPr>
          <w:b/>
          <w:bCs/>
          <w:lang w:val="pt-PT"/>
        </w:rPr>
        <w:t xml:space="preserve">TranscribIA, </w:t>
      </w:r>
      <w:r>
        <w:rPr>
          <w:lang w:val="pt-PT"/>
        </w:rPr>
        <w:t xml:space="preserve">de todos os serviços associados a esta solução: prestação em modo software-as-a-service (SaaS), concessão de licença para utilização em modo on-site (on-premise), manutenção, suporte, atualizações e serviços adicionais possíveis.</w:t>
      </w:r>
    </w:p>
    <w:p>
      <w:pPr>
        <w:pStyle w:val="BodyText"/>
      </w:pPr>
      <w:r>
        <w:rPr>
          <w:lang w:val="pt-PT"/>
        </w:rPr>
        <w:t xml:space="preserve">Aplicam-se a qualquer pedido feito pelo cliente (doravante o “Cliente”) com OHADJA, seja concluído diretamente ou através de um distribuidor ou integrador aprovado.</w:t>
      </w:r>
    </w:p>
    <w:p>
      <w:pPr>
        <w:pStyle w:val="BodyText"/>
      </w:pPr>
      <w:r>
        <w:rPr>
          <w:lang w:val="pt-PT"/>
        </w:rPr>
        <w:t xml:space="preserve">Qualquer encomenda implica a aceitação sem reservas das presentes Condições, que prevalecem sobre qualquer documento contraditório emanado do Cliente, nomeadamente as suas condições gerais de compra, salvo estipulação específica expressamente aceite por escrito pela OHADJA.</w:t>
      </w:r>
    </w:p>
    <w:bookmarkEnd w:id="9"/>
    <w:bookmarkStart w:id="13" w:name="X89d109302845bed012e9ce6674460c1e1467532"/>
    <w:p>
      <w:pPr>
        <w:pStyle w:val="Heading3"/>
        <w:keepNext/>
        <w:keepLines/>
      </w:pPr>
      <w:r>
        <w:rPr>
          <w:color w:val="000000"/>
          <w:lang w:val="pt-PT"/>
        </w:rPr>
        <w:t xml:space="preserve">1.2 Identificação do editor</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pt-PT"/>
              </w:rPr>
              <w:t xml:space="preserve">Elemento</w:t>
            </w:r>
          </w:p>
        </w:tc>
        <w:tc>
          <w:tcPr/>
          <w:p>
            <w:pPr>
              <w:pStyle w:val="Compact"/>
            </w:pPr>
            <w:r>
              <w:rPr>
                <w:lang w:val="pt-PT"/>
              </w:rPr>
              <w:t xml:space="preserve">Valor</w:t>
            </w:r>
          </w:p>
        </w:tc>
      </w:tr>
      <w:tr>
        <w:trPr>
          <w:cantSplit/>
        </w:trPr>
        <w:tc>
          <w:tcPr/>
          <w:p>
            <w:pPr>
              <w:pStyle w:val="Compact"/>
            </w:pPr>
            <w:r>
              <w:rPr>
                <w:lang w:val="pt-PT"/>
              </w:rPr>
              <w:t xml:space="preserve">Nome da empresa</w:t>
            </w:r>
          </w:p>
        </w:tc>
        <w:tc>
          <w:tcPr/>
          <w:p>
            <w:pPr>
              <w:pStyle w:val="Compact"/>
            </w:pPr>
            <w:r>
              <w:rPr>
                <w:lang w:val="pt-PT"/>
              </w:rPr>
              <w:t xml:space="preserve">OHADJA</w:t>
            </w:r>
          </w:p>
        </w:tc>
      </w:tr>
      <w:tr>
        <w:trPr>
          <w:cantSplit/>
        </w:trPr>
        <w:tc>
          <w:tcPr/>
          <w:p>
            <w:pPr>
              <w:pStyle w:val="Compact"/>
            </w:pPr>
            <w:r>
              <w:rPr>
                <w:lang w:val="pt-PT"/>
              </w:rPr>
              <w:t xml:space="preserve">Forma jurídica</w:t>
            </w:r>
          </w:p>
        </w:tc>
        <w:tc>
          <w:tcPr/>
          <w:p>
            <w:pPr>
              <w:pStyle w:val="Compact"/>
            </w:pPr>
            <w:r>
              <w:rPr>
                <w:lang w:val="pt-PT"/>
              </w:rPr>
              <w:t xml:space="preserve">Société par actions simplifiée (SAS), forma jurídica francesa — atividade principal 62.01Z (programação informática)</w:t>
            </w:r>
          </w:p>
        </w:tc>
      </w:tr>
      <w:tr>
        <w:trPr>
          <w:cantSplit/>
        </w:trPr>
        <w:tc>
          <w:tcPr/>
          <w:p>
            <w:pPr>
              <w:pStyle w:val="Compact"/>
            </w:pPr>
            <w:r>
              <w:rPr>
                <w:lang w:val="pt-PT"/>
              </w:rPr>
              <w:t xml:space="preserve">Número de IVA intracomunitário</w:t>
            </w:r>
          </w:p>
        </w:tc>
        <w:tc>
          <w:tcPr/>
          <w:p>
            <w:pPr>
              <w:pStyle w:val="Compact"/>
            </w:pPr>
            <w:r>
              <w:rPr>
                <w:lang w:val="pt-PT"/>
              </w:rPr>
              <w:t xml:space="preserve">FR78992146480</w:t>
            </w:r>
          </w:p>
        </w:tc>
      </w:tr>
      <w:tr>
        <w:trPr>
          <w:cantSplit/>
        </w:trPr>
        <w:tc>
          <w:tcPr/>
          <w:p>
            <w:pPr>
              <w:pStyle w:val="Compact"/>
            </w:pPr>
            <w:r>
              <w:rPr>
                <w:lang w:val="pt-PT"/>
              </w:rPr>
              <w:t xml:space="preserve">Representante legal</w:t>
            </w:r>
          </w:p>
        </w:tc>
        <w:tc>
          <w:tcPr/>
          <w:p>
            <w:pPr>
              <w:pStyle w:val="Compact"/>
            </w:pPr>
            <w:r>
              <w:rPr>
                <w:lang w:val="pt-PT"/>
              </w:rPr>
              <w:t xml:space="preserve">Olivier Dupont, presidente</w:t>
            </w:r>
          </w:p>
        </w:tc>
      </w:tr>
      <w:tr>
        <w:trPr>
          <w:cantSplit/>
        </w:trPr>
        <w:tc>
          <w:tcPr/>
          <w:p>
            <w:pPr>
              <w:pStyle w:val="Compact"/>
            </w:pPr>
            <w:r>
              <w:rPr>
                <w:lang w:val="pt-PT"/>
              </w:rPr>
              <w:t xml:space="preserve">Sede</w:t>
            </w:r>
          </w:p>
        </w:tc>
        <w:tc>
          <w:tcPr/>
          <w:p>
            <w:pPr>
              <w:pStyle w:val="Compact"/>
            </w:pPr>
            <w:r>
              <w:rPr>
                <w:lang w:val="pt-PT"/>
              </w:rPr>
              <w:t xml:space="preserve">60 rue François 1er, 75008 Paris, França</w:t>
            </w:r>
          </w:p>
        </w:tc>
      </w:tr>
      <w:tr>
        <w:trPr>
          <w:cantSplit/>
        </w:trPr>
        <w:tc>
          <w:tcPr/>
          <w:p>
            <w:pPr>
              <w:pStyle w:val="Compact"/>
            </w:pPr>
            <w:r>
              <w:rPr>
                <w:lang w:val="pt-PT"/>
              </w:rPr>
              <w:t xml:space="preserve">Cadastro</w:t>
            </w:r>
          </w:p>
        </w:tc>
        <w:tc>
          <w:tcPr/>
          <w:p>
            <w:pPr>
              <w:pStyle w:val="Compact"/>
            </w:pPr>
            <w:r>
              <w:rPr>
                <w:lang w:val="pt-PT"/>
              </w:rPr>
              <w:t xml:space="preserve">992 146 480 R.C.S. Paris — SIRET da sede: 992 146 480 00015</w:t>
            </w:r>
          </w:p>
        </w:tc>
      </w:tr>
      <w:tr>
        <w:trPr>
          <w:cantSplit/>
        </w:trPr>
        <w:tc>
          <w:tcPr/>
          <w:p>
            <w:pPr>
              <w:pStyle w:val="Compact"/>
            </w:pPr>
            <w:r>
              <w:rPr>
                <w:lang w:val="pt-PT"/>
              </w:rPr>
              <w:t xml:space="preserve">Contacto de vendas</w:t>
            </w:r>
          </w:p>
        </w:tc>
        <w:tc>
          <w:tcPr/>
          <w:p>
            <w:pPr>
              <w:pStyle w:val="Compact"/>
            </w:pPr>
            <w:hyperlink r:id="rId10">
              <w:r>
                <w:rPr>
                  <w:rStyle w:val="Hyperlink"/>
                  <w:lang w:val="pt-PT"/>
                </w:rPr>
                <w:t xml:space="preserve">contact@transcribia.eu</w:t>
              </w:r>
            </w:hyperlink>
            <w:r>
              <w:rPr>
                <w:lang w:val="pt-PT"/>
              </w:rPr>
              <w:t xml:space="preserve"> </w:t>
            </w:r>
            <w:r>
              <w:rPr>
                <w:lang w:val="pt-PT"/>
              </w:rPr>
              <w:t xml:space="preserve">(telefone: [A SER CONCLUÍDO])</w:t>
            </w:r>
          </w:p>
        </w:tc>
      </w:tr>
      <w:tr>
        <w:trPr>
          <w:cantSplit/>
        </w:trPr>
        <w:tc>
          <w:tcPr/>
          <w:p>
            <w:pPr>
              <w:pStyle w:val="Compact"/>
            </w:pPr>
            <w:r>
              <w:rPr>
                <w:lang w:val="pt-PT"/>
              </w:rPr>
              <w:t xml:space="preserve">Contacto de suporte</w:t>
            </w:r>
          </w:p>
        </w:tc>
        <w:tc>
          <w:tcPr/>
          <w:p>
            <w:pPr>
              <w:pStyle w:val="Compact"/>
            </w:pPr>
            <w:hyperlink r:id="rId11">
              <w:r>
                <w:rPr>
                  <w:rStyle w:val="Hyperlink"/>
                  <w:lang w:val="pt-PT"/>
                </w:rPr>
                <w:t xml:space="preserve">support@transcribia.eu</w:t>
              </w:r>
            </w:hyperlink>
          </w:p>
        </w:tc>
      </w:tr>
      <w:tr>
        <w:trPr>
          <w:cantSplit/>
        </w:trPr>
        <w:tc>
          <w:tcPr/>
          <w:p>
            <w:pPr>
              <w:pStyle w:val="Compact"/>
            </w:pPr>
            <w:r>
              <w:rPr>
                <w:lang w:val="pt-PT"/>
              </w:rPr>
              <w:t xml:space="preserve">Contacto de proteção de dados</w:t>
            </w:r>
          </w:p>
        </w:tc>
        <w:tc>
          <w:tcPr/>
          <w:p>
            <w:pPr>
              <w:pStyle w:val="Compact"/>
            </w:pPr>
            <w:hyperlink r:id="rId12">
              <w:r>
                <w:rPr>
                  <w:rStyle w:val="Hyperlink"/>
                  <w:lang w:val="pt-PT"/>
                </w:rPr>
                <w:t xml:space="preserve">privacy@transcribia.eu</w:t>
              </w:r>
            </w:hyperlink>
          </w:p>
        </w:tc>
      </w:tr>
    </w:tbl>
    <w:bookmarkEnd w:id="13"/>
    <w:bookmarkStart w:id="14" w:name="X13918ccd61158bc68fb2c044c7c8daaf9a87e12"/>
    <w:p>
      <w:pPr>
        <w:pStyle w:val="Heading3"/>
        <w:keepNext/>
        <w:keepLines/>
      </w:pPr>
      <w:r>
        <w:rPr>
          <w:color w:val="000000"/>
          <w:lang w:val="pt-PT"/>
        </w:rPr>
        <w:t xml:space="preserve">1.3 Definições</w:t>
      </w:r>
    </w:p>
    <w:p>
      <w:pPr>
        <w:pStyle w:val="FirstParagraph"/>
      </w:pPr>
      <w:r>
        <w:rPr>
          <w:lang w:val="pt-PT"/>
        </w:rPr>
        <w:t xml:space="preserve">Nestas Condições, os seguintes termos têm o significado que lhes é atribuído abaixo:</w:t>
      </w:r>
    </w:p>
    <w:p>
      <w:pPr>
        <w:pStyle w:val="Compact"/>
        <w:numPr>
          <w:ilvl w:val="0"/>
          <w:numId w:val="1001"/>
        </w:numPr>
      </w:pPr>
      <w:r>
        <w:rPr>
          <w:b/>
          <w:bCs/>
          <w:lang w:val="pt-PT"/>
        </w:rPr>
        <w:t xml:space="preserve">“Solução” ou “TranscribIA”: </w:t>
      </w:r>
      <w:r>
        <w:rPr>
          <w:lang w:val="pt-PT"/>
        </w:rPr>
        <w:t xml:space="preserve"/>
      </w:r>
      <w:r>
        <w:rPr>
          <w:lang w:val="pt-PT"/>
        </w:rPr>
        <w:t xml:space="preserve">plataforma de software inteligente de transcrição de áudio publicada pela OHADJA, que permite a importação de ficheiros de áudio, sua transcrição automática, diarização (segmentação por locutor), exploração assistida por inteligência artificial (correção, resumo, atas, capítulos, sugestão de identificação de locutor) e exportação de documentos.</w:t>
      </w:r>
    </w:p>
    <w:p>
      <w:pPr>
        <w:pStyle w:val="Compact"/>
        <w:numPr>
          <w:ilvl w:val="0"/>
          <w:numId w:val="1001"/>
        </w:numPr>
      </w:pPr>
      <w:r>
        <w:rPr>
          <w:b/>
          <w:bCs/>
          <w:lang w:val="pt-PT"/>
        </w:rPr>
        <w:t xml:space="preserve">“Modo SaaS” (Opção </w:t>
      </w:r>
      <w:r>
        <w:rPr>
          <w:lang w:val="pt-PT"/>
        </w:rPr>
        <w:t xml:space="preserve"/>
      </w:r>
      <w:r>
        <w:rPr>
          <w:lang w:val="pt-PT"/>
        </w:rPr>
        <w:t xml:space="preserve">A): fornecimento da Solução como um serviço online, hospedado e operado por OHADJA, acessível por assinatura.</w:t>
      </w:r>
    </w:p>
    <w:p>
      <w:pPr>
        <w:pStyle w:val="Compact"/>
        <w:numPr>
          <w:ilvl w:val="0"/>
          <w:numId w:val="1001"/>
        </w:numPr>
      </w:pPr>
      <w:r>
        <w:rPr>
          <w:b/>
          <w:bCs/>
          <w:lang w:val="pt-PT"/>
        </w:rPr>
        <w:t xml:space="preserve">“Modo On-Premise” (Opção </w:t>
      </w:r>
      <w:r>
        <w:rPr>
          <w:lang w:val="pt-PT"/>
        </w:rPr>
        <w:t xml:space="preserve">B): </w:t>
      </w:r>
      <w:r>
        <w:rPr>
          <w:lang w:val="pt-PT"/>
        </w:rPr>
        <w:t xml:space="preserve">concessão de licença de utilização da Solução implantada na infraestrutura do Cliente ou em infraestrutura por este designada.</w:t>
      </w:r>
    </w:p>
    <w:p>
      <w:pPr>
        <w:pStyle w:val="Compact"/>
        <w:numPr>
          <w:ilvl w:val="0"/>
          <w:numId w:val="1001"/>
        </w:numPr>
      </w:pPr>
      <w:r>
        <w:rPr>
          <w:b/>
          <w:bCs/>
          <w:lang w:val="pt-PT"/>
        </w:rPr>
        <w:t xml:space="preserve">“Contrato”: </w:t>
      </w:r>
      <w:r>
        <w:rPr>
          <w:lang w:val="pt-PT"/>
        </w:rPr>
        <w:t xml:space="preserve"/>
      </w:r>
      <w:r>
        <w:rPr>
          <w:lang w:val="pt-PT"/>
        </w:rPr>
        <w:t xml:space="preserve">o conjunto contratual formado pelo formulário de pedido ou orçamento aceito, estas Condições, quaisquer condições especiais e seus anexos, incluindo o Acordo de Processamento dados pessoais (doravante o “DPA”).</w:t>
      </w:r>
    </w:p>
    <w:p>
      <w:pPr>
        <w:pStyle w:val="Compact"/>
        <w:numPr>
          <w:ilvl w:val="0"/>
          <w:numId w:val="1001"/>
        </w:numPr>
      </w:pPr>
      <w:r>
        <w:rPr>
          <w:b/>
          <w:bCs/>
          <w:lang w:val="pt-PT"/>
        </w:rPr>
        <w:t xml:space="preserve">“Documentação”: </w:t>
      </w:r>
      <w:r>
        <w:rPr>
          <w:lang w:val="pt-PT"/>
        </w:rPr>
        <w:t xml:space="preserve">os </w:t>
      </w:r>
      <w:r>
        <w:rPr>
          <w:lang w:val="pt-PT"/>
        </w:rPr>
        <w:t xml:space="preserve">documentos técnicos e funcionais que descrevem a Solução e as suas condições de utilização, entregues ou disponibilizados ao Cliente.</w:t>
      </w:r>
    </w:p>
    <w:p>
      <w:pPr>
        <w:pStyle w:val="Compact"/>
        <w:numPr>
          <w:ilvl w:val="0"/>
          <w:numId w:val="1001"/>
        </w:numPr>
      </w:pPr>
      <w:r>
        <w:rPr>
          <w:b/>
          <w:bCs/>
          <w:lang w:val="pt-PT"/>
        </w:rPr>
        <w:t xml:space="preserve">“Incidente”: </w:t>
      </w:r>
      <w:r>
        <w:rPr>
          <w:lang w:val="pt-PT"/>
        </w:rPr>
        <w:t xml:space="preserve"/>
      </w:r>
      <w:r>
        <w:rPr>
          <w:lang w:val="pt-PT"/>
        </w:rPr>
        <w:t xml:space="preserve">qualquer mau funcionamento reproduzível da Solução que não esteja em conformidade com a Documentação.</w:t>
      </w:r>
    </w:p>
    <w:p>
      <w:pPr>
        <w:pStyle w:val="Compact"/>
        <w:numPr>
          <w:ilvl w:val="0"/>
          <w:numId w:val="1001"/>
        </w:numPr>
      </w:pPr>
      <w:r>
        <w:rPr>
          <w:b/>
          <w:bCs/>
          <w:lang w:val="pt-PT"/>
        </w:rPr>
        <w:t xml:space="preserve">“Manutenção Corretiva”: </w:t>
      </w:r>
      <w:r>
        <w:rPr>
          <w:lang w:val="pt-PT"/>
        </w:rPr>
        <w:t xml:space="preserve"/>
      </w:r>
      <w:r>
        <w:rPr>
          <w:lang w:val="pt-PT"/>
        </w:rPr>
        <w:t xml:space="preserve">correção de Incidentes.</w:t>
      </w:r>
    </w:p>
    <w:p>
      <w:pPr>
        <w:pStyle w:val="Compact"/>
        <w:numPr>
          <w:ilvl w:val="0"/>
          <w:numId w:val="1001"/>
        </w:numPr>
      </w:pPr>
      <w:r>
        <w:rPr>
          <w:b/>
          <w:bCs/>
          <w:lang w:val="pt-PT"/>
        </w:rPr>
        <w:t xml:space="preserve">“Manutenção evolutiva”: </w:t>
      </w:r>
      <w:r>
        <w:rPr>
          <w:lang w:val="pt-PT"/>
        </w:rPr>
        <w:t xml:space="preserve"/>
      </w:r>
      <w:r>
        <w:rPr>
          <w:lang w:val="pt-PT"/>
        </w:rPr>
        <w:t xml:space="preserve">disponibilização de novas versões, melhorias e desenvolvimentos funcionais da Solução.</w:t>
      </w:r>
    </w:p>
    <w:p>
      <w:pPr>
        <w:pStyle w:val="Compact"/>
        <w:numPr>
          <w:ilvl w:val="0"/>
          <w:numId w:val="1001"/>
        </w:numPr>
      </w:pPr>
      <w:r>
        <w:rPr>
          <w:b/>
          <w:bCs/>
          <w:lang w:val="pt-PT"/>
        </w:rPr>
        <w:t xml:space="preserve">“Atualização de segurança”: </w:t>
      </w:r>
      <w:r>
        <w:rPr>
          <w:lang w:val="pt-PT"/>
        </w:rPr>
        <w:t xml:space="preserve"/>
      </w:r>
      <w:r>
        <w:rPr>
          <w:lang w:val="pt-PT"/>
        </w:rPr>
        <w:t xml:space="preserve">a correção de vulnerabilidades que afetam a Solução ou seus componentes.</w:t>
      </w:r>
    </w:p>
    <w:p>
      <w:pPr>
        <w:pStyle w:val="Compact"/>
        <w:numPr>
          <w:ilvl w:val="0"/>
          <w:numId w:val="1001"/>
        </w:numPr>
      </w:pPr>
      <w:r>
        <w:rPr>
          <w:b/>
          <w:bCs/>
          <w:lang w:val="pt-PT"/>
        </w:rPr>
        <w:t xml:space="preserve">«Dia útil»: </w:t>
      </w:r>
      <w:r>
        <w:rPr>
          <w:lang w:val="pt-PT"/>
        </w:rPr>
        <w:t xml:space="preserve"/>
      </w:r>
      <w:r>
        <w:rPr>
          <w:lang w:val="pt-PT"/>
        </w:rPr>
        <w:t xml:space="preserve">qualquer dia da semana, com exceção dos sábados, domingos e feriados legais em França.</w:t>
      </w:r>
    </w:p>
    <w:p>
      <w:pPr>
        <w:pStyle w:val="Compact"/>
        <w:numPr>
          <w:ilvl w:val="0"/>
          <w:numId w:val="1001"/>
        </w:numPr>
      </w:pPr>
      <w:r>
        <w:rPr>
          <w:b/>
          <w:bCs/>
          <w:lang w:val="pt-PT"/>
        </w:rPr>
        <w:t xml:space="preserve">«Hora útil» </w:t>
      </w:r>
      <w:r>
        <w:rPr>
          <w:lang w:val="pt-PT"/>
        </w:rPr>
        <w:t xml:space="preserve">significa </w:t>
      </w:r>
      <w:r>
        <w:rPr>
          <w:lang w:val="pt-PT"/>
        </w:rPr>
        <w:t xml:space="preserve">qualquer hora compreendida entre as 09:00 e as 18:00 (hora da Europa Central, CET/CEST) de um Dia útil.</w:t>
      </w:r>
    </w:p>
    <w:p>
      <w:r>
        <w:pict>
          <v:rect style="width:0;height:1.5pt" o:hralign="center" o:hrstd="t" o:hr="t"/>
        </w:pict>
      </w:r>
    </w:p>
    <w:bookmarkEnd w:id="14"/>
    <w:bookmarkEnd w:id="15"/>
    <w:bookmarkStart w:id="20" w:name="article-2--modes-de-fourniture"/>
    <w:p>
      <w:pPr>
        <w:pStyle w:val="Heading2"/>
        <w:keepNext/>
        <w:keepLines/>
      </w:pPr>
      <w:r>
        <w:rPr>
          <w:color w:val="000000"/>
          <w:lang w:val="pt-PT"/>
        </w:rPr>
        <w:t xml:space="preserve">Artigo 2.º — Modos de prestação</w:t>
      </w:r>
    </w:p>
    <w:p>
      <w:pPr>
        <w:pStyle w:val="FirstParagraph"/>
      </w:pPr>
      <w:r>
        <w:rPr>
          <w:lang w:val="pt-PT"/>
        </w:rPr>
        <w:t xml:space="preserve">A Solução é oferecida em duas modalidades de fornecimento, exclusivas ou combinadas dependendo do pedido.</w:t>
      </w:r>
    </w:p>
    <w:bookmarkStart w:id="16" w:name="Xd1b37f610e12c897edc1ce61e5bef0271ea79ab"/>
    <w:p>
      <w:pPr>
        <w:pStyle w:val="Heading3"/>
        <w:keepNext/>
        <w:keepLines/>
      </w:pPr>
      <w:r>
        <w:rPr>
          <w:color w:val="000000"/>
          <w:lang w:val="pt-PT"/>
        </w:rPr>
        <w:t xml:space="preserve">2.1 Modo SaaS (Opção A) — assinatura</w:t>
      </w:r>
    </w:p>
    <w:p>
      <w:pPr>
        <w:pStyle w:val="FirstParagraph"/>
      </w:pPr>
      <w:r>
        <w:rPr>
          <w:lang w:val="pt-PT"/>
        </w:rPr>
        <w:t xml:space="preserve">Na modalidade SaaS, OHADJA disponibiliza a Solução ao Cliente sob a forma de um serviço acessível remotamente, alojado e operado por este numa infraestrutura localizada em França (ver Artigo 2.3). O Cliente subscreve uma assinatura cuja duração, âmbito (número de organizações, utilizadores, volumes de processamento) e preço são definidos no formulário de encomenda.</w:t>
      </w:r>
    </w:p>
    <w:p>
      <w:pPr>
        <w:pStyle w:val="BodyText"/>
      </w:pPr>
      <w:r>
        <w:rPr>
          <w:lang w:val="pt-PT"/>
        </w:rPr>
        <w:t xml:space="preserve">A subscrição inclui alojamento, operação de aplicações, supervisão, backups técnicos, manutenção e suporte nas condições destas Condições.</w:t>
      </w:r>
    </w:p>
    <w:bookmarkEnd w:id="16"/>
    <w:bookmarkStart w:id="17" w:name="Xfc88b1eba500b140931b7f3a307c6f84755c81f"/>
    <w:p>
      <w:pPr>
        <w:pStyle w:val="Heading3"/>
        <w:keepNext/>
        <w:keepLines/>
      </w:pPr>
      <w:r>
        <w:rPr>
          <w:color w:val="000000"/>
          <w:lang w:val="pt-PT"/>
        </w:rPr>
        <w:t xml:space="preserve">2.2 Modo local (Opção B) — licença</w:t>
      </w:r>
    </w:p>
    <w:p>
      <w:pPr>
        <w:pStyle w:val="FirstParagraph"/>
      </w:pPr>
      <w:r>
        <w:rPr>
          <w:lang w:val="pt-PT"/>
        </w:rPr>
        <w:t xml:space="preserve">Na modalidade on-premise, OHADJA concede ao Cliente uma licença de utilização da Solução, implantada na forma de containers Docker na infraestrutura do Cliente ou em infraestrutura por ele designada. A licença é concedida pela duração e âmbito definidos no formulário de pedido.</w:t>
      </w:r>
    </w:p>
    <w:p>
      <w:pPr>
        <w:pStyle w:val="BodyText"/>
      </w:pPr>
      <w:r>
        <w:rPr>
          <w:lang w:val="pt-PT"/>
        </w:rPr>
        <w:t xml:space="preserve">Na variante “isolada” (sem dependência de serviço cloud), todos os componentes da Solução funcionam na infraestrutura do Cliente, incluindo o motor de transcrição e o modelo de linguagem auto-hospedado configurado pela organização. Nenhum fluxo de saída é necessário para a operação nominal da Solução nesta variante.</w:t>
      </w:r>
    </w:p>
    <w:p>
      <w:pPr>
        <w:pStyle w:val="BodyText"/>
      </w:pPr>
      <w:r>
        <w:rPr>
          <w:lang w:val="pt-PT"/>
        </w:rPr>
        <w:t xml:space="preserve">Na modalidade on-premise, o Cliente fornece alojamento, administração de infraestrutura, segurança de rede, backups e supervisão de seu ambiente, exceto para missões de manutenção ou operação expressamente confiadas a OHADJA no formulário de pedido.</w:t>
      </w:r>
    </w:p>
    <w:bookmarkEnd w:id="17"/>
    <w:bookmarkStart w:id="18" w:name="X620cd868255f86573729856f08d4b05334ea34f"/>
    <w:p>
      <w:pPr>
        <w:pStyle w:val="Heading3"/>
        <w:keepNext/>
        <w:keepLines/>
      </w:pPr>
      <w:r>
        <w:rPr>
          <w:color w:val="000000"/>
          <w:lang w:val="pt-PT"/>
        </w:rPr>
        <w:t xml:space="preserve">2.3 Localização da alojamento (modo SaaS)</w:t>
      </w:r>
    </w:p>
    <w:p>
      <w:pPr>
        <w:pStyle w:val="FirstParagraph"/>
      </w:pPr>
      <w:r>
        <w:rPr>
          <w:lang w:val="pt-PT"/>
        </w:rPr>
        <w:t xml:space="preserve">No Modo SaaS, a Solução é hospedada em uma infraestrutura da Hostinger localizada em um data center na França (Estrasburgo). Os backups são cifrados antes da terceirização (age, X25519 + ChaCha20-Poly1305) e armazenados na União Europeia, na Scaleway (França). A cifragem do disco do sistema depende da oferta do data center; uma atualização (LUKS/gocryptfs) está planejada. As condições detalhadas de localização, subcontratação e transferências posteriores constam do DPA anexo ao Contrato.</w:t>
      </w:r>
    </w:p>
    <w:bookmarkEnd w:id="18"/>
    <w:bookmarkStart w:id="19" w:name="Xc84de25915f548014284dbc3485a2fe891f2579"/>
    <w:p>
      <w:pPr>
        <w:pStyle w:val="Heading3"/>
        <w:keepNext/>
        <w:keepLines/>
      </w:pPr>
      <w:r>
        <w:rPr>
          <w:color w:val="000000"/>
          <w:lang w:val="pt-PT"/>
        </w:rPr>
        <w:t xml:space="preserve">2.4 Distribuição e intermediários aprovados</w:t>
      </w:r>
    </w:p>
    <w:p>
      <w:pPr>
        <w:pStyle w:val="FirstParagraph"/>
      </w:pPr>
      <w:r>
        <w:rPr>
          <w:lang w:val="pt-PT"/>
        </w:rPr>
        <w:t xml:space="preserve">O Contrato poderá ser </w:t>
      </w:r>
      <w:r>
        <w:rPr>
          <w:lang w:val="pt-PT"/>
        </w:rPr>
        <w:t xml:space="preserve"/>
      </w:r>
      <w:r>
        <w:rPr>
          <w:b/>
          <w:bCs/>
          <w:lang w:val="pt-PT"/>
        </w:rPr>
        <w:t xml:space="preserve">celebrado diretamente com </w:t>
      </w:r>
      <w:r>
        <w:rPr>
          <w:lang w:val="pt-PT"/>
        </w:rPr>
        <w:t xml:space="preserve">OHADJA, editor da Solução, ou </w:t>
      </w:r>
      <w:r>
        <w:rPr>
          <w:lang w:val="pt-PT"/>
        </w:rPr>
        <w:t xml:space="preserve"/>
      </w:r>
      <w:r>
        <w:rPr>
          <w:b/>
          <w:bCs/>
          <w:lang w:val="pt-PT"/>
        </w:rPr>
        <w:t xml:space="preserve">através de um revendedor ou distribuidor autorizado, em </w:t>
      </w:r>
      <w:r>
        <w:rPr>
          <w:lang w:val="pt-PT"/>
        </w:rPr>
        <w:t xml:space="preserve">particular AMBASSADIA SARL (França e Mónaco) ou Televic Conference France.</w:t>
      </w:r>
    </w:p>
    <w:p>
      <w:pPr>
        <w:pStyle w:val="BodyText"/>
      </w:pPr>
      <w:r>
        <w:rPr>
          <w:lang w:val="pt-PT"/>
        </w:rPr>
        <w:t xml:space="preserve">O recurso a um intermediário autorizado não altera a identidade do editor da Solução nem a </w:t>
      </w:r>
      <w:r>
        <w:rPr>
          <w:lang w:val="pt-PT"/>
        </w:rPr>
        <w:t xml:space="preserve">do </w:t>
      </w:r>
      <w:r>
        <w:rPr>
          <w:b/>
          <w:bCs/>
          <w:lang w:val="pt-PT"/>
        </w:rPr>
        <w:t xml:space="preserve">subcontratante na aceção do artigo 28.º do RGPD, que continua </w:t>
      </w:r>
      <w:r>
        <w:rPr>
          <w:lang w:val="pt-PT"/>
        </w:rPr>
        <w:t xml:space="preserve">a ser a OHADJA. Os revendedores e distribuidores autorizados intervêm na comercialização, na integração com os sistemas de conferência e na relação com o cliente de primeiro nível; não tratam dados de produção por conta do Cliente, salvo missão específica expressamente acordada e enquadrada contratualmente.</w:t>
      </w:r>
    </w:p>
    <w:p>
      <w:r>
        <w:pict>
          <v:rect style="width:0;height:1.5pt" o:hralign="center" o:hrstd="t" o:hr="t"/>
        </w:pict>
      </w:r>
    </w:p>
    <w:bookmarkEnd w:id="19"/>
    <w:bookmarkEnd w:id="20"/>
    <w:bookmarkStart w:id="25" w:name="article-3--commande-et-livraison"/>
    <w:p>
      <w:pPr>
        <w:pStyle w:val="Heading2"/>
        <w:keepNext/>
        <w:keepLines/>
      </w:pPr>
      <w:r>
        <w:rPr>
          <w:color w:val="000000"/>
          <w:lang w:val="pt-PT"/>
        </w:rPr>
        <w:t xml:space="preserve">Artigo 3 – Encomenda e entrega</w:t>
      </w:r>
    </w:p>
    <w:bookmarkStart w:id="21" w:name="X43dd320c834ca055ba327dd351bd46bcfec9061"/>
    <w:p>
      <w:pPr>
        <w:pStyle w:val="Heading3"/>
        <w:keepNext/>
        <w:keepLines/>
      </w:pPr>
      <w:r>
        <w:rPr>
          <w:color w:val="000000"/>
          <w:lang w:val="pt-PT"/>
        </w:rPr>
        <w:t xml:space="preserve">3.1 Formação de pedidos</w:t>
      </w:r>
    </w:p>
    <w:p>
      <w:pPr>
        <w:pStyle w:val="FirstParagraph"/>
      </w:pPr>
      <w:r>
        <w:rPr>
          <w:lang w:val="pt-PT"/>
        </w:rPr>
        <w:t xml:space="preserve">A encomenda é constituída pela assinatura ou aceitação escrita, pelo Cliente, de uma ordem de compra ou de um orçamento emitido por OHADJA ou por um distribuidor autorizado. A cotação é válida por trinta (30) dias corridos, salvo indicação em contrário.</w:t>
      </w:r>
    </w:p>
    <w:bookmarkEnd w:id="21"/>
    <w:bookmarkStart w:id="22" w:name="X9444373bc25488c51399ba626a539feb8a1af94"/>
    <w:p>
      <w:pPr>
        <w:pStyle w:val="Heading3"/>
        <w:keepNext/>
        <w:keepLines/>
      </w:pPr>
      <w:r>
        <w:rPr>
          <w:color w:val="000000"/>
          <w:lang w:val="pt-PT"/>
        </w:rPr>
        <w:t xml:space="preserve">3.2 Entrega — modo SaaS</w:t>
      </w:r>
    </w:p>
    <w:p>
      <w:pPr>
        <w:pStyle w:val="FirstParagraph"/>
      </w:pPr>
      <w:r>
        <w:rPr>
          <w:lang w:val="pt-PT"/>
        </w:rPr>
        <w:t xml:space="preserve">Na modalidade SaaS, a entrega é realizada mediante abertura de acesso à Solução (criação da organização cliente e da conta de administrador) dentro de [A SER CONCLUÍDO: horário de abertura do serviço] a partir da validação do pedido e, quando aplicável, recebimento do primeiro prazo de assinatura.</w:t>
      </w:r>
    </w:p>
    <w:bookmarkEnd w:id="22"/>
    <w:bookmarkStart w:id="23" w:name="X89462a0379b7571981a99a0a103e8c222066ded"/>
    <w:p>
      <w:pPr>
        <w:pStyle w:val="Heading3"/>
        <w:keepNext/>
        <w:keepLines/>
      </w:pPr>
      <w:r>
        <w:rPr>
          <w:color w:val="000000"/>
          <w:lang w:val="pt-PT"/>
        </w:rPr>
        <w:t xml:space="preserve">3.3 Entrega — Modo local</w:t>
      </w:r>
    </w:p>
    <w:p>
      <w:pPr>
        <w:pStyle w:val="FirstParagraph"/>
      </w:pPr>
      <w:r>
        <w:rPr>
          <w:lang w:val="pt-PT"/>
        </w:rPr>
        <w:t xml:space="preserve">No modo local, a entrega é obtida através do fornecimento de imagens de software, documentação de implementação e chaves de licença. A instalação na infraestrutura do Cliente está sujeita, quando aplicável, a um serviço de implementação separado definido no formulário de encomenda. Os parâmetros de endereçamento, VLAN e integração com a infraestrutura do Cliente são estabelecidos em conjunto com as equipas técnicas do Cliente durante a fase de implementação.</w:t>
      </w:r>
    </w:p>
    <w:bookmarkEnd w:id="23"/>
    <w:bookmarkStart w:id="24" w:name="X31405e772d2f048c2f0b7fa20199b409cfb8474"/>
    <w:p>
      <w:pPr>
        <w:pStyle w:val="Heading3"/>
        <w:keepNext/>
        <w:keepLines/>
      </w:pPr>
      <w:r>
        <w:rPr>
          <w:color w:val="000000"/>
          <w:lang w:val="pt-PT"/>
        </w:rPr>
        <w:t xml:space="preserve">3.4 Reversibilidade da aceitação</w:t>
      </w:r>
    </w:p>
    <w:p>
      <w:pPr>
        <w:pStyle w:val="FirstParagraph"/>
      </w:pPr>
      <w:r>
        <w:rPr>
          <w:lang w:val="pt-PT"/>
        </w:rPr>
        <w:t xml:space="preserve">Com exceção do procedimento de aceitação expressamente previsto no formulário de encomenda, a Solução é considerada conforme e aceite na ausência de uma reserva escrita e fundamentada do Cliente dentro de [A SER CONCLUÍDA: prazo de aceitação, por ex. 15 dias úteis] a partir da entrega.</w:t>
      </w:r>
    </w:p>
    <w:p>
      <w:r>
        <w:pict>
          <v:rect style="width:0;height:1.5pt" o:hralign="center" o:hrstd="t" o:hr="t"/>
        </w:pict>
      </w:r>
    </w:p>
    <w:bookmarkEnd w:id="24"/>
    <w:bookmarkEnd w:id="25"/>
    <w:bookmarkStart w:id="30" w:name="article-4--conditions-financières"/>
    <w:p>
      <w:pPr>
        <w:pStyle w:val="Heading2"/>
        <w:keepNext/>
        <w:keepLines/>
      </w:pPr>
      <w:r>
        <w:rPr>
          <w:color w:val="000000"/>
          <w:lang w:val="pt-PT"/>
        </w:rPr>
        <w:t xml:space="preserve">Artigo 4.º — Condições financeiras</w:t>
      </w:r>
    </w:p>
    <w:bookmarkStart w:id="26" w:name="X7a65ee48142714814faf1fac0c74cda3d7b89fc"/>
    <w:p>
      <w:pPr>
        <w:pStyle w:val="Heading3"/>
        <w:keepNext/>
        <w:keepLines/>
      </w:pPr>
      <w:r>
        <w:rPr>
          <w:color w:val="000000"/>
          <w:lang w:val="pt-PT"/>
        </w:rPr>
        <w:t xml:space="preserve">4.1 Preço</w:t>
      </w:r>
    </w:p>
    <w:p>
      <w:pPr>
        <w:pStyle w:val="FirstParagraph"/>
      </w:pPr>
      <w:r>
        <w:rPr>
          <w:lang w:val="pt-PT"/>
        </w:rPr>
        <w:t xml:space="preserve">Os preços são os que aparecem no formulário de pedido ou no orçamento aceito. São expressos em euros e não incluem impostos, sendo o imposto sobre o valor acrescentado e qualquer imposto aplicável adicional à taxa em vigor.</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pt-PT"/>
              </w:rPr>
              <w:t xml:space="preserve">Elemento tarifário</w:t>
            </w:r>
          </w:p>
        </w:tc>
        <w:tc>
          <w:tcPr/>
          <w:p>
            <w:pPr>
              <w:pStyle w:val="Compact"/>
            </w:pPr>
            <w:r>
              <w:rPr>
                <w:lang w:val="pt-PT"/>
              </w:rPr>
              <w:t xml:space="preserve">Base</w:t>
            </w:r>
          </w:p>
        </w:tc>
        <w:tc>
          <w:tcPr/>
          <w:p>
            <w:pPr>
              <w:pStyle w:val="Compact"/>
            </w:pPr>
            <w:r>
              <w:rPr>
                <w:lang w:val="pt-PT"/>
              </w:rPr>
              <w:t xml:space="preserve">Quantidade</w:t>
            </w:r>
          </w:p>
        </w:tc>
      </w:tr>
      <w:tr>
        <w:trPr>
          <w:cantSplit/>
        </w:trPr>
        <w:tc>
          <w:tcPr/>
          <w:p>
            <w:pPr>
              <w:pStyle w:val="Compact"/>
            </w:pPr>
            <w:r>
              <w:rPr>
                <w:lang w:val="pt-PT"/>
              </w:rPr>
              <w:t xml:space="preserve">Assinatura SaaS (Opção A)</w:t>
            </w:r>
          </w:p>
        </w:tc>
        <w:tc>
          <w:tcPr/>
          <w:p>
            <w:pPr>
              <w:pStyle w:val="Compact"/>
            </w:pPr>
            <w:r>
              <w:rPr>
                <w:lang w:val="pt-PT"/>
              </w:rPr>
              <w:t xml:space="preserve">Por [A SER CONCLUÍDO: unidade — organização/utilizador/nível de volume] e por período</w:t>
            </w:r>
          </w:p>
        </w:tc>
        <w:tc>
          <w:tcPr/>
          <w:p>
            <w:pPr>
              <w:pStyle w:val="Compact"/>
            </w:pPr>
            <w:r>
              <w:rPr>
                <w:lang w:val="pt-PT"/>
              </w:rPr>
              <w:t xml:space="preserve">[A SER CONCLUÍDO: valor]</w:t>
            </w:r>
          </w:p>
        </w:tc>
      </w:tr>
      <w:tr>
        <w:trPr>
          <w:cantSplit/>
        </w:trPr>
        <w:tc>
          <w:tcPr/>
          <w:p>
            <w:pPr>
              <w:pStyle w:val="Compact"/>
            </w:pPr>
            <w:r>
              <w:rPr>
                <w:lang w:val="pt-PT"/>
              </w:rPr>
              <w:t xml:space="preserve">Licença local (opção B)</w:t>
            </w:r>
          </w:p>
        </w:tc>
        <w:tc>
          <w:tcPr/>
          <w:p>
            <w:pPr>
              <w:pStyle w:val="Compact"/>
            </w:pPr>
            <w:r>
              <w:rPr>
                <w:lang w:val="pt-PT"/>
              </w:rPr>
              <w:t xml:space="preserve">Por [A SER CONCLUÍDO: unidade de licença]</w:t>
            </w:r>
          </w:p>
        </w:tc>
        <w:tc>
          <w:tcPr/>
          <w:p>
            <w:pPr>
              <w:pStyle w:val="Compact"/>
            </w:pPr>
            <w:r>
              <w:rPr>
                <w:lang w:val="pt-PT"/>
              </w:rPr>
              <w:t xml:space="preserve">[A SER CONCLUÍDO: valor]</w:t>
            </w:r>
          </w:p>
        </w:tc>
      </w:tr>
      <w:tr>
        <w:trPr>
          <w:cantSplit/>
        </w:trPr>
        <w:tc>
          <w:tcPr/>
          <w:p>
            <w:pPr>
              <w:pStyle w:val="Compact"/>
            </w:pPr>
            <w:r>
              <w:rPr>
                <w:lang w:val="pt-PT"/>
              </w:rPr>
              <w:t xml:space="preserve">Manutenção e suporte (Opção B)</w:t>
            </w:r>
          </w:p>
        </w:tc>
        <w:tc>
          <w:tcPr/>
          <w:p>
            <w:pPr>
              <w:pStyle w:val="Compact"/>
            </w:pPr>
            <w:r>
              <w:rPr>
                <w:lang w:val="pt-PT"/>
              </w:rPr>
              <w:t xml:space="preserve">Porcentagem anual do preço da licença ou pacote</w:t>
            </w:r>
          </w:p>
        </w:tc>
        <w:tc>
          <w:tcPr/>
          <w:p>
            <w:pPr>
              <w:pStyle w:val="Compact"/>
            </w:pPr>
            <w:r>
              <w:rPr>
                <w:lang w:val="pt-PT"/>
              </w:rPr>
              <w:t xml:space="preserve">[A SER CONCLUÍDO: valor ou taxa]</w:t>
            </w:r>
          </w:p>
        </w:tc>
      </w:tr>
      <w:tr>
        <w:trPr>
          <w:cantSplit/>
        </w:trPr>
        <w:tc>
          <w:tcPr/>
          <w:p>
            <w:pPr>
              <w:pStyle w:val="Compact"/>
            </w:pPr>
            <w:r>
              <w:rPr>
                <w:lang w:val="pt-PT"/>
              </w:rPr>
              <w:t xml:space="preserve">Serviço de implementação</w:t>
            </w:r>
          </w:p>
        </w:tc>
        <w:tc>
          <w:tcPr/>
          <w:p>
            <w:pPr>
              <w:pStyle w:val="Compact"/>
            </w:pPr>
            <w:r>
              <w:rPr>
                <w:lang w:val="pt-PT"/>
              </w:rPr>
              <w:t xml:space="preserve">Pacote ou gerenciamento</w:t>
            </w:r>
          </w:p>
        </w:tc>
        <w:tc>
          <w:tcPr/>
          <w:p>
            <w:pPr>
              <w:pStyle w:val="Compact"/>
            </w:pPr>
            <w:r>
              <w:rPr>
                <w:lang w:val="pt-PT"/>
              </w:rPr>
              <w:t xml:space="preserve">[A SER CONCLUÍDO: valor]</w:t>
            </w:r>
          </w:p>
        </w:tc>
      </w:tr>
      <w:tr>
        <w:trPr>
          <w:cantSplit/>
        </w:trPr>
        <w:tc>
          <w:tcPr/>
          <w:p>
            <w:pPr>
              <w:pStyle w:val="Compact"/>
            </w:pPr>
            <w:r>
              <w:rPr>
                <w:lang w:val="pt-PT"/>
              </w:rPr>
              <w:t xml:space="preserve">Serviços adicionais</w:t>
            </w:r>
          </w:p>
        </w:tc>
        <w:tc>
          <w:tcPr/>
          <w:p>
            <w:pPr>
              <w:pStyle w:val="Compact"/>
            </w:pPr>
            <w:r>
              <w:rPr>
                <w:lang w:val="pt-PT"/>
              </w:rPr>
              <w:t xml:space="preserve">Na cotação</w:t>
            </w:r>
          </w:p>
        </w:tc>
        <w:tc>
          <w:tcPr/>
          <w:p>
            <w:pPr>
              <w:pStyle w:val="Compact"/>
            </w:pPr>
            <w:r>
              <w:rPr>
                <w:lang w:val="pt-PT"/>
              </w:rPr>
              <w:t xml:space="preserve">[A SER CONCLUÍDO: condições]</w:t>
            </w:r>
          </w:p>
        </w:tc>
      </w:tr>
    </w:tbl>
    <w:bookmarkEnd w:id="26"/>
    <w:bookmarkStart w:id="27" w:name="Xe7b3bd34afd2c74c6f4a3fa06951ef874be78c8"/>
    <w:p>
      <w:pPr>
        <w:pStyle w:val="Heading3"/>
        <w:keepNext/>
        <w:keepLines/>
      </w:pPr>
      <w:r>
        <w:rPr>
          <w:color w:val="000000"/>
          <w:lang w:val="pt-PT"/>
        </w:rPr>
        <w:t xml:space="preserve">4.2 Faturamento e pagamento</w:t>
      </w:r>
    </w:p>
    <w:p>
      <w:pPr>
        <w:pStyle w:val="FirstParagraph"/>
      </w:pPr>
      <w:r>
        <w:rPr>
          <w:lang w:val="pt-PT"/>
        </w:rPr>
        <w:t xml:space="preserve">Em modo SaaS, a subscrição é faturada [A PREENCHER: periodicidade — mensal / trimestral / anual], com pagamento [A PREENCHER: antecipado / no final do período]. Em modo de instalação local, a licença é faturada na entrega e a manutenção anual no vencimento de cada período.</w:t>
      </w:r>
    </w:p>
    <w:p>
      <w:pPr>
        <w:pStyle w:val="BodyText"/>
      </w:pPr>
      <w:r>
        <w:rPr>
          <w:lang w:val="pt-PT"/>
        </w:rPr>
        <w:t xml:space="preserve">As faturas são pagáveis em [A CONCLUIR: prazo de pagamento, no limite legal de 60 dias a contar da data de emissão, ou 45 dias no final do mês] até [A CONCLUIR: meio de pagamento].</w:t>
      </w:r>
    </w:p>
    <w:bookmarkEnd w:id="27"/>
    <w:bookmarkStart w:id="28" w:name="Xb8a5ed9c1ea1f71a52285cc681b69a2726474fe"/>
    <w:p>
      <w:pPr>
        <w:pStyle w:val="Heading3"/>
        <w:keepNext/>
        <w:keepLines/>
      </w:pPr>
      <w:r>
        <w:rPr>
          <w:color w:val="000000"/>
          <w:lang w:val="pt-PT"/>
        </w:rPr>
        <w:t xml:space="preserve">4.3 Atraso no pagamento</w:t>
      </w:r>
    </w:p>
    <w:p>
      <w:pPr>
        <w:pStyle w:val="FirstParagraph"/>
      </w:pPr>
      <w:r>
        <w:rPr>
          <w:lang w:val="pt-PT"/>
        </w:rPr>
        <w:t xml:space="preserve">Qualquer atraso no pagamento implica automaticamente, sem aviso prévio, a aplicação de multas por mora calculadas à taxa prevista no artigo L. 441-10 do Código Comercial, bem como uma compensação fixa pelos custos de recuperação de quarenta (40) euros. OHADJA reserva-se o direito de suspender o acesso à Solução após notificação formal permanecer sem efeito por [A SER CONCLUÍDO: prazo].</w:t>
      </w:r>
    </w:p>
    <w:bookmarkEnd w:id="28"/>
    <w:bookmarkStart w:id="29" w:name="X6a36c543605d00afebbb6192ce2c488e6ea045a"/>
    <w:p>
      <w:pPr>
        <w:pStyle w:val="Heading3"/>
        <w:keepNext/>
        <w:keepLines/>
      </w:pPr>
      <w:r>
        <w:rPr>
          <w:color w:val="000000"/>
          <w:lang w:val="pt-PT"/>
        </w:rPr>
        <w:t xml:space="preserve">4.4 Revisão de preços</w:t>
      </w:r>
    </w:p>
    <w:p>
      <w:pPr>
        <w:pStyle w:val="FirstParagraph"/>
      </w:pPr>
      <w:r>
        <w:rPr>
          <w:lang w:val="pt-PT"/>
        </w:rPr>
        <w:t xml:space="preserve">Os preços poderão ser revistos a cada renovação, mediante notificação por escrito de [A SER CONCLUÍDA: aviso, ex. 3 meses] antes do vencimento.</w:t>
      </w:r>
    </w:p>
    <w:p>
      <w:r>
        <w:pict>
          <v:rect style="width:0;height:1.5pt" o:hralign="center" o:hrstd="t" o:hr="t"/>
        </w:pict>
      </w:r>
    </w:p>
    <w:bookmarkEnd w:id="29"/>
    <w:bookmarkEnd w:id="30"/>
    <w:bookmarkStart w:id="35" w:name="Xe0854fd2a66c567a99cd1c0db0f3fadceac7b5a"/>
    <w:p>
      <w:pPr>
        <w:pStyle w:val="Heading2"/>
        <w:keepNext/>
        <w:keepLines/>
      </w:pPr>
      <w:r>
        <w:rPr>
          <w:color w:val="000000"/>
          <w:lang w:val="pt-PT"/>
        </w:rPr>
        <w:t xml:space="preserve">Artigo 5.º — Duração, renovação e extinção</w:t>
      </w:r>
    </w:p>
    <w:bookmarkStart w:id="31" w:name="X49652cce112a73bae82357e686fc2e76f2b7d01"/>
    <w:p>
      <w:pPr>
        <w:pStyle w:val="Heading3"/>
        <w:keepNext/>
        <w:keepLines/>
      </w:pPr>
      <w:r>
        <w:rPr>
          <w:color w:val="000000"/>
          <w:lang w:val="pt-PT"/>
        </w:rPr>
        <w:t xml:space="preserve">5.1 Duração</w:t>
      </w:r>
    </w:p>
    <w:p>
      <w:pPr>
        <w:pStyle w:val="FirstParagraph"/>
      </w:pPr>
      <w:r>
        <w:rPr>
          <w:lang w:val="pt-PT"/>
        </w:rPr>
        <w:t xml:space="preserve">O Contrato é celebrado pela duração indicada na nota de encomenda. Na falta de indicação, a duração inicial é de [A PREENCHER: duração inicial, p. ex. 12 meses] a contar da entrega.</w:t>
      </w:r>
    </w:p>
    <w:bookmarkEnd w:id="31"/>
    <w:bookmarkStart w:id="32" w:name="X5ed32690737873463fea37eb4ccd0f9fe212862"/>
    <w:p>
      <w:pPr>
        <w:pStyle w:val="Heading3"/>
        <w:keepNext/>
        <w:keepLines/>
      </w:pPr>
      <w:r>
        <w:rPr>
          <w:color w:val="000000"/>
          <w:lang w:val="pt-PT"/>
        </w:rPr>
        <w:t xml:space="preserve">5.2 Renovação</w:t>
      </w:r>
    </w:p>
    <w:p>
      <w:pPr>
        <w:pStyle w:val="FirstParagraph"/>
      </w:pPr>
      <w:r>
        <w:rPr>
          <w:lang w:val="pt-PT"/>
        </w:rPr>
        <w:t xml:space="preserve">O Contrato é renovado por acordo tácito por períodos sucessivos de [A SER CONCLUÍDO: período de renovação], a menos que seja rescindido por uma das Partes dirigida por escrito à outra mediante notificação de [A SER CONCLUÍDA: aviso, por ex. 3 meses] antes do prazo atual.</w:t>
      </w:r>
    </w:p>
    <w:bookmarkEnd w:id="32"/>
    <w:bookmarkStart w:id="33" w:name="X16661962c17eae5ab6db1bdfa24b9b48cc90354"/>
    <w:p>
      <w:pPr>
        <w:pStyle w:val="Heading3"/>
        <w:keepNext/>
        <w:keepLines/>
      </w:pPr>
      <w:r>
        <w:rPr>
          <w:color w:val="000000"/>
          <w:lang w:val="pt-PT"/>
        </w:rPr>
        <w:t xml:space="preserve">5.3 Rescisão por violação</w:t>
      </w:r>
    </w:p>
    <w:p>
      <w:pPr>
        <w:pStyle w:val="FirstParagraph"/>
      </w:pPr>
      <w:r>
        <w:rPr>
          <w:lang w:val="pt-PT"/>
        </w:rPr>
        <w:t xml:space="preserve">Em caso de incumprimento grave por uma das Partes das suas obrigações, não sanado no prazo de trinta (30) dias de calendário após o envio de notificação formal escrita e fundamentada e que permaneça sem efeito, a outra Parte poderá rescindir o Contrato de pleno direito, sem prejuízo de quaisquer danos e juros devidos.</w:t>
      </w:r>
    </w:p>
    <w:bookmarkEnd w:id="33"/>
    <w:bookmarkStart w:id="34" w:name="Xe28ef8c5ae32ef1523fbf33ecb47c747365dd77"/>
    <w:p>
      <w:pPr>
        <w:pStyle w:val="Heading3"/>
        <w:keepNext/>
        <w:keepLines/>
      </w:pPr>
      <w:r>
        <w:rPr>
          <w:color w:val="000000"/>
          <w:lang w:val="pt-PT"/>
        </w:rPr>
        <w:t xml:space="preserve">5.4 Efeitos da rescisão</w:t>
      </w:r>
    </w:p>
    <w:p>
      <w:pPr>
        <w:pStyle w:val="FirstParagraph"/>
      </w:pPr>
      <w:r>
        <w:rPr>
          <w:lang w:val="pt-PT"/>
        </w:rPr>
        <w:t xml:space="preserve">A rescisão implica a cessação do direito de utilização da Solução e concretiza as operações de reversibilidade previstas no artigo 12.º. As importâncias devidas pelos serviços já prestados permanecem adquiridas pela OHADJA.</w:t>
      </w:r>
    </w:p>
    <w:p>
      <w:r>
        <w:pict>
          <v:rect style="width:0;height:1.5pt" o:hralign="center" o:hrstd="t" o:hr="t"/>
        </w:pict>
      </w:r>
    </w:p>
    <w:bookmarkEnd w:id="34"/>
    <w:bookmarkEnd w:id="35"/>
    <w:bookmarkStart w:id="41" w:name="article-6--maintenance-et-support"/>
    <w:p>
      <w:pPr>
        <w:pStyle w:val="Heading2"/>
        <w:keepNext/>
        <w:keepLines/>
      </w:pPr>
      <w:r>
        <w:rPr>
          <w:color w:val="000000"/>
          <w:lang w:val="pt-PT"/>
        </w:rPr>
        <w:t xml:space="preserve">Artigo 6.º — Manutenção e suporte</w:t>
      </w:r>
    </w:p>
    <w:bookmarkStart w:id="36" w:name="X673e57832d50283a4fef64c8f5fdd984604e394"/>
    <w:p>
      <w:pPr>
        <w:pStyle w:val="Heading3"/>
        <w:keepNext/>
        <w:keepLines/>
      </w:pPr>
      <w:r>
        <w:rPr>
          <w:color w:val="000000"/>
          <w:lang w:val="pt-PT"/>
        </w:rPr>
        <w:t xml:space="preserve">6.1 Âmbito da manutenção</w:t>
      </w:r>
    </w:p>
    <w:p>
      <w:pPr>
        <w:pStyle w:val="FirstParagraph"/>
      </w:pPr>
      <w:r>
        <w:rPr>
          <w:lang w:val="pt-PT"/>
        </w:rPr>
        <w:t xml:space="preserve">Durante a vigência do Contrato, e sujeito ao pagamento das importâncias devidas, OHADJA presta os seguintes serviços de manutenção:</w:t>
      </w:r>
    </w:p>
    <w:p>
      <w:pPr>
        <w:pStyle w:val="Compact"/>
        <w:numPr>
          <w:ilvl w:val="0"/>
          <w:numId w:val="1002"/>
        </w:numPr>
      </w:pPr>
      <w:r>
        <w:rPr>
          <w:b/>
          <w:bCs/>
          <w:lang w:val="pt-PT"/>
        </w:rPr>
        <w:t xml:space="preserve">Manutenção corretiva: </w:t>
      </w:r>
      <w:r>
        <w:rPr>
          <w:lang w:val="pt-PT"/>
        </w:rPr>
        <w:t xml:space="preserve"/>
      </w:r>
      <w:r>
        <w:rPr>
          <w:lang w:val="pt-PT"/>
        </w:rPr>
        <w:t xml:space="preserve">diagnóstico e correção de Incidentes que afetem a Solução, nas condições previstas no Artigo 6.4.</w:t>
      </w:r>
    </w:p>
    <w:p>
      <w:pPr>
        <w:pStyle w:val="Compact"/>
        <w:numPr>
          <w:ilvl w:val="0"/>
          <w:numId w:val="1002"/>
        </w:numPr>
      </w:pPr>
      <w:r>
        <w:rPr>
          <w:b/>
          <w:bCs/>
          <w:lang w:val="pt-PT"/>
        </w:rPr>
        <w:t xml:space="preserve">Manutenção evolutiva: </w:t>
      </w:r>
      <w:r>
        <w:rPr>
          <w:lang w:val="pt-PT"/>
        </w:rPr>
        <w:t xml:space="preserve"/>
      </w:r>
      <w:r>
        <w:rPr>
          <w:lang w:val="pt-PT"/>
        </w:rPr>
        <w:t xml:space="preserve">disponibilização de novas versões e melhorias funcionais da Solução publicada por OHADJA, sem custos adicionais quando incluídas na oferta subscrita.</w:t>
      </w:r>
    </w:p>
    <w:p>
      <w:pPr>
        <w:pStyle w:val="Compact"/>
        <w:numPr>
          <w:ilvl w:val="0"/>
          <w:numId w:val="1002"/>
        </w:numPr>
      </w:pPr>
      <w:r>
        <w:rPr>
          <w:b/>
          <w:bCs/>
          <w:lang w:val="pt-PT"/>
        </w:rPr>
        <w:t xml:space="preserve">Atualizações de segurança: </w:t>
      </w:r>
      <w:r>
        <w:rPr>
          <w:lang w:val="pt-PT"/>
        </w:rPr>
        <w:t xml:space="preserve"/>
      </w:r>
      <w:r>
        <w:rPr>
          <w:lang w:val="pt-PT"/>
        </w:rPr>
        <w:t xml:space="preserve">correção de vulnerabilidades que afetam a Solução e seus componentes, priorizadas de acordo com sua criticidade, explorabilidade e exposição.</w:t>
      </w:r>
    </w:p>
    <w:p>
      <w:pPr>
        <w:pStyle w:val="FirstParagraph"/>
      </w:pPr>
      <w:r>
        <w:rPr>
          <w:lang w:val="pt-PT"/>
        </w:rPr>
        <w:t xml:space="preserve">No modo SaaS, as atualizações são implantadas por OHADJA no ambiente de produção. Na modalidade on-premise são disponibilizados ao Cliente, cabendo-lhe proceder à sua efetiva implementação, salvo missão de implementação confiada a OHADJA no formulário de encomenda.</w:t>
      </w:r>
    </w:p>
    <w:bookmarkEnd w:id="36"/>
    <w:bookmarkStart w:id="37" w:name="X830b4979545a185e94eae7fcd8132e3f317db9a"/>
    <w:p>
      <w:pPr>
        <w:pStyle w:val="Heading3"/>
        <w:keepNext/>
        <w:keepLines/>
      </w:pPr>
      <w:r>
        <w:rPr>
          <w:color w:val="000000"/>
          <w:lang w:val="pt-PT"/>
        </w:rPr>
        <w:t xml:space="preserve">6.2 Exclusões de manutenção</w:t>
      </w:r>
    </w:p>
    <w:p>
      <w:pPr>
        <w:pStyle w:val="FirstParagraph"/>
      </w:pPr>
      <w:r>
        <w:rPr>
          <w:lang w:val="pt-PT"/>
        </w:rPr>
        <w:t xml:space="preserve">A manutenção não cobre avarias resultantes de: utilização não conforme com a Documentação; uma modificação da Solução não autorizada por OHADJA; um defeito na infraestrutura, rede, estações de trabalho ou software de terceiros do Cliente (no modo local); um caso de força maior; ou a não implementação, por parte do Cliente, das atualizações que lhe são disponibilizadas.</w:t>
      </w:r>
    </w:p>
    <w:bookmarkEnd w:id="37"/>
    <w:bookmarkStart w:id="38" w:name="Xb2f5fdc13a273b96bb93f053d53153c9f893f46"/>
    <w:p>
      <w:pPr>
        <w:pStyle w:val="Heading3"/>
        <w:keepNext/>
        <w:keepLines/>
      </w:pPr>
      <w:r>
        <w:rPr>
          <w:color w:val="000000"/>
          <w:lang w:val="pt-PT"/>
        </w:rPr>
        <w:t xml:space="preserve">6.3 Canais e Horários de Suporte</w:t>
      </w:r>
    </w:p>
    <w:p>
      <w:pPr>
        <w:pStyle w:val="FirstParagraph"/>
      </w:pPr>
      <w:r>
        <w:rPr>
          <w:lang w:val="pt-PT"/>
        </w:rPr>
        <w:t xml:space="preserve">O suporte técnico pode ser contatado por e-mail em </w:t>
      </w:r>
      <w:r>
        <w:rPr>
          <w:lang w:val="pt-PT"/>
        </w:rPr>
        <w:t xml:space="preserve"/>
      </w:r>
      <w:hyperlink r:id="rId11">
        <w:r>
          <w:rPr>
            <w:rStyle w:val="Hyperlink"/>
            <w:lang w:val="pt-PT"/>
          </w:rPr>
          <w:t xml:space="preserve">support@transcribia.eu</w:t>
        </w:r>
      </w:hyperlink>
      <w:r>
        <w:rPr>
          <w:lang w:val="pt-PT"/>
        </w:rPr>
        <w:t xml:space="preserve">. As solicitações são processadas em dias úteis, durante o horário comercial (das 9h00 às 18h00, horário da Europa Central). As solicitações recebidas fora deste período serão consideradas recebidas na abertura do próximo Dia Útil.</w:t>
      </w:r>
    </w:p>
    <w:bookmarkEnd w:id="38"/>
    <w:bookmarkStart w:id="39" w:name="X8ca21d31bc85988755cd74a428742f0a4c91a7d"/>
    <w:p>
      <w:pPr>
        <w:pStyle w:val="Heading3"/>
        <w:keepNext/>
        <w:keepLines/>
      </w:pPr>
      <w:r>
        <w:rPr>
          <w:color w:val="000000"/>
          <w:lang w:val="pt-PT"/>
        </w:rPr>
        <w:t xml:space="preserve">6.4 Compromissos de início de atendimento (garantia de tempo de intervenção)</w:t>
      </w:r>
    </w:p>
    <w:p>
      <w:pPr>
        <w:pStyle w:val="FirstParagraph"/>
      </w:pPr>
      <w:r>
        <w:rPr>
          <w:lang w:val="pt-PT"/>
        </w:rPr>
        <w:t xml:space="preserve">A OHADJA propõe os seguintes </w:t>
      </w:r>
      <w:r>
        <w:rPr>
          <w:lang w:val="pt-PT"/>
        </w:rPr>
        <w:t xml:space="preserve"/>
      </w:r>
      <w:r>
        <w:rPr>
          <w:b/>
          <w:bCs/>
          <w:lang w:val="pt-PT"/>
        </w:rPr>
        <w:t xml:space="preserve">compromissos de </w:t>
      </w:r>
      <w:r>
        <w:rPr>
          <w:lang w:val="pt-PT"/>
        </w:rPr>
        <w:t xml:space="preserve">início </w:t>
      </w:r>
      <w:r>
        <w:rPr>
          <w:lang w:val="pt-PT"/>
        </w:rPr>
        <w:t xml:space="preserve">de atendimento (garantia de tempo de intervenção, GTI), contados em Horas ou Dias Úteis a partir da receção do pedido qualificado pelo Cliente:</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pt-PT"/>
              </w:rPr>
              <w:t xml:space="preserve">Nível de gravidade</w:t>
            </w:r>
          </w:p>
        </w:tc>
        <w:tc>
          <w:tcPr/>
          <w:p>
            <w:pPr>
              <w:pStyle w:val="Compact"/>
            </w:pPr>
            <w:r>
              <w:rPr>
                <w:lang w:val="pt-PT"/>
              </w:rPr>
              <w:t xml:space="preserve">Descrição</w:t>
            </w:r>
          </w:p>
        </w:tc>
        <w:tc>
          <w:tcPr/>
          <w:p>
            <w:pPr>
              <w:pStyle w:val="Compact"/>
            </w:pPr>
            <w:r>
              <w:rPr>
                <w:lang w:val="pt-PT"/>
              </w:rPr>
              <w:t xml:space="preserve">Prazo de início de atendimento proposto</w:t>
            </w:r>
          </w:p>
        </w:tc>
      </w:tr>
      <w:tr>
        <w:trPr>
          <w:cantSplit/>
        </w:trPr>
        <w:tc>
          <w:tcPr/>
          <w:p>
            <w:pPr>
              <w:pStyle w:val="Compact"/>
            </w:pPr>
            <w:r>
              <w:rPr>
                <w:lang w:val="pt-PT"/>
              </w:rPr>
              <w:t xml:space="preserve">Bloqueio</w:t>
            </w:r>
          </w:p>
        </w:tc>
        <w:tc>
          <w:tcPr/>
          <w:p>
            <w:pPr>
              <w:pStyle w:val="Compact"/>
            </w:pPr>
            <w:r>
              <w:rPr>
                <w:lang w:val="pt-PT"/>
              </w:rPr>
              <w:t xml:space="preserve">A solução está inutilizável ou uma função essencial está completamente indisponível, sem solução alternativa</w:t>
            </w:r>
          </w:p>
        </w:tc>
        <w:tc>
          <w:tcPr/>
          <w:p>
            <w:pPr>
              <w:pStyle w:val="Compact"/>
            </w:pPr>
            <w:r>
              <w:rPr>
                <w:lang w:val="pt-PT"/>
              </w:rPr>
              <w:t xml:space="preserve">4 horas de trabalho</w:t>
            </w:r>
          </w:p>
        </w:tc>
      </w:tr>
      <w:tr>
        <w:trPr>
          <w:cantSplit/>
        </w:trPr>
        <w:tc>
          <w:tcPr/>
          <w:p>
            <w:pPr>
              <w:pStyle w:val="Compact"/>
            </w:pPr>
            <w:r>
              <w:rPr>
                <w:lang w:val="pt-PT"/>
              </w:rPr>
              <w:t xml:space="preserve">Principal</w:t>
            </w:r>
          </w:p>
        </w:tc>
        <w:tc>
          <w:tcPr/>
          <w:p>
            <w:pPr>
              <w:pStyle w:val="Compact"/>
            </w:pPr>
            <w:r>
              <w:rPr>
                <w:lang w:val="pt-PT"/>
              </w:rPr>
              <w:t xml:space="preserve">Uma função importante está degradada ou indisponível, com possível solução alternativa</w:t>
            </w:r>
          </w:p>
        </w:tc>
        <w:tc>
          <w:tcPr/>
          <w:p>
            <w:pPr>
              <w:pStyle w:val="Compact"/>
            </w:pPr>
            <w:r>
              <w:rPr>
                <w:lang w:val="pt-PT"/>
              </w:rPr>
              <w:t xml:space="preserve">1 dia útil</w:t>
            </w:r>
          </w:p>
        </w:tc>
      </w:tr>
      <w:tr>
        <w:trPr>
          <w:cantSplit/>
        </w:trPr>
        <w:tc>
          <w:tcPr/>
          <w:p>
            <w:pPr>
              <w:pStyle w:val="Compact"/>
            </w:pPr>
            <w:r>
              <w:rPr>
                <w:lang w:val="pt-PT"/>
              </w:rPr>
              <w:t xml:space="preserve">Menor</w:t>
            </w:r>
          </w:p>
        </w:tc>
        <w:tc>
          <w:tcPr/>
          <w:p>
            <w:pPr>
              <w:pStyle w:val="Compact"/>
            </w:pPr>
            <w:r>
              <w:rPr>
                <w:lang w:val="pt-PT"/>
              </w:rPr>
              <w:t xml:space="preserve">Anomalia sem impacto significativo nas operações, solicitação de informação ou desenvolvimento</w:t>
            </w:r>
          </w:p>
        </w:tc>
        <w:tc>
          <w:tcPr/>
          <w:p>
            <w:pPr>
              <w:pStyle w:val="Compact"/>
            </w:pPr>
            <w:r>
              <w:rPr>
                <w:lang w:val="pt-PT"/>
              </w:rPr>
              <w:t xml:space="preserve">Tratamento de melhor esforço</w:t>
            </w:r>
          </w:p>
        </w:tc>
      </w:tr>
    </w:tbl>
    <w:p>
      <w:pPr>
        <w:pStyle w:val="BodyText"/>
      </w:pPr>
      <w:r>
        <w:rPr>
          <w:i/>
          <w:iCs/>
          <w:lang w:val="pt-PT"/>
        </w:rPr>
        <w:t xml:space="preserve">[Proposta padrão — a ajustar comercialmente.] </w:t>
      </w:r>
      <w:r>
        <w:rPr>
          <w:lang w:val="pt-PT"/>
        </w:rPr>
        <w:t xml:space="preserve"/>
      </w:r>
      <w:r>
        <w:rPr>
          <w:lang w:val="pt-PT"/>
        </w:rPr>
        <w:t xml:space="preserve">Os compromissos acima dizem respeito ao prazo </w:t>
      </w:r>
      <w:r>
        <w:rPr>
          <w:lang w:val="pt-PT"/>
        </w:rPr>
        <w:t xml:space="preserve"/>
      </w:r>
      <w:r>
        <w:rPr>
          <w:b/>
          <w:bCs/>
          <w:lang w:val="pt-PT"/>
        </w:rPr>
        <w:t xml:space="preserve">de início de </w:t>
      </w:r>
      <w:r>
        <w:rPr>
          <w:lang w:val="pt-PT"/>
        </w:rPr>
        <w:t xml:space="preserve"/>
      </w:r>
      <w:r>
        <w:rPr>
          <w:lang w:val="pt-PT"/>
        </w:rPr>
        <w:t xml:space="preserve">atendimento do pedido (confirmação de receção qualificada e início do diagnóstico), e não a um prazo garantido de resolução, que depende da natureza e complexidade do Incidente. A classificação da gravidade é realizada pela OHADJA em articulação com o Cliente, com base em elementos objetivos.</w:t>
      </w:r>
    </w:p>
    <w:bookmarkEnd w:id="39"/>
    <w:bookmarkStart w:id="40" w:name="Xcd695a3a3eea8e699acc22ae062ec58b1732093"/>
    <w:p>
      <w:pPr>
        <w:pStyle w:val="Heading3"/>
        <w:keepNext/>
        <w:keepLines/>
      </w:pPr>
      <w:r>
        <w:rPr>
          <w:color w:val="000000"/>
          <w:lang w:val="pt-PT"/>
        </w:rPr>
        <w:t xml:space="preserve">6.5 Objetivos operacionais e disponibilidade</w:t>
      </w:r>
    </w:p>
    <w:p>
      <w:pPr>
        <w:pStyle w:val="FirstParagraph"/>
      </w:pPr>
      <w:r>
        <w:rPr>
          <w:lang w:val="pt-PT"/>
        </w:rPr>
        <w:t xml:space="preserve">No Modo SaaS, OHADJA implementa meios razoáveis para garantir a disponibilidade e continuidade da Solução: supervisão, retomada automática de processamento bloqueado, separação de componentes, backups.</w:t>
      </w:r>
    </w:p>
    <w:p>
      <w:pPr>
        <w:pStyle w:val="BodyText"/>
      </w:pPr>
      <w:r>
        <w:rPr>
          <w:lang w:val="pt-PT"/>
        </w:rPr>
        <w:t xml:space="preserve">Os objetivos operacionais aplicáveis ao plano de continuidade são: </w:t>
      </w:r>
      <w:r>
        <w:rPr>
          <w:lang w:val="pt-PT"/>
        </w:rPr>
        <w:t xml:space="preserve"/>
      </w:r>
      <w:r>
        <w:rPr>
          <w:b/>
          <w:bCs/>
          <w:lang w:val="pt-PT"/>
        </w:rPr>
        <w:t xml:space="preserve">objetivo de ponto de recuperação (RPO) de 24 </w:t>
      </w:r>
      <w:r>
        <w:rPr>
          <w:lang w:val="pt-PT"/>
        </w:rPr>
        <w:t xml:space="preserve"/>
      </w:r>
      <w:r>
        <w:rPr>
          <w:lang w:val="pt-PT"/>
        </w:rPr>
        <w:t xml:space="preserve">horas </w:t>
      </w:r>
      <w:r>
        <w:rPr>
          <w:lang w:val="pt-PT"/>
        </w:rPr>
        <w:t xml:space="preserve"/>
      </w:r>
      <w:r>
        <w:rPr>
          <w:b/>
          <w:bCs/>
          <w:lang w:val="pt-PT"/>
        </w:rPr>
        <w:t xml:space="preserve">e objetivo de tempo de recuperação (RTO) de 4 horas. </w:t>
      </w:r>
      <w:r>
        <w:rPr>
          <w:lang w:val="pt-PT"/>
        </w:rPr>
        <w:t xml:space="preserve">Estes valores constituem objetivos operacionais destinados a enquadrar planos de continuidade, e não compromissos contratuais de resultados.</w:t>
      </w:r>
    </w:p>
    <w:p>
      <w:pPr>
        <w:pStyle w:val="BodyText"/>
      </w:pPr>
      <w:r>
        <w:rPr>
          <w:b/>
          <w:bCs/>
          <w:lang w:val="pt-PT"/>
        </w:rPr>
        <w:t xml:space="preserve">Compromisso de disponibilidade contratual: [A SER DEFINIDO comercialmente]. </w:t>
      </w:r>
      <w:r>
        <w:rPr>
          <w:lang w:val="pt-PT"/>
        </w:rPr>
        <w:t xml:space="preserve"/>
      </w:r>
      <w:r>
        <w:rPr>
          <w:lang w:val="pt-PT"/>
        </w:rPr>
        <w:t xml:space="preserve">Nenhuma taxa de disponibilidade garantida está estipulada nestas Condições; tal compromisso, se acordado, será objeto de um anexo de nível de serviço (SLA) separado do pedido de compra.</w:t>
      </w:r>
    </w:p>
    <w:p>
      <w:r>
        <w:pict>
          <v:rect style="width:0;height:1.5pt" o:hralign="center" o:hrstd="t" o:hr="t"/>
        </w:pict>
      </w:r>
    </w:p>
    <w:bookmarkEnd w:id="40"/>
    <w:bookmarkEnd w:id="41"/>
    <w:bookmarkStart w:id="42" w:name="article-7--obligations-du-client"/>
    <w:p>
      <w:pPr>
        <w:pStyle w:val="Heading2"/>
        <w:keepNext/>
        <w:keepLines/>
      </w:pPr>
      <w:r>
        <w:rPr>
          <w:color w:val="000000"/>
          <w:lang w:val="pt-PT"/>
        </w:rPr>
        <w:t xml:space="preserve">Artigo 7 — Obrigações do Cliente</w:t>
      </w:r>
    </w:p>
    <w:p>
      <w:pPr>
        <w:pStyle w:val="FirstParagraph"/>
      </w:pPr>
      <w:r>
        <w:rPr>
          <w:lang w:val="pt-PT"/>
        </w:rPr>
        <w:t xml:space="preserve">O Cliente compromete-se a:</w:t>
      </w:r>
    </w:p>
    <w:p>
      <w:pPr>
        <w:pStyle w:val="Compact"/>
        <w:numPr>
          <w:ilvl w:val="0"/>
          <w:numId w:val="1003"/>
        </w:numPr>
      </w:pPr>
      <w:r>
        <w:rPr>
          <w:lang w:val="pt-PT"/>
        </w:rPr>
        <w:t xml:space="preserve">utilizar a Solução de acordo com a Documentação, estas Condições e a regulamentação aplicável;</w:t>
      </w:r>
    </w:p>
    <w:p>
      <w:pPr>
        <w:pStyle w:val="Compact"/>
        <w:numPr>
          <w:ilvl w:val="0"/>
          <w:numId w:val="1003"/>
        </w:numPr>
      </w:pPr>
      <w:r>
        <w:rPr>
          <w:lang w:val="pt-PT"/>
        </w:rPr>
        <w:t xml:space="preserve">designar um contacto autorizado para relações contratuais, técnicas e de suporte;</w:t>
      </w:r>
    </w:p>
    <w:p>
      <w:pPr>
        <w:pStyle w:val="Compact"/>
        <w:numPr>
          <w:ilvl w:val="0"/>
          <w:numId w:val="1003"/>
        </w:numPr>
      </w:pPr>
      <w:r>
        <w:rPr>
          <w:lang w:val="pt-PT"/>
        </w:rPr>
        <w:t xml:space="preserve">gerenciar seus próprios utilizadores, atribuição de funções e proteção de meios de autenticação e excluir contas obsoletas;</w:t>
      </w:r>
    </w:p>
    <w:p>
      <w:pPr>
        <w:pStyle w:val="Compact"/>
        <w:numPr>
          <w:ilvl w:val="0"/>
          <w:numId w:val="1003"/>
        </w:numPr>
      </w:pPr>
      <w:r>
        <w:rPr>
          <w:lang w:val="pt-PT"/>
        </w:rPr>
        <w:t xml:space="preserve">carregar apenas conteúdos sobre os quais detém os direitos necessários e determinar o tratamento realizado através da Solução;</w:t>
      </w:r>
    </w:p>
    <w:p>
      <w:pPr>
        <w:pStyle w:val="Compact"/>
        <w:numPr>
          <w:ilvl w:val="0"/>
          <w:numId w:val="1003"/>
        </w:numPr>
      </w:pPr>
      <w:r>
        <w:rPr>
          <w:lang w:val="pt-PT"/>
        </w:rPr>
        <w:t xml:space="preserve">na qualidade de responsável pelo tratamento, determinar as finalidades, bases jurídicas, prazos de conservação e assegurar a informação das pessoas interessadas (ver artigo 11.º);</w:t>
      </w:r>
    </w:p>
    <w:p>
      <w:pPr>
        <w:pStyle w:val="Compact"/>
        <w:numPr>
          <w:ilvl w:val="0"/>
          <w:numId w:val="1003"/>
        </w:numPr>
      </w:pPr>
      <w:r>
        <w:rPr>
          <w:lang w:val="pt-PT"/>
        </w:rPr>
        <w:t xml:space="preserve">na modalidade on-premise, garantir alojamento, administração, segurança, backups e supervisão de seu ambiente, bem como a implementação de atualizações que lhe sejam disponibilizadas;</w:t>
      </w:r>
    </w:p>
    <w:p>
      <w:pPr>
        <w:pStyle w:val="Compact"/>
        <w:numPr>
          <w:ilvl w:val="0"/>
          <w:numId w:val="1003"/>
        </w:numPr>
      </w:pPr>
      <w:r>
        <w:rPr>
          <w:lang w:val="pt-PT"/>
        </w:rPr>
        <w:t xml:space="preserve">pagar os valores devidos nas datas de vencimento acordadas.</w:t>
      </w:r>
    </w:p>
    <w:p>
      <w:r>
        <w:pict>
          <v:rect style="width:0;height:1.5pt" o:hralign="center" o:hrstd="t" o:hr="t"/>
        </w:pict>
      </w:r>
    </w:p>
    <w:bookmarkEnd w:id="42"/>
    <w:bookmarkStart w:id="46" w:name="article-8--propriété-intellectuelle"/>
    <w:p>
      <w:pPr>
        <w:pStyle w:val="Heading2"/>
        <w:keepNext/>
        <w:keepLines/>
      </w:pPr>
      <w:r>
        <w:rPr>
          <w:color w:val="000000"/>
          <w:lang w:val="pt-PT"/>
        </w:rPr>
        <w:t xml:space="preserve">Artigo 8.º — Propriedade intelectual</w:t>
      </w:r>
    </w:p>
    <w:bookmarkStart w:id="43" w:name="Xdb6c9f18f52406e0a3aeb8932bb1097c849f525"/>
    <w:p>
      <w:pPr>
        <w:pStyle w:val="Heading3"/>
        <w:keepNext/>
        <w:keepLines/>
      </w:pPr>
      <w:r>
        <w:rPr>
          <w:color w:val="000000"/>
          <w:lang w:val="pt-PT"/>
        </w:rPr>
        <w:t xml:space="preserve">8.1 Propriedade</w:t>
      </w:r>
    </w:p>
    <w:p>
      <w:pPr>
        <w:pStyle w:val="FirstParagraph"/>
      </w:pPr>
      <w:r>
        <w:rPr>
          <w:lang w:val="pt-PT"/>
        </w:rPr>
        <w:t xml:space="preserve">A Solução, seus componentes de software, seu código-fonte, suas interfaces, sua Documentação e todos os direitos de propriedade intelectual relacionados permanecem propriedade exclusiva de OHADJA ou de seus licenciadores. Estas Condições não implicam qualquer </w:t>
      </w:r>
      <w:r>
        <w:rPr>
          <w:lang w:val="pt-PT"/>
        </w:rPr>
        <w:t xml:space="preserve"/>
      </w:r>
      <w:r>
        <w:rPr>
          <w:b/>
          <w:bCs/>
          <w:lang w:val="pt-PT"/>
        </w:rPr>
        <w:t xml:space="preserve">transferência de </w:t>
      </w:r>
      <w:r>
        <w:rPr>
          <w:lang w:val="pt-PT"/>
        </w:rPr>
        <w:t xml:space="preserve"/>
      </w:r>
      <w:r>
        <w:rPr>
          <w:lang w:val="pt-PT"/>
        </w:rPr>
        <w:t xml:space="preserve">direitos de propriedade intelectual em benefício do Cliente.</w:t>
      </w:r>
    </w:p>
    <w:bookmarkEnd w:id="43"/>
    <w:bookmarkStart w:id="44" w:name="X23e72cf2dfa34ed7f0b7cccaffd4dea4d0da1dc"/>
    <w:p>
      <w:pPr>
        <w:pStyle w:val="Heading3"/>
        <w:keepNext/>
        <w:keepLines/>
      </w:pPr>
      <w:r>
        <w:rPr>
          <w:color w:val="000000"/>
          <w:lang w:val="pt-PT"/>
        </w:rPr>
        <w:t xml:space="preserve">8.2 Licença de utilizador</w:t>
      </w:r>
    </w:p>
    <w:p>
      <w:pPr>
        <w:pStyle w:val="FirstParagraph"/>
      </w:pPr>
      <w:r>
        <w:rPr>
          <w:lang w:val="pt-PT"/>
        </w:rPr>
        <w:t xml:space="preserve">A OHADJA concede ao Cliente, durante a vigência do Contrato, um direito de utilização da Solução não exclusivo, não cedível e intransmissível, limitado às necessidades internas do Cliente e ao âmbito definido na nota de encomenda. O Cliente não pode copiar, descompilar (salvo nos casos de interoperabilidade legalmente autorizados), modificar, adaptar, distribuir ou disponibilizar a terceiros a Solução, no todo ou em parte, para além dos direitos expressamente concedidos.</w:t>
      </w:r>
    </w:p>
    <w:bookmarkEnd w:id="44"/>
    <w:bookmarkStart w:id="45" w:name="X7543e65181d4e5fb2ed4e9ea316659a0c55d9fe"/>
    <w:p>
      <w:pPr>
        <w:pStyle w:val="Heading3"/>
        <w:keepNext/>
        <w:keepLines/>
      </w:pPr>
      <w:r>
        <w:rPr>
          <w:color w:val="000000"/>
          <w:lang w:val="pt-PT"/>
        </w:rPr>
        <w:t xml:space="preserve">8.3 Dados e conteúdo do cliente</w:t>
      </w:r>
    </w:p>
    <w:p>
      <w:pPr>
        <w:pStyle w:val="FirstParagraph"/>
      </w:pPr>
      <w:r>
        <w:rPr>
          <w:lang w:val="pt-PT"/>
        </w:rPr>
        <w:t xml:space="preserve">Os dados, ficheiros e conteúdos carregados ou produzidos pelo Cliente usando a Solução permanecem propriedade do Cliente ou dos titulares dos direitos em questão. OHADJA não adquire quaisquer direitos sobre este conteúdo, exceto o direito de processá-lo exclusivamente para fins de prestação do Serviço e sob instruções do Cliente, nas condições da DPA.</w:t>
      </w:r>
    </w:p>
    <w:p>
      <w:r>
        <w:pict>
          <v:rect style="width:0;height:1.5pt" o:hralign="center" o:hrstd="t" o:hr="t"/>
        </w:pict>
      </w:r>
    </w:p>
    <w:bookmarkEnd w:id="45"/>
    <w:bookmarkEnd w:id="46"/>
    <w:bookmarkStart w:id="50" w:name="article-9--garanties-et-responsabilité"/>
    <w:p>
      <w:pPr>
        <w:pStyle w:val="Heading2"/>
        <w:keepNext/>
        <w:keepLines/>
      </w:pPr>
      <w:r>
        <w:rPr>
          <w:color w:val="000000"/>
          <w:lang w:val="pt-PT"/>
        </w:rPr>
        <w:t xml:space="preserve">Artigo 9.º — Garantias e responsabilidade</w:t>
      </w:r>
    </w:p>
    <w:bookmarkStart w:id="47" w:name="X0b8e400bf6a0a70396db777e88e8d798a868c12"/>
    <w:p>
      <w:pPr>
        <w:pStyle w:val="Heading3"/>
        <w:keepNext/>
        <w:keepLines/>
      </w:pPr>
      <w:r>
        <w:rPr>
          <w:color w:val="000000"/>
          <w:lang w:val="pt-PT"/>
        </w:rPr>
        <w:t xml:space="preserve">9.1 Garantia de conformidade</w:t>
      </w:r>
    </w:p>
    <w:p>
      <w:pPr>
        <w:pStyle w:val="FirstParagraph"/>
      </w:pPr>
      <w:r>
        <w:rPr>
          <w:lang w:val="pt-PT"/>
        </w:rPr>
        <w:t xml:space="preserve">OHADJA garante que a Solução está substancialmente em conformidade com a Documentação. Esta garantia é exercida através de manutenção corretiva (artigo 6º). Não se aplica a avarias abrangidas pelas exclusões do Artigo 6.2.</w:t>
      </w:r>
    </w:p>
    <w:p>
      <w:pPr>
        <w:pStyle w:val="BodyText"/>
      </w:pPr>
      <w:r>
        <w:rPr>
          <w:lang w:val="pt-PT"/>
        </w:rPr>
        <w:t xml:space="preserve">A Solução é fornecida no estado da arte; OHADJA não garante que a transcrição automática e o processamento assistido por inteligência artificial estejam livres de erros. Os resultados produzidos pela inteligência artificial constituem sugestões, que devem ser sujeitas a validação humana por parte do Cliente antes de qualquer utilização (ver também Artigo 11).</w:t>
      </w:r>
    </w:p>
    <w:bookmarkEnd w:id="47"/>
    <w:bookmarkStart w:id="48" w:name="X0ad58a635193231982d26b1a55fb3177fe222b4"/>
    <w:p>
      <w:pPr>
        <w:pStyle w:val="Heading3"/>
        <w:keepNext/>
        <w:keepLines/>
      </w:pPr>
      <w:r>
        <w:rPr>
          <w:color w:val="000000"/>
          <w:lang w:val="pt-PT"/>
        </w:rPr>
        <w:t xml:space="preserve">9.2 Responsabilidade</w:t>
      </w:r>
    </w:p>
    <w:p>
      <w:pPr>
        <w:pStyle w:val="FirstParagraph"/>
      </w:pPr>
      <w:r>
        <w:rPr>
          <w:lang w:val="pt-PT"/>
        </w:rPr>
        <w:t xml:space="preserve">Cada Parte é responsável pelos danos diretos causados à outra devido a uma violação comprovada das suas obrigações contratuais.</w:t>
      </w:r>
    </w:p>
    <w:p>
      <w:pPr>
        <w:pStyle w:val="BodyText"/>
      </w:pPr>
      <w:r>
        <w:rPr>
          <w:lang w:val="pt-PT"/>
        </w:rPr>
        <w:t xml:space="preserve">A responsabilidade global de OHADJA, todos os danos e todas as causas combinadas, nos termos do Contrato, é </w:t>
      </w:r>
      <w:r>
        <w:rPr>
          <w:lang w:val="pt-PT"/>
        </w:rPr>
        <w:t xml:space="preserve">limitada </w:t>
      </w:r>
      <w:r>
        <w:rPr>
          <w:b/>
          <w:bCs/>
          <w:lang w:val="pt-PT"/>
        </w:rPr>
        <w:t xml:space="preserve">a [A SER CONCLUÍDO: limite de responsabilidade, por ex. valor das quantias pagas pelo Cliente nos doze (12) meses anteriores ao </w:t>
      </w:r>
      <w:r>
        <w:rPr>
          <w:lang w:val="pt-PT"/>
        </w:rPr>
        <w:t xml:space="preserve">evento].</w:t>
      </w:r>
    </w:p>
    <w:p>
      <w:pPr>
        <w:pStyle w:val="BodyText"/>
      </w:pPr>
      <w:r>
        <w:rPr>
          <w:lang w:val="pt-PT"/>
        </w:rPr>
        <w:t xml:space="preserve">Estão excluídos de qualquer indemnização os danos indiretos, nomeadamente: perda operacional, perda de volume de negócios, perda de dados não imputável a violação do OHADJA, perda de clientes, danos de imagem ou danos comerciais.</w:t>
      </w:r>
    </w:p>
    <w:bookmarkEnd w:id="48"/>
    <w:bookmarkStart w:id="49" w:name="X1ab4bdd050dbff59b5dd52c5ce452ee2ff9286c"/>
    <w:p>
      <w:pPr>
        <w:pStyle w:val="Heading3"/>
        <w:keepNext/>
        <w:keepLines/>
      </w:pPr>
      <w:r>
        <w:rPr>
          <w:color w:val="000000"/>
          <w:lang w:val="pt-PT"/>
        </w:rPr>
        <w:t xml:space="preserve">9.3 Exclusões de Teto</w:t>
      </w:r>
    </w:p>
    <w:p>
      <w:pPr>
        <w:pStyle w:val="FirstParagraph"/>
      </w:pPr>
      <w:r>
        <w:rPr>
          <w:lang w:val="pt-PT"/>
        </w:rPr>
        <w:t xml:space="preserve">Os limites e exclusões do Artigo 9.2 não se aplicam em casos de fraude, negligência grave, violação da obrigação de confidencialidade, violação de direitos de propriedade intelectual, ou nos casos em que a lei proíba tal limitação.</w:t>
      </w:r>
    </w:p>
    <w:p>
      <w:r>
        <w:pict>
          <v:rect style="width:0;height:1.5pt" o:hralign="center" o:hrstd="t" o:hr="t"/>
        </w:pict>
      </w:r>
    </w:p>
    <w:bookmarkEnd w:id="49"/>
    <w:bookmarkEnd w:id="50"/>
    <w:bookmarkStart w:id="51" w:name="article-10--confidentialité"/>
    <w:p>
      <w:pPr>
        <w:pStyle w:val="Heading2"/>
        <w:keepNext/>
        <w:keepLines/>
      </w:pPr>
      <w:r>
        <w:rPr>
          <w:color w:val="000000"/>
          <w:lang w:val="pt-PT"/>
        </w:rPr>
        <w:t xml:space="preserve">Artigo 10.º — Confidencialidade</w:t>
      </w:r>
    </w:p>
    <w:p>
      <w:pPr>
        <w:pStyle w:val="FirstParagraph"/>
      </w:pPr>
      <w:r>
        <w:rPr>
          <w:lang w:val="pt-PT"/>
        </w:rPr>
        <w:t xml:space="preserve">Cada Parte compromete-se a manter a confidencialidade das informações não públicas da outra Parte às quais acede no âmbito do Contrato, a utilizá-las apenas para a execução do Contrato e a não divulgá-las a terceiros sem autorização por escrito, exceto conforme exigido por lei.</w:t>
      </w:r>
    </w:p>
    <w:p>
      <w:pPr>
        <w:pStyle w:val="BodyText"/>
      </w:pPr>
      <w:r>
        <w:rPr>
          <w:lang w:val="pt-PT"/>
        </w:rPr>
        <w:t xml:space="preserve">Esta obrigação aplica-se durante toda a duração do Contrato e subsiste por [A SER CONCLUÍDA: duração, por ex. 5 anos] a partir do seu fim. Não são abrangidas informações públicas, informações já conhecidas da Parte Receptora sem obrigação de confidencialidade ou informações desenvolvidas de forma independente.</w:t>
      </w:r>
    </w:p>
    <w:p>
      <w:pPr>
        <w:pStyle w:val="BodyText"/>
      </w:pPr>
      <w:r>
        <w:rPr>
          <w:lang w:val="pt-PT"/>
        </w:rPr>
        <w:t xml:space="preserve">As obrigações relativas a dados pessoais são regidas pelo artigo 11.º e pelo DPA, que prevalecem sobre este artigo no que lhes diz respeito.</w:t>
      </w:r>
    </w:p>
    <w:p>
      <w:r>
        <w:pict>
          <v:rect style="width:0;height:1.5pt" o:hralign="center" o:hrstd="t" o:hr="t"/>
        </w:pict>
      </w:r>
    </w:p>
    <w:bookmarkEnd w:id="51"/>
    <w:bookmarkStart w:id="52" w:name="X77a4dab9227de10d97e2d40aab3b65bdd005a15"/>
    <w:p>
      <w:pPr>
        <w:pStyle w:val="Heading2"/>
        <w:keepNext/>
        <w:keepLines/>
      </w:pPr>
      <w:r>
        <w:rPr>
          <w:color w:val="000000"/>
          <w:lang w:val="pt-PT"/>
        </w:rPr>
        <w:t xml:space="preserve">Artigo 11 – Dados pessoais</w:t>
      </w:r>
    </w:p>
    <w:p>
      <w:pPr>
        <w:pStyle w:val="FirstParagraph"/>
      </w:pPr>
      <w:r>
        <w:rPr>
          <w:lang w:val="pt-PT"/>
        </w:rPr>
        <w:t xml:space="preserve">No âmbito do fornecimento da Solução, a OHADJA atua na qualidade de </w:t>
      </w:r>
      <w:r>
        <w:rPr>
          <w:lang w:val="pt-PT"/>
        </w:rPr>
        <w:t xml:space="preserve"/>
      </w:r>
      <w:r>
        <w:rPr>
          <w:b/>
          <w:bCs/>
          <w:lang w:val="pt-PT"/>
        </w:rPr>
        <w:t xml:space="preserve">subcontratante na </w:t>
      </w:r>
      <w:r>
        <w:rPr>
          <w:lang w:val="pt-PT"/>
        </w:rPr>
        <w:t xml:space="preserve"/>
      </w:r>
      <w:r>
        <w:rPr>
          <w:lang w:val="pt-PT"/>
        </w:rPr>
        <w:t xml:space="preserve">aceção do artigo 28.º do Regulamento (UE) 2016/679 (RGPD), e o Cliente atua na qualidade de </w:t>
      </w:r>
      <w:r>
        <w:rPr>
          <w:lang w:val="pt-PT"/>
        </w:rPr>
        <w:t xml:space="preserve"/>
      </w:r>
      <w:r>
        <w:rPr>
          <w:b/>
          <w:bCs/>
          <w:lang w:val="pt-PT"/>
        </w:rPr>
        <w:t xml:space="preserve">responsável pelo </w:t>
      </w:r>
      <w:r>
        <w:rPr>
          <w:lang w:val="pt-PT"/>
        </w:rPr>
        <w:t xml:space="preserve">tratamento.</w:t>
      </w:r>
    </w:p>
    <w:p>
      <w:pPr>
        <w:pStyle w:val="BodyText"/>
      </w:pPr>
      <w:r>
        <w:rPr>
          <w:lang w:val="pt-PT"/>
        </w:rPr>
        <w:t xml:space="preserve">As condições de processamento de dados pessoais — instruções documentadas, confidencialidade, medidas técnicas e organizacionais (artigo 32), uso de subcontratantes ulteriores, transferências, notificação de violações, assistência no exercício de direitos, auditoria, restituição e exclusão — são regidas </w:t>
      </w:r>
      <w:r>
        <w:rPr>
          <w:b/>
          <w:bCs/>
          <w:lang w:val="pt-PT"/>
        </w:rPr>
        <w:t xml:space="preserve">pelo Acordo de Processamento dados pessoais (DPA, Artigo 28 RGPD) anexado </w:t>
      </w:r>
      <w:r>
        <w:rPr>
          <w:lang w:val="pt-PT"/>
        </w:rPr>
        <w:t xml:space="preserve"/>
      </w:r>
      <w:r>
        <w:rPr>
          <w:lang w:val="pt-PT"/>
        </w:rPr>
        <w:t xml:space="preserve">ao Contrato, que dele faz parte integrante.</w:t>
      </w:r>
    </w:p>
    <w:p>
      <w:pPr>
        <w:pStyle w:val="BodyText"/>
      </w:pPr>
      <w:r>
        <w:rPr>
          <w:lang w:val="pt-PT"/>
        </w:rPr>
        <w:t xml:space="preserve">Em caso de contradição entre estas Condições e o DPA relativo à proteção de dados pessoais, prevalecem as estipulações do DPA.</w:t>
      </w:r>
    </w:p>
    <w:p>
      <w:pPr>
        <w:pStyle w:val="BodyText"/>
      </w:pPr>
      <w:r>
        <w:rPr>
          <w:lang w:val="pt-PT"/>
        </w:rPr>
        <w:t xml:space="preserve">O Cliente continua a ser responsável pela licitude do tratamento, pela determinação das finalidades e bases jurídicas, pela informação das pessoas interessadas, pela gestão dos seus direitos e, quando aplicável, pela realização de uma análise de impacto relativa à proteção de dados (artigo 35 RGPD).</w:t>
      </w:r>
    </w:p>
    <w:p>
      <w:r>
        <w:pict>
          <v:rect style="width:0;height:1.5pt" o:hralign="center" o:hrstd="t" o:hr="t"/>
        </w:pict>
      </w:r>
    </w:p>
    <w:bookmarkEnd w:id="52"/>
    <w:bookmarkStart w:id="53" w:name="article-12--réversibilité"/>
    <w:p>
      <w:pPr>
        <w:pStyle w:val="Heading2"/>
        <w:keepNext/>
        <w:keepLines/>
      </w:pPr>
      <w:r>
        <w:rPr>
          <w:color w:val="000000"/>
          <w:lang w:val="pt-PT"/>
        </w:rPr>
        <w:t xml:space="preserve">Artigo 12.º — Reversibilidade</w:t>
      </w:r>
    </w:p>
    <w:p>
      <w:pPr>
        <w:pStyle w:val="FirstParagraph"/>
      </w:pPr>
      <w:r>
        <w:rPr>
          <w:lang w:val="pt-PT"/>
        </w:rPr>
        <w:t xml:space="preserve">No final do Contrato, seja qual for a causa, OHADJA implementa as operações de reversibilidade previstas </w:t>
      </w:r>
      <w:r>
        <w:rPr>
          <w:lang w:val="pt-PT"/>
        </w:rPr>
        <w:t xml:space="preserve"/>
      </w:r>
      <w:r>
        <w:rPr>
          <w:b/>
          <w:bCs/>
          <w:lang w:val="pt-PT"/>
        </w:rPr>
        <w:t xml:space="preserve">no n.º 11 do </w:t>
      </w:r>
      <w:r>
        <w:rPr>
          <w:lang w:val="pt-PT"/>
        </w:rPr>
        <w:t xml:space="preserve"/>
      </w:r>
      <w:r>
        <w:rPr>
          <w:lang w:val="pt-PT"/>
        </w:rPr>
        <w:t xml:space="preserve">DPA:</w:t>
      </w:r>
    </w:p>
    <w:p>
      <w:pPr>
        <w:pStyle w:val="Compact"/>
        <w:numPr>
          <w:ilvl w:val="0"/>
          <w:numId w:val="1004"/>
        </w:numPr>
      </w:pPr>
      <w:r>
        <w:rPr>
          <w:b/>
          <w:bCs/>
          <w:lang w:val="pt-PT"/>
        </w:rPr>
        <w:t xml:space="preserve">Restituição: </w:t>
      </w:r>
      <w:r>
        <w:rPr>
          <w:lang w:val="pt-PT"/>
        </w:rPr>
        <w:t xml:space="preserve"/>
      </w:r>
      <w:r>
        <w:rPr>
          <w:lang w:val="pt-PT"/>
        </w:rPr>
        <w:t xml:space="preserve">disponibilização ao Cliente de dados exportáveis em formato padrão disponível na Solução (exportação completa por organização, assinada). O Cliente também pode realizar esta exportação self-service da Solução antes da data final.</w:t>
      </w:r>
    </w:p>
    <w:p>
      <w:pPr>
        <w:pStyle w:val="Compact"/>
        <w:numPr>
          <w:ilvl w:val="0"/>
          <w:numId w:val="1004"/>
        </w:numPr>
      </w:pPr>
      <w:r>
        <w:rPr>
          <w:b/>
          <w:bCs/>
          <w:lang w:val="pt-PT"/>
        </w:rPr>
        <w:t xml:space="preserve">Exclusão: </w:t>
      </w:r>
      <w:r>
        <w:rPr>
          <w:lang w:val="pt-PT"/>
        </w:rPr>
        <w:t xml:space="preserve"/>
      </w:r>
      <w:r>
        <w:rPr>
          <w:lang w:val="pt-PT"/>
        </w:rPr>
        <w:t xml:space="preserve">exclusão dos dados de produção do Cliente no prazo máximo de </w:t>
      </w:r>
      <w:r>
        <w:rPr>
          <w:lang w:val="pt-PT"/>
        </w:rPr>
        <w:t xml:space="preserve"/>
      </w:r>
      <w:r>
        <w:rPr>
          <w:b/>
          <w:bCs/>
          <w:lang w:val="pt-PT"/>
        </w:rPr>
        <w:t xml:space="preserve">trinta (30) dias corridos </w:t>
      </w:r>
      <w:r>
        <w:rPr>
          <w:lang w:val="pt-PT"/>
        </w:rPr>
        <w:t xml:space="preserve"/>
      </w:r>
      <w:r>
        <w:rPr>
          <w:lang w:val="pt-PT"/>
        </w:rPr>
        <w:t xml:space="preserve">após o término efetivo do Contrato ou recebimento da instrução de exclusão por escrito, o que ocorrer depois.</w:t>
      </w:r>
    </w:p>
    <w:p>
      <w:pPr>
        <w:pStyle w:val="Compact"/>
        <w:numPr>
          <w:ilvl w:val="0"/>
          <w:numId w:val="1004"/>
        </w:numPr>
      </w:pPr>
      <w:r>
        <w:rPr>
          <w:b/>
          <w:bCs/>
          <w:lang w:val="pt-PT"/>
        </w:rPr>
        <w:t xml:space="preserve">Expurga de backups: </w:t>
      </w:r>
      <w:r>
        <w:rPr>
          <w:lang w:val="pt-PT"/>
        </w:rPr>
        <w:t xml:space="preserve"/>
      </w:r>
      <w:r>
        <w:rPr>
          <w:lang w:val="pt-PT"/>
        </w:rPr>
        <w:t xml:space="preserve">eliminação de backups técnicos residuais de acordo com seu ciclo normal de rotação, no prazo </w:t>
      </w:r>
      <w:r>
        <w:rPr>
          <w:lang w:val="pt-PT"/>
        </w:rPr>
        <w:t xml:space="preserve"/>
      </w:r>
      <w:r>
        <w:rPr>
          <w:b/>
          <w:bCs/>
          <w:lang w:val="pt-PT"/>
        </w:rPr>
        <w:t xml:space="preserve">máximo de 90 (noventa) dias </w:t>
      </w:r>
      <w:r>
        <w:rPr>
          <w:lang w:val="pt-PT"/>
        </w:rPr>
        <w:t xml:space="preserve">corridos.</w:t>
      </w:r>
    </w:p>
    <w:p>
      <w:pPr>
        <w:pStyle w:val="Compact"/>
        <w:numPr>
          <w:ilvl w:val="0"/>
          <w:numId w:val="1004"/>
        </w:numPr>
      </w:pPr>
      <w:r>
        <w:rPr>
          <w:b/>
          <w:bCs/>
          <w:lang w:val="pt-PT"/>
        </w:rPr>
        <w:t xml:space="preserve">Certificado: </w:t>
      </w:r>
      <w:r>
        <w:rPr>
          <w:lang w:val="pt-PT"/>
        </w:rPr>
        <w:t xml:space="preserve"/>
      </w:r>
      <w:r>
        <w:rPr>
          <w:lang w:val="pt-PT"/>
        </w:rPr>
        <w:t xml:space="preserve">mediante solicitação por escrito, entrega de certificado de exclusão ou restituição no prazo de 30 (trinta) dias corridos após a conclusão da operação em questão.</w:t>
      </w:r>
    </w:p>
    <w:p>
      <w:pPr>
        <w:pStyle w:val="FirstParagraph"/>
      </w:pPr>
      <w:r>
        <w:rPr>
          <w:lang w:val="pt-PT"/>
        </w:rPr>
        <w:t xml:space="preserve">Os objetivos operacionais vinculados ao plano de continuidade (RPO 24 horas / RTO 4 horas) são relembrados no Artigo 6.5. Nenhum compromisso contratual de disponibilidade é aqui estipulado; resta ser definido comercialmente, se necessário.</w:t>
      </w:r>
    </w:p>
    <w:p>
      <w:r>
        <w:pict>
          <v:rect style="width:0;height:1.5pt" o:hralign="center" o:hrstd="t" o:hr="t"/>
        </w:pict>
      </w:r>
    </w:p>
    <w:bookmarkEnd w:id="53"/>
    <w:bookmarkStart w:id="54" w:name="article-13--force-majeure"/>
    <w:p>
      <w:pPr>
        <w:pStyle w:val="Heading2"/>
        <w:keepNext/>
        <w:keepLines/>
      </w:pPr>
      <w:r>
        <w:rPr>
          <w:color w:val="000000"/>
          <w:lang w:val="pt-PT"/>
        </w:rPr>
        <w:t xml:space="preserve">Artigo 13.º — Força maior</w:t>
      </w:r>
    </w:p>
    <w:p>
      <w:pPr>
        <w:pStyle w:val="FirstParagraph"/>
      </w:pPr>
      <w:r>
        <w:rPr>
          <w:lang w:val="pt-PT"/>
        </w:rPr>
        <w:t xml:space="preserve">Nenhuma das Partes poderá ser responsabilizada pelo incumprimento das suas obrigações resultante de um caso de força maior na aceção do artigo 1218.º do Código Civil e da jurisprudência dos tribunais franceses.</w:t>
      </w:r>
    </w:p>
    <w:p>
      <w:pPr>
        <w:pStyle w:val="BodyText"/>
      </w:pPr>
      <w:r>
        <w:rPr>
          <w:lang w:val="pt-PT"/>
        </w:rPr>
        <w:t xml:space="preserve">A Parte afetada informará a outra sem demora. As obrigações afetadas ficam suspensas enquanto durar o evento. Se o caso de força maior continuar além de [A SER CONCLUÍDO: duração, por ex. 60 dias], cada Parte poderá rescindir o Contrato automaticamente, sem indenização, por carta registrada com aviso de recebimento.</w:t>
      </w:r>
    </w:p>
    <w:p>
      <w:r>
        <w:pict>
          <v:rect style="width:0;height:1.5pt" o:hralign="center" o:hrstd="t" o:hr="t"/>
        </w:pict>
      </w:r>
    </w:p>
    <w:bookmarkEnd w:id="54"/>
    <w:bookmarkStart w:id="55" w:name="Xc4b392dafc8714d4a4ae6a67b462422fb2e378b"/>
    <w:p>
      <w:pPr>
        <w:pStyle w:val="Heading2"/>
        <w:keepNext/>
        <w:keepLines/>
      </w:pPr>
      <w:r>
        <w:rPr>
          <w:color w:val="000000"/>
          <w:lang w:val="pt-PT"/>
        </w:rPr>
        <w:t xml:space="preserve">Artigo 14.º — Lei e jurisdição aplicáveis</w:t>
      </w:r>
    </w:p>
    <w:p>
      <w:pPr>
        <w:pStyle w:val="FirstParagraph"/>
      </w:pPr>
      <w:r>
        <w:rPr>
          <w:lang w:val="pt-PT"/>
        </w:rPr>
        <w:t xml:space="preserve">As presentes Condições regem-se pelo </w:t>
      </w:r>
      <w:r>
        <w:rPr>
          <w:lang w:val="pt-PT"/>
        </w:rPr>
        <w:t xml:space="preserve"/>
      </w:r>
      <w:r>
        <w:rPr>
          <w:b/>
          <w:bCs/>
          <w:lang w:val="pt-PT"/>
        </w:rPr>
        <w:t xml:space="preserve">direito </w:t>
      </w:r>
      <w:r>
        <w:rPr>
          <w:lang w:val="pt-PT"/>
        </w:rPr>
        <w:t xml:space="preserve">francês.</w:t>
      </w:r>
    </w:p>
    <w:p>
      <w:pPr>
        <w:pStyle w:val="BodyText"/>
      </w:pPr>
      <w:r>
        <w:rPr>
          <w:lang w:val="pt-PT"/>
        </w:rPr>
        <w:t xml:space="preserve">Qualquer litígio relativo à sua validade, interpretação, execução ou resolução, na falta de resolução amigável, é da competência exclusiva dos tribunais de </w:t>
      </w:r>
      <w:r>
        <w:rPr>
          <w:lang w:val="pt-PT"/>
        </w:rPr>
        <w:t xml:space="preserve"/>
      </w:r>
      <w:r>
        <w:rPr>
          <w:b/>
          <w:bCs/>
          <w:lang w:val="pt-PT"/>
        </w:rPr>
        <w:t xml:space="preserve">Paris, salvo disposição </w:t>
      </w:r>
      <w:r>
        <w:rPr>
          <w:lang w:val="pt-PT"/>
        </w:rPr>
        <w:t xml:space="preserve">imperativa em contrário aplicável ao Cliente, nomeadamente quando este seja uma pessoa coletiva pública.</w:t>
      </w:r>
    </w:p>
    <w:p>
      <w:r>
        <w:pict>
          <v:rect style="width:0;height:1.5pt" o:hralign="center" o:hrstd="t" o:hr="t"/>
        </w:pict>
      </w:r>
    </w:p>
    <w:bookmarkEnd w:id="55"/>
    <w:bookmarkStart w:id="56" w:name="article-15--stipulations-diverses"/>
    <w:p>
      <w:pPr>
        <w:pStyle w:val="Heading2"/>
        <w:keepNext/>
        <w:keepLines/>
      </w:pPr>
      <w:r>
        <w:rPr>
          <w:color w:val="000000"/>
          <w:lang w:val="pt-PT"/>
        </w:rPr>
        <w:t xml:space="preserve">Artigo 15.º — Disposições diversas</w:t>
      </w:r>
    </w:p>
    <w:p>
      <w:pPr>
        <w:pStyle w:val="Compact"/>
        <w:numPr>
          <w:ilvl w:val="0"/>
          <w:numId w:val="1005"/>
        </w:numPr>
      </w:pPr>
      <w:r>
        <w:rPr>
          <w:b/>
          <w:bCs/>
          <w:lang w:val="pt-PT"/>
        </w:rPr>
        <w:t xml:space="preserve">Integralidade: </w:t>
      </w:r>
      <w:r>
        <w:rPr>
          <w:lang w:val="pt-PT"/>
        </w:rPr>
        <w:t xml:space="preserve"/>
      </w:r>
      <w:r>
        <w:rPr>
          <w:lang w:val="pt-PT"/>
        </w:rPr>
        <w:t xml:space="preserve">o Contrato expressa o acordo integral das Partes sobre o seu objeto e tem precedência sobre qualquer troca anterior.</w:t>
      </w:r>
    </w:p>
    <w:p>
      <w:pPr>
        <w:pStyle w:val="Compact"/>
        <w:numPr>
          <w:ilvl w:val="0"/>
          <w:numId w:val="1005"/>
        </w:numPr>
      </w:pPr>
      <w:r>
        <w:rPr>
          <w:b/>
          <w:bCs/>
          <w:lang w:val="pt-PT"/>
        </w:rPr>
        <w:t xml:space="preserve">Nulidade parcial: </w:t>
      </w:r>
      <w:r>
        <w:rPr>
          <w:lang w:val="pt-PT"/>
        </w:rPr>
        <w:t xml:space="preserve"/>
      </w:r>
      <w:r>
        <w:rPr>
          <w:lang w:val="pt-PT"/>
        </w:rPr>
        <w:t xml:space="preserve">se uma estipulação for declarada nula ou inaplicável, as demais permanecem em vigor; as Partes a substituem por uma estipulação de efeito equivalente.</w:t>
      </w:r>
    </w:p>
    <w:p>
      <w:pPr>
        <w:pStyle w:val="Compact"/>
        <w:numPr>
          <w:ilvl w:val="0"/>
          <w:numId w:val="1005"/>
        </w:numPr>
      </w:pPr>
      <w:r>
        <w:rPr>
          <w:b/>
          <w:bCs/>
          <w:lang w:val="pt-PT"/>
        </w:rPr>
        <w:t xml:space="preserve">Não renúncia: o </w:t>
      </w:r>
      <w:r>
        <w:rPr>
          <w:lang w:val="pt-PT"/>
        </w:rPr>
        <w:t xml:space="preserve"/>
      </w:r>
      <w:r>
        <w:rPr>
          <w:lang w:val="pt-PT"/>
        </w:rPr>
        <w:t xml:space="preserve">fato de uma Parte não tirar vantagem de uma violação não constitui uma renúncia ao direito de tirar vantagem dela posteriormente.</w:t>
      </w:r>
    </w:p>
    <w:p>
      <w:pPr>
        <w:pStyle w:val="Compact"/>
        <w:numPr>
          <w:ilvl w:val="0"/>
          <w:numId w:val="1005"/>
        </w:numPr>
      </w:pPr>
      <w:r>
        <w:rPr>
          <w:b/>
          <w:bCs/>
          <w:lang w:val="pt-PT"/>
        </w:rPr>
        <w:t xml:space="preserve">Cessão: </w:t>
      </w:r>
      <w:r>
        <w:rPr>
          <w:lang w:val="pt-PT"/>
        </w:rPr>
        <w:t xml:space="preserve"/>
      </w:r>
      <w:r>
        <w:rPr>
          <w:lang w:val="pt-PT"/>
        </w:rPr>
        <w:t xml:space="preserve">o Contrato não poderá ser cedido pelo Cliente sem o consentimento prévio por escrito de OHADJA.</w:t>
      </w:r>
    </w:p>
    <w:p>
      <w:pPr>
        <w:pStyle w:val="Compact"/>
        <w:numPr>
          <w:ilvl w:val="0"/>
          <w:numId w:val="1005"/>
        </w:numPr>
      </w:pPr>
      <w:r>
        <w:rPr>
          <w:b/>
          <w:bCs/>
          <w:lang w:val="pt-PT"/>
        </w:rPr>
        <w:t xml:space="preserve">Modificação: </w:t>
      </w:r>
      <w:r>
        <w:rPr>
          <w:lang w:val="pt-PT"/>
        </w:rPr>
        <w:t xml:space="preserve"/>
      </w:r>
      <w:r>
        <w:rPr>
          <w:lang w:val="pt-PT"/>
        </w:rPr>
        <w:t xml:space="preserve">qualquer modificação está sujeita a uma alteração por escrito aceita pelas Partes.</w:t>
      </w:r>
    </w:p>
    <w:p>
      <w:r>
        <w:pict>
          <v:rect style="width:0;height:1.5pt" o:hralign="center" o:hrstd="t" o:hr="t"/>
        </w:pict>
      </w:r>
    </w:p>
    <w:p>
      <w:pPr>
        <w:pStyle w:val="FirstParagraph"/>
      </w:pPr>
      <w:r>
        <w:rPr>
          <w:i/>
          <w:iCs/>
          <w:lang w:val="pt-PT"/>
        </w:rPr>
        <w:t xml:space="preserve">Documento de trabalho estabelecido por OHADJA — a ser validado pelo seu consultor jurídico/DPO antes da assinatura.</w:t>
      </w:r>
    </w:p>
    <w:bookmarkEnd w:id="56"/>
    <w:bookmarkEnd w:id="57"/>
    <w:p>
      <w:pPr>
        <w:pStyle w:val="Heading1"/>
        <w:pageBreakBefore/>
        <w:keepNext/>
        <w:keepLines/>
      </w:pPr>
      <w:r>
        <w:rPr>
          <w:lang w:val="pt-PT"/>
          <w:color w:val="000000"/>
        </w:rPr>
        <w:t xml:space="preserve">Anexo sobre as regras nacionais de implementação</w:t>
      </w:r>
    </w:p>
    <w:p>
      <w:pPr>
        <w:pStyle w:val="Heading2"/>
        <w:keepNext/>
        <w:keepLines/>
      </w:pPr>
      <w:r>
        <w:rPr>
          <w:lang w:val="pt-PT"/>
          <w:color w:val="000000"/>
        </w:rPr>
        <w:t xml:space="preserve">Âmbito deste anexo</w:t>
      </w:r>
    </w:p>
    <w:p>
      <w:pPr>
        <w:pStyle w:val="BodyText"/>
      </w:pPr>
      <w:r>
        <w:rPr>
          <w:lang w:val="pt-PT"/>
        </w:rPr>
        <w:t xml:space="preserve">Esta edição abrange a base do RGPD da União Europeia e os aspetos de implementação abaixo indicados para França, Irlanda, Países Baixos, Espanha e Portugal. Estas notas devem ser lidas em função do país e da utilização efetivos do Cliente, independentemente do idioma do documento. Complementam os documentos do projeto sem alterar automaticamente a identidade das partes, o direito francês escolhido ou os tribunais designados. Ficam ressalvadas as normas imperativas aplicáveis ao Cliente. As referências nacionais francesas do corpo do documento continuam identificadas como tal; não constituem uma equivalência estrangeira.</w:t>
      </w:r>
    </w:p>
    <w:p>
      <w:pPr>
        <w:pStyle w:val="Heading2"/>
        <w:keepNext/>
        <w:keepLines/>
      </w:pPr>
      <w:r>
        <w:rPr>
          <w:lang w:val="pt-PT"/>
          <w:color w:val="000000"/>
        </w:rPr>
        <w:t xml:space="preserve">Base europeia a documentar antes da entrada em serviço</w:t>
      </w:r>
    </w:p>
    <w:p>
      <w:pPr>
        <w:pStyle w:val="BodyText"/>
      </w:pPr>
      <w:r>
        <w:rPr>
          <w:lang w:val="pt-PT"/>
        </w:rPr>
        <w:t xml:space="preserve">O Cliente deve determinar a finalidade, a necessidade, a proporcionalidade e o fundamento de licitude de cada gravação e tratamento; informar as pessoas antes da recolha; definir os destinatários, os prazos e os meios de exercício dos direitos; e celebrar um acordo conforme com o artigo 28.º para as operações confiadas a um subcontratante. A informação, a consulta ou a validação humana não bastam para tornar um tratamento lícito. O consentimento dos trabalhadores deve ser examinado com prudência, tendo em conta o desequilíbrio face ao empregador.</w:t>
      </w:r>
    </w:p>
    <w:p>
      <w:pPr>
        <w:pStyle w:val="BodyText"/>
      </w:pPr>
      <w:r>
        <w:rPr>
          <w:lang w:val="pt-PT"/>
        </w:rPr>
        <w:t xml:space="preserve">Se forem tratadas categorias especiais de dados, deve ser identificada uma condição aplicável do artigo 9.º, além do fundamento do artigo 6.º. Uma comparação vocal que vise a identificação inequívoca deve ser analisada à luz da biometria, mesmo sem um modelo persistente. A avaliação de impacto deve ser realizada antes dos tratamentos suscetíveis de resultar num risco elevado e as regras de consulta prévia da autoridade continuam a aplicar-se quando estiverem reunidas as condições do artigo 36.º. Nem o alojamento local nem um aditamento dispensam esta análise.</w:t>
      </w:r>
    </w:p>
    <w:p>
      <w:pPr>
        <w:pStyle w:val="BodyText"/>
      </w:pPr>
      <w:r>
        <w:rPr>
          <w:lang w:val="pt-PT"/>
        </w:rPr>
        <w:t xml:space="preserve">A autoridade competente depende das regras do RGPD, nomeadamente em caso de tratamento transfronteiriço; não depende do idioma escolhido. O subcontratante alerta o Cliente sem demora injustificada. O responsável pelo tratamento notifica a autoridade competente nas condições do artigo 33.º, sempre que possível nas 72 horas após ter conhecimento de uma violação, salvo se esta não for suscetível de resultar num risco para os direitos e liberdades. A comunicação aos titulares dos dados está sujeita às condições do artigo 34.º.</w:t>
      </w:r>
    </w:p>
    <w:p>
      <w:pPr>
        <w:pStyle w:val="BodyText"/>
      </w:pPr>
      <w:r>
        <w:rPr>
          <w:lang w:val="pt-PT"/>
        </w:rPr>
        <w:t xml:space="preserve">Fontes europeias https://eur-lex.europa.eu/eli/reg/2016/679/oj e https://www.edpb.europa.eu/documents/guideline/guidelines-052020-on-consent-under-regulation-2016679_en</w:t>
      </w:r>
    </w:p>
    <w:p>
      <w:pPr>
        <w:pStyle w:val="Heading2"/>
        <w:keepNext/>
        <w:keepLines/>
      </w:pPr>
      <w:r>
        <w:rPr>
          <w:lang w:val="pt-PT"/>
          <w:color w:val="000000"/>
        </w:rPr>
        <w:t xml:space="preserve">França</w:t>
      </w:r>
    </w:p>
    <w:p>
      <w:pPr>
        <w:pStyle w:val="BodyText"/>
      </w:pPr>
      <w:r>
        <w:rPr>
          <w:lang w:val="pt-PT"/>
        </w:rPr>
        <w:t xml:space="preserve">Para uma implementação em França, determinar as obrigações de informação dos trabalhadores e de consulta prévia do CSE em função do dispositivo, do número de trabalhadores e do âmbito legal aplicável. O Code du travail francês abrange, nomeadamente, as técnicas que permitem controlar a atividade, mesmo que o produto seja apresentado como apoio à redação. A informação e a consulta não substituem a análise de licitude, necessidade e proporcionalidade, nem as regras específicas relativas às conversas privadas, aos dados sensíveis e à confidencialidade. A CNIL é a autoridade nacional, sem prejuízo das regras de competência do RGPD.</w:t>
      </w:r>
    </w:p>
    <w:p>
      <w:pPr>
        <w:pStyle w:val="BodyText"/>
      </w:pPr>
      <w:r>
        <w:rPr>
          <w:lang w:val="pt-PT"/>
        </w:rPr>
        <w:t xml:space="preserve">Fontes de França Code du travail, artigos L1222-4 e L2312-38 https://www.legifrance.gouv.fr/codes/article_lc/LEGIARTI000006900861 e https://www.legifrance.gouv.fr/codes/section_lc/LEGITEXT000006072050/LEGISCTA000035610273/</w:t>
      </w:r>
    </w:p>
    <w:p>
      <w:pPr>
        <w:pStyle w:val="Heading2"/>
        <w:keepNext/>
        <w:keepLines/>
      </w:pPr>
      <w:r>
        <w:rPr>
          <w:lang w:val="pt-PT"/>
          <w:color w:val="000000"/>
        </w:rPr>
        <w:t xml:space="preserve">Irlanda</w:t>
      </w:r>
    </w:p>
    <w:p>
      <w:pPr>
        <w:pStyle w:val="BodyText"/>
      </w:pPr>
      <w:r>
        <w:rPr>
          <w:lang w:val="pt-PT"/>
        </w:rPr>
        <w:t xml:space="preserve">Para uma implementação na Irlanda, aplicar o RGPD e o quadro nacional; documentar o fundamento de licitude e informar os participantes antes da gravação. Examinar as obrigações de informação e consulta dos trabalhadores em função do âmbito, do número de trabalhadores, dos acordos coletivos e dos mecanismos existentes. O regime irlandês não equivale ao CSE francês nem estabelece uma consulta idêntica para todos os empregadores. A Data Protection Commission é a autoridade nacional, sem prejuízo das regras de competência transfronteiriça.</w:t>
      </w:r>
    </w:p>
    <w:p>
      <w:pPr>
        <w:pStyle w:val="BodyText"/>
      </w:pPr>
      <w:r>
        <w:rPr>
          <w:lang w:val="pt-PT"/>
        </w:rPr>
        <w:t xml:space="preserve">Fontes da Irlanda https://www.dataprotection.ie/en/dpc-guidance/video-recording e Employees Provision of Information and Consultation Act 2006 https://www.irishstatutebook.ie/eli/2006/act/9/enacted/en/print</w:t>
      </w:r>
    </w:p>
    <w:p>
      <w:pPr>
        <w:pStyle w:val="Heading2"/>
        <w:keepNext/>
        <w:keepLines/>
      </w:pPr>
      <w:r>
        <w:rPr>
          <w:lang w:val="pt-PT"/>
          <w:color w:val="000000"/>
        </w:rPr>
        <w:t xml:space="preserve">Países Baixos</w:t>
      </w:r>
    </w:p>
    <w:p>
      <w:pPr>
        <w:pStyle w:val="BodyText"/>
      </w:pPr>
      <w:r>
        <w:rPr>
          <w:lang w:val="pt-PT"/>
        </w:rPr>
        <w:t xml:space="preserve">Para uma implementação nos Países Baixos, examinar as competências do ondernemingsraad ou OR. Um dispositivo que possa permitir acompanhar a presença, o comportamento ou o desempenho pode estar sujeito ao seu direito de aprovação prévia ao abrigo da Wet op de ondernemingsraden, mesmo que ainda não seja utilizado para esse fim. A aprovação do OR não substitui o fundamento de licitude do tratamento nem as condições aplicáveis à biometria e aos dados sensíveis. A Autoriteit Persoonsgegevens é a autoridade nacional, sem prejuízo das regras de competência do RGPD.</w:t>
      </w:r>
    </w:p>
    <w:p>
      <w:pPr>
        <w:pStyle w:val="BodyText"/>
      </w:pPr>
      <w:r>
        <w:rPr>
          <w:lang w:val="pt-PT"/>
        </w:rPr>
        <w:t xml:space="preserve">Fonte dos Países Baixos Autoriteit Persoonsgegevens https://autoriteitpersoonsgegevens.nl/en/themes/employment-and-benefits/works-council/the-works-council-and-staff-tracking-systems</w:t>
      </w:r>
    </w:p>
    <w:p>
      <w:pPr>
        <w:pStyle w:val="Heading2"/>
        <w:keepNext/>
        <w:keepLines/>
      </w:pPr>
      <w:r>
        <w:rPr>
          <w:lang w:val="pt-PT"/>
          <w:color w:val="000000"/>
        </w:rPr>
        <w:t xml:space="preserve">Espanha</w:t>
      </w:r>
    </w:p>
    <w:p>
      <w:pPr>
        <w:pStyle w:val="BodyText"/>
      </w:pPr>
      <w:r>
        <w:rPr>
          <w:lang w:val="pt-PT"/>
        </w:rPr>
        <w:t xml:space="preserve">Para uma implementação em Espanha, distinguir a transcrição de reuniões do recurso a dispositivos de vigilância sonora. No âmbito do artigo 89.º da Ley Orgánica 3/2018, a gravação de som no trabalho está estritamente limitada a determinados riscos de segurança, com proporcionalidade, intervenção mínima e garantias; os espaços de descanso são protegidos. Examinar os direitos de informação e consulta dos representantes e os acordos aplicáveis. Estas disposições não devem ser alargadas, sem análise, a qualquer reunião pontual, e o acordo dos participantes não constitui uma autorização geral. Identificar a AEPD ou a autoridade regional competente em função do tratamento.</w:t>
      </w:r>
    </w:p>
    <w:p>
      <w:pPr>
        <w:pStyle w:val="BodyText"/>
      </w:pPr>
      <w:r>
        <w:rPr>
          <w:lang w:val="pt-PT"/>
        </w:rPr>
        <w:t xml:space="preserve">Fontes de Espanha Ley Orgánica 3/2018, artigo 89.º https://www.boe.es/buscar/act.php?id=BOE-A-2018-16673#a89 e Estatuto de los Trabajadores, artigo 64.º https://www.boe.es/buscar/act.php?id=BOE-A-2015-11430#a64</w:t>
      </w:r>
    </w:p>
    <w:p>
      <w:pPr>
        <w:pStyle w:val="Heading2"/>
        <w:keepNext/>
        <w:keepLines/>
      </w:pPr>
      <w:r>
        <w:rPr>
          <w:lang w:val="pt-PT"/>
          <w:color w:val="000000"/>
        </w:rPr>
        <w:t xml:space="preserve">Portugal</w:t>
      </w:r>
    </w:p>
    <w:p>
      <w:pPr>
        <w:pStyle w:val="BodyText"/>
      </w:pPr>
      <w:r>
        <w:rPr>
          <w:lang w:val="pt-PT"/>
        </w:rPr>
        <w:t xml:space="preserve">Para uma implementação em Portugal, examinar o Código do Trabalho, a Lei 58/2019 e as regras aplicáveis ao dispositivo concreto. É proibida a vigilância à distância destinada ao controlo do desempenho profissional. A captação de som num dispositivo de videovigilância está sujeita a restrições específicas; esta regra não significa que todas as gravações de reuniões sejam proibidas nem que sejam sempre autorizadas. Determinar as obrigações perante os trabalhadores e os seus representantes antes da entrada em serviço. A Comissão Nacional de Proteção de Dados é a autoridade nacional, sem prejuízo das regras de competência do RGPD.</w:t>
      </w:r>
    </w:p>
    <w:p>
      <w:pPr>
        <w:pStyle w:val="BodyText"/>
      </w:pPr>
      <w:r>
        <w:rPr>
          <w:lang w:val="pt-PT"/>
        </w:rPr>
        <w:t xml:space="preserve">Fontes de Portugal Código do Trabalho, artigos 20.º e 21.º https://diariodarepublica.pt/dr/legislacao-consolidada/lei/2009-34546475-211441911 e CNPD https://www.cnpd.pt/organizacoes/areas-tematicas/videovigilancia/</w:t>
      </w:r>
    </w:p>
    <w:p>
      <w:pPr>
        <w:pStyle w:val="Heading2"/>
        <w:keepNext/>
        <w:keepLines/>
      </w:pPr>
      <w:r>
        <w:rPr>
          <w:lang w:val="pt-PT"/>
          <w:color w:val="000000"/>
        </w:rPr>
        <w:t xml:space="preserve">Quadros franceses e compromissos do projeto</w:t>
      </w:r>
    </w:p>
    <w:p>
      <w:pPr>
        <w:pStyle w:val="BodyText"/>
      </w:pPr>
      <w:r>
        <w:rPr>
          <w:lang w:val="pt-PT"/>
        </w:rPr>
        <w:t xml:space="preserve">Os termos CSE, CGCT, HDS, SecNumCloud, ANSSI e RGAA designam instituições, regras ou referenciais franceses. Não comprovam uma certificação da TranscribIA nem o cumprimento automático de um quadro estrangeiro. Os montantes e mecanismos de pagamento das condições gerais de venda, incluindo a remissão para o Code de commerce francês, devem ser articulados com o direito escolhido, a qualidade do Cliente e as normas imperativas aplicáveis; não devem ser apresentados como uma reprodução de cada direito nacional. As modalidades aplicáveis à contratação pública, aos consumidores e aos setores regulados devem ser especificadas separadamente quando estejam em causa.</w:t>
      </w:r>
    </w:p>
    <w:p>
      <w:pPr>
        <w:pStyle w:val="BodyText"/>
      </w:pPr>
      <w:r>
        <w:rPr>
          <w:lang w:val="pt-PT"/>
        </w:rPr>
        <w:t xml:space="preserve">Antes da assinatura, completar e verificar os anexos do projeto relativos às partes, à configuração SaaS ou local, aos locais de tratamento e de acesso, aos subcontratantes ulteriores, às transferências, às medidas de segurança efetivas, à conservação e aos níveis de serviço. Este anexo não atesta que uma medida técnica já esteja implementada nem substitui os compromissos particulares acordados. Os regimes britânicos, belgas e dos restantes países não são abrangidos por estas notas nacionais; exigem uma adaptação distinta.</w:t>
      </w:r>
    </w:p>
    <w:p>
      <w:pPr>
        <w:pStyle w:val="BodyText"/>
      </w:pPr>
      <w:r>
        <w:rPr>
          <w:lang w:val="pt-PT"/>
        </w:rPr>
        <w:t xml:space="preserve">As capturas de interface e os exemplos retirados da aplicação podem permanecer em francês. As explicações e as legendas documentais são traduzidas; os comandos, nomes de ficheiros, identificadores técnicos e referências documentais devem ser conservados exatamente.</w:t>
      </w:r>
    </w:p>
    <w:p>
      <w:pPr>
        <w:pStyle w:val="Heading1"/>
        <w:keepNext/>
        <w:keepLines/>
      </w:pPr>
      <w:r>
        <w:rPr>
          <w:lang w:val="pt-PT"/>
          <w:color w:val="000000"/>
        </w:rPr>
        <w:t>Histórico desta edição</w:t>
      </w:r>
    </w:p>
    <w:p>
      <w:pPr>
        <w:pStyle w:val="BodyText"/>
      </w:pPr>
      <w:r>
        <w:rPr>
          <w:lang w:val="pt-PT"/>
        </w:rPr>
        <w:t>1.1 — 2026-10-17</w:t>
      </w:r>
    </w:p>
    <w:p>
      <w:pPr>
        <w:pStyle w:val="BodyText"/>
      </w:pPr>
      <w:r>
        <w:rPr>
          <w:lang w:val="pt-PT"/>
        </w:rPr>
        <w:t>Edição multilingue e correções documentais. As versões anteriores e as respetivas datas são conservadas. O texto francês prevalece; as traduções facilitam a leitura e não alteram as partes nem a lei aplicável.</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pt-PT"/>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color w:val="00000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val="000000"/>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val="000000"/>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val="000000"/>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val="000000"/>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val="000000"/>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val="000000"/>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val="000000"/>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val="000000"/>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val="000000"/>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rPr>
      <w:rFonts w:ascii="Courier New" w:hAnsi="Courier New" w:eastAsia="Courier New" w:cs="Courier New"/>
    </w:rPr>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 Target="mailto:contact@transcribia.eu" TargetMode="External" /><Relationship Type="http://schemas.openxmlformats.org/officeDocument/2006/relationships/hyperlink" Id="rId12" Target="mailto:privacy@transcribia.eu" TargetMode="External" /><Relationship Type="http://schemas.openxmlformats.org/officeDocument/2006/relationships/hyperlink" Id="rId11" Target="mailto:support@transcribia.eu" TargetMode="External" /></Relationships>
</file>

<file path=word/_rels/footnotes.xml.rels><?xml version="1.0" encoding="UTF-8"?><Relationships xmlns="http://schemas.openxmlformats.org/package/2006/relationships"><Relationship Type="http://schemas.openxmlformats.org/officeDocument/2006/relationships/hyperlink" Id="rId10" Target="mailto:contact@transcribia.eu" TargetMode="External" /><Relationship Type="http://schemas.openxmlformats.org/officeDocument/2006/relationships/hyperlink" Id="rId12" Target="mailto:privacy@transcribia.eu" TargetMode="External" /><Relationship Type="http://schemas.openxmlformats.org/officeDocument/2006/relationships/hyperlink" Id="rId11" Target="mailto:support@transcribia.e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2026-07-25T09:45:09Z</dcterms:created>
  <dcterms:modified xsi:type="dcterms:W3CDTF">2026-07-25T09:45:09Z</dcterms:modified>
</cp:coreProperties>
</file>

<file path=docProps/custom.xml><?xml version="1.0" encoding="utf-8"?>
<Properties xmlns="http://schemas.openxmlformats.org/officeDocument/2006/custom-properties" xmlns:vt="http://schemas.openxmlformats.org/officeDocument/2006/docPropsVTypes"/>
</file>