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X00aa6aba2b399654b9aa2d8ce2e008f4b303369"/>
    <w:p>
      <w:pPr>
        <w:pStyle w:val="Title"/>
        <w:keepNext/>
        <w:keepLines/>
      </w:pPr>
      <w:r>
        <w:rPr>
          <w:color w:val="000000"/>
          <w:lang w:val="pt-PT"/>
        </w:rPr>
        <w:t xml:space="preserve">Acordo de subcontratação ao abrigo do RGPD (artigo 28.º) — TranscribIA</w:t>
      </w:r>
    </w:p>
    <w:p>
      <w:pPr>
        <w:pStyle w:val="BodyText"/>
      </w:pPr>
      <w:r>
        <w:rPr>
          <w:lang w:val="pt-PT"/>
        </w:rPr>
        <w:t xml:space="preserve">Edição localizada v1.2-draft — 2026-10-17</w:t>
      </w:r>
    </w:p>
    <w:p>
      <w:pPr>
        <w:pStyle w:val="BodyText"/>
      </w:pPr>
      <w:r>
        <w:rPr>
          <w:lang w:val="pt-PT"/>
        </w:rPr>
        <w:t xml:space="preserve">O texto francês prevalece. Esta edição abrange França, Irlanda, Países Baixos, Espanha e Portugal. O idioma não determina o país de implementação, as partes ou a lei aplicável. Leia o anexo nacional no final do documento segundo o país e a utilização reais.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TRB-CONF-01.02</w:t>
            </w:r>
          </w:p>
        </w:tc>
      </w:tr>
      <w:tr>
        <w:trPr>
          <w:cantSplit/>
        </w:trPr>
        <w:tc>
          <w:tcPr/>
          <w:p>
            <w:pPr>
              <w:pStyle w:val="Compact"/>
            </w:pPr>
            <w:r>
              <w:rPr>
                <w:lang w:val="pt-PT"/>
              </w:rPr>
              <w:t xml:space="preserve">Versão</w:t>
            </w:r>
          </w:p>
        </w:tc>
        <w:tc>
          <w:tcPr/>
          <w:p>
            <w:pPr>
              <w:pStyle w:val="Compact"/>
            </w:pPr>
            <w:r>
              <w:rPr>
                <w:lang w:val="pt-PT"/>
              </w:rPr>
              <w:t xml:space="preserve">Rascunho 1.1 — 24/07/2026</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Classificação</w:t>
            </w:r>
          </w:p>
        </w:tc>
        <w:tc>
          <w:tcPr/>
          <w:p>
            <w:pPr>
              <w:pStyle w:val="Compact"/>
            </w:pPr>
            <w:r>
              <w:rPr>
                <w:lang w:val="pt-PT"/>
              </w:rPr>
              <w:t xml:space="preserve">Público — modelo de contrato (minuta v1.1, a ser validado por assessoria jurídica antes da assinatura)</w:t>
            </w:r>
          </w:p>
        </w:tc>
      </w:tr>
    </w:tbl>
    <w:bookmarkStart w:id="9" w:name="historique-des-versions"/>
    <w:p>
      <w:pPr>
        <w:pStyle w:val="Heading2"/>
        <w:keepNext/>
        <w:keepLines/>
      </w:pPr>
      <w:r>
        <w:rPr>
          <w:color w:val="000000"/>
          <w:lang w:val="pt-PT"/>
        </w:rPr>
        <w:t xml:space="preserve">Histórico de versões</w:t>
      </w:r>
    </w:p>
    <w:tbl>
      <w:tblPr>
        <w:tblStyle w:val="Table"/>
        <w:tblW w:type="dxa" w:w="9360"/>
        <w:tblLook w:firstRow="1" w:lastRow="0" w:firstColumn="0" w:lastColumn="0" w:noHBand="0" w:noVBand="0" w:val="0020"/>
        <w:tblLayout w:type="fixed"/>
      </w:tblPr>
      <w:tblGrid>
        <w:gridCol w:w="1310"/>
        <w:gridCol w:w="1778"/>
        <w:gridCol w:w="6272"/>
      </w:tblGrid>
      <w:tr>
        <w:trPr>
          <w:tblHeader w:val="on"/>
          <w:cantSplit/>
        </w:trPr>
        <w:tc>
          <w:tcPr>
            <w:tcW w:type="dxa" w:w="1310"/>
            <w:tcMar>
              <w:left w:type="dxa" w:w="80"/>
              <w:right w:type="dxa" w:w="80"/>
            </w:tcMar>
          </w:tcPr>
          <w:p>
            <w:pPr>
              <w:pStyle w:val="Compact"/>
            </w:pPr>
            <w:r>
              <w:rPr>
                <w:lang w:val="pt-PT"/>
              </w:rPr>
              <w:t xml:space="preserve">Versão</w:t>
            </w:r>
          </w:p>
        </w:tc>
        <w:tc>
          <w:tcPr>
            <w:tcW w:type="dxa" w:w="1778"/>
            <w:tcMar>
              <w:left w:type="dxa" w:w="80"/>
              <w:right w:type="dxa" w:w="80"/>
            </w:tcMar>
          </w:tcPr>
          <w:p>
            <w:pPr>
              <w:pStyle w:val="Compact"/>
            </w:pPr>
            <w:r>
              <w:rPr>
                <w:lang w:val="pt-PT"/>
              </w:rPr>
              <w:t xml:space="preserve">Data</w:t>
            </w:r>
          </w:p>
        </w:tc>
        <w:tc>
          <w:tcPr>
            <w:tcW w:type="dxa" w:w="6272"/>
            <w:tcMar>
              <w:left w:type="dxa" w:w="80"/>
              <w:right w:type="dxa" w:w="80"/>
            </w:tcMar>
          </w:tcPr>
          <w:p>
            <w:pPr>
              <w:pStyle w:val="Compact"/>
            </w:pPr>
            <w:r>
              <w:rPr>
                <w:lang w:val="pt-PT"/>
              </w:rPr>
              <w:t xml:space="preserve">Objetivo</w:t>
            </w:r>
          </w:p>
        </w:tc>
      </w:tr>
      <w:tr>
        <w:trPr>
          <w:cantSplit/>
        </w:trPr>
        <w:tc>
          <w:tcPr>
            <w:tcW w:type="dxa" w:w="1310"/>
            <w:tcMar>
              <w:left w:type="dxa" w:w="80"/>
              <w:right w:type="dxa" w:w="80"/>
            </w:tcMar>
          </w:tcPr>
          <w:p>
            <w:pPr>
              <w:pStyle w:val="Compact"/>
            </w:pPr>
            <w:r>
              <w:rPr>
                <w:lang w:val="pt-PT"/>
              </w:rPr>
              <w:t xml:space="preserve">1.0</w:t>
            </w:r>
          </w:p>
        </w:tc>
        <w:tc>
          <w:tcPr>
            <w:tcW w:type="dxa" w:w="1778"/>
            <w:tcMar>
              <w:left w:type="dxa" w:w="80"/>
              <w:right w:type="dxa" w:w="80"/>
            </w:tcMar>
          </w:tcPr>
          <w:p>
            <w:pPr>
              <w:pStyle w:val="Compact"/>
            </w:pPr>
            <w:r>
              <w:rPr>
                <w:lang w:val="pt-PT"/>
              </w:rPr>
              <w:t xml:space="preserve">19 de maio de 2026</w:t>
            </w:r>
          </w:p>
        </w:tc>
        <w:tc>
          <w:tcPr>
            <w:tcW w:type="dxa" w:w="6272"/>
            <w:tcMar>
              <w:left w:type="dxa" w:w="80"/>
              <w:right w:type="dxa" w:w="80"/>
            </w:tcMar>
          </w:tcPr>
          <w:p>
            <w:pPr>
              <w:pStyle w:val="Compact"/>
            </w:pPr>
            <w:r>
              <w:rPr>
                <w:lang w:val="pt-PT"/>
              </w:rPr>
              <w:t xml:space="preserve">Versão inicial. Entidade subcontratante: AMBASSADIA SARL.</w:t>
            </w:r>
          </w:p>
        </w:tc>
      </w:tr>
      <w:tr>
        <w:trPr>
          <w:cantSplit/>
        </w:trPr>
        <w:tc>
          <w:tcPr>
            <w:tcW w:type="dxa" w:w="1310"/>
            <w:tcMar>
              <w:left w:type="dxa" w:w="80"/>
              <w:right w:type="dxa" w:w="80"/>
            </w:tcMar>
          </w:tcPr>
          <w:p>
            <w:pPr>
              <w:pStyle w:val="Compact"/>
            </w:pPr>
            <w:r>
              <w:rPr>
                <w:lang w:val="pt-PT"/>
              </w:rPr>
              <w:t xml:space="preserve">1.1-rascunho</w:t>
            </w:r>
          </w:p>
        </w:tc>
        <w:tc>
          <w:tcPr>
            <w:tcW w:type="dxa" w:w="1778"/>
            <w:tcMar>
              <w:left w:type="dxa" w:w="80"/>
              <w:right w:type="dxa" w:w="80"/>
            </w:tcMar>
          </w:tcPr>
          <w:p>
            <w:pPr>
              <w:pStyle w:val="Compact"/>
            </w:pPr>
            <w:r>
              <w:rPr>
                <w:lang w:val="pt-PT"/>
              </w:rPr>
              <w:t xml:space="preserve">2026-07-24</w:t>
            </w:r>
          </w:p>
        </w:tc>
        <w:tc>
          <w:tcPr>
            <w:tcW w:type="dxa" w:w="6272"/>
            <w:tcMar>
              <w:left w:type="dxa" w:w="80"/>
              <w:right w:type="dxa" w:w="80"/>
            </w:tcMar>
          </w:tcPr>
          <w:p>
            <w:pPr>
              <w:pStyle w:val="Compact"/>
            </w:pPr>
            <w:r>
              <w:rPr>
                <w:lang w:val="pt-PT"/>
              </w:rPr>
              <w:t xml:space="preserve">Substituição da entidade subcontratante (a OHADJA, editor estabelecido em Paris, substitui a AMBASSADIA SARL, que passa a revendedor / distribuidor comercial); atualização do URL de produção (client.transcribia.eu), dos subcontratantes ulteriores (via principal de IA em servidores vLLM controlados na UE, OpenRouter de recurso, cópias de segurança Scaleway) e da localização (administração e suporte exclusivamente a partir de França/UE). Projeto a validar pelo consultor jurídico antes da assinatura.</w:t>
            </w:r>
          </w:p>
        </w:tc>
      </w:tr>
    </w:tbl>
    <w:bookmarkEnd w:id="9"/>
    <w:bookmarkStart w:id="11" w:name="X8dc6cc9f59c22f3e6d209c81e77fec2d0b2e226"/>
    <w:p>
      <w:pPr>
        <w:pStyle w:val="Heading2"/>
        <w:keepNext/>
        <w:keepLines/>
      </w:pPr>
      <w:r>
        <w:rPr>
          <w:color w:val="000000"/>
          <w:lang w:val="pt-PT"/>
        </w:rPr>
        <w:t xml:space="preserve">1. PREÂMBULO E IDENTIFICAÇÃO DAS PARTES</w:t>
      </w:r>
    </w:p>
    <w:p>
      <w:pPr>
        <w:pStyle w:val="FirstParagraph"/>
      </w:pPr>
      <w:r>
        <w:rPr>
          <w:lang w:val="pt-PT"/>
        </w:rPr>
        <w:t xml:space="preserve">O presente Acordo de subcontratação ao abrigo do RGPD, versão 1.1-draft de 2026-07-24 (ver o histórico de versões acima), é celebrado entre o Cliente, que atua na qualidade de responsável pelo tratamento na aceção do RGPD, e a OHADJA, que atua na qualidade de subcontratante para a exploração da solução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Parte</w:t>
            </w:r>
          </w:p>
        </w:tc>
        <w:tc>
          <w:tcPr/>
          <w:p>
            <w:pPr>
              <w:pStyle w:val="Compact"/>
            </w:pPr>
            <w:r>
              <w:rPr>
                <w:lang w:val="pt-PT"/>
              </w:rPr>
              <w:t xml:space="preserve">Identificação</w:t>
            </w:r>
          </w:p>
        </w:tc>
      </w:tr>
      <w:tr>
        <w:trPr>
          <w:cantSplit/>
        </w:trPr>
        <w:tc>
          <w:tcPr/>
          <w:p>
            <w:pPr>
              <w:pStyle w:val="Compact"/>
            </w:pPr>
            <w:r>
              <w:rPr>
                <w:lang w:val="pt-PT"/>
              </w:rPr>
              <w:t xml:space="preserve">Cliente / Responsável pelo tratamento</w:t>
            </w:r>
          </w:p>
        </w:tc>
        <w:tc>
          <w:tcPr/>
          <w:p>
            <w:pPr>
              <w:pStyle w:val="Compact"/>
            </w:pPr>
            <w:r>
              <w:rPr>
                <w:lang w:val="pt-PT"/>
              </w:rPr>
              <w:t xml:space="preserve">[nome da empresa a ser preenchido pelo cliente]</w:t>
            </w:r>
          </w:p>
        </w:tc>
      </w:tr>
      <w:tr>
        <w:trPr>
          <w:cantSplit/>
        </w:trPr>
        <w:tc>
          <w:tcPr/>
          <w:p>
            <w:pPr>
              <w:pStyle w:val="Compact"/>
            </w:pPr>
            <w:r>
              <w:rPr>
                <w:lang w:val="pt-PT"/>
              </w:rPr>
              <w:t xml:space="preserve">Forma jurídica</w:t>
            </w:r>
          </w:p>
        </w:tc>
        <w:tc>
          <w:tcPr/>
          <w:p>
            <w:pPr>
              <w:pStyle w:val="Compact"/>
            </w:pPr>
            <w:r>
              <w:rPr>
                <w:lang w:val="pt-PT"/>
              </w:rPr>
              <w:t xml:space="preserve">[a ser preenchido pelo cliente]</w:t>
            </w:r>
          </w:p>
        </w:tc>
      </w:tr>
      <w:tr>
        <w:trPr>
          <w:cantSplit/>
        </w:trPr>
        <w:tc>
          <w:tcPr/>
          <w:p>
            <w:pPr>
              <w:pStyle w:val="Compact"/>
            </w:pPr>
            <w:r>
              <w:rPr>
                <w:lang w:val="pt-PT"/>
              </w:rPr>
              <w:t xml:space="preserve">Capital social</w:t>
            </w:r>
          </w:p>
        </w:tc>
        <w:tc>
          <w:tcPr/>
          <w:p>
            <w:pPr>
              <w:pStyle w:val="Compact"/>
            </w:pPr>
            <w:r>
              <w:rPr>
                <w:lang w:val="pt-PT"/>
              </w:rPr>
              <w:t xml:space="preserve">[a ser preenchido pelo cliente]</w:t>
            </w:r>
          </w:p>
        </w:tc>
      </w:tr>
      <w:tr>
        <w:trPr>
          <w:cantSplit/>
        </w:trPr>
        <w:tc>
          <w:tcPr/>
          <w:p>
            <w:pPr>
              <w:pStyle w:val="Compact"/>
            </w:pPr>
            <w:r>
              <w:rPr>
                <w:lang w:val="pt-PT"/>
              </w:rPr>
              <w:t xml:space="preserve">Cadastro</w:t>
            </w:r>
          </w:p>
        </w:tc>
        <w:tc>
          <w:tcPr/>
          <w:p>
            <w:pPr>
              <w:pStyle w:val="Compact"/>
            </w:pPr>
            <w:r>
              <w:rPr>
                <w:lang w:val="pt-PT"/>
              </w:rPr>
              <w:t xml:space="preserve">[a ser preenchido pelo cliente]</w:t>
            </w:r>
          </w:p>
        </w:tc>
      </w:tr>
      <w:tr>
        <w:trPr>
          <w:cantSplit/>
        </w:trPr>
        <w:tc>
          <w:tcPr/>
          <w:p>
            <w:pPr>
              <w:pStyle w:val="Compact"/>
            </w:pPr>
            <w:r>
              <w:rPr>
                <w:lang w:val="pt-PT"/>
              </w:rPr>
              <w:t xml:space="preserve">Sede</w:t>
            </w:r>
          </w:p>
        </w:tc>
        <w:tc>
          <w:tcPr/>
          <w:p>
            <w:pPr>
              <w:pStyle w:val="Compact"/>
            </w:pPr>
            <w:r>
              <w:rPr>
                <w:lang w:val="pt-PT"/>
              </w:rPr>
              <w:t xml:space="preserve">[a ser preenchido pelo cliente]</w:t>
            </w:r>
          </w:p>
        </w:tc>
      </w:tr>
      <w:tr>
        <w:trPr>
          <w:cantSplit/>
        </w:trPr>
        <w:tc>
          <w:tcPr/>
          <w:p>
            <w:pPr>
              <w:pStyle w:val="Compact"/>
            </w:pPr>
            <w:r>
              <w:rPr>
                <w:lang w:val="pt-PT"/>
              </w:rPr>
              <w:t xml:space="preserve">Representante legal</w:t>
            </w:r>
          </w:p>
        </w:tc>
        <w:tc>
          <w:tcPr/>
          <w:p>
            <w:pPr>
              <w:pStyle w:val="Compact"/>
            </w:pPr>
            <w:r>
              <w:rPr>
                <w:lang w:val="pt-PT"/>
              </w:rPr>
              <w:t xml:space="preserve">[nome, qualidade a ser preenchida pelo cliente]</w:t>
            </w:r>
          </w:p>
        </w:tc>
      </w:tr>
      <w:tr>
        <w:trPr>
          <w:cantSplit/>
        </w:trPr>
        <w:tc>
          <w:tcPr/>
          <w:p>
            <w:pPr>
              <w:pStyle w:val="Compact"/>
            </w:pPr>
            <w:r>
              <w:rPr>
                <w:lang w:val="pt-PT"/>
              </w:rPr>
              <w:t xml:space="preserve">Contacto RGPD / EPD</w:t>
            </w:r>
          </w:p>
        </w:tc>
        <w:tc>
          <w:tcPr/>
          <w:p>
            <w:pPr>
              <w:pStyle w:val="Compact"/>
            </w:pPr>
            <w:r>
              <w:rPr>
                <w:lang w:val="pt-PT"/>
              </w:rPr>
              <w:t xml:space="preserve">[e-mail a ser preenchido pelo cliente]</w:t>
            </w:r>
          </w:p>
        </w:tc>
      </w:tr>
      <w:tr>
        <w:trPr>
          <w:cantSplit/>
        </w:trPr>
        <w:tc>
          <w:tcPr/>
          <w:p>
            <w:pPr>
              <w:pStyle w:val="Compact"/>
            </w:pPr>
            <w:r>
              <w:rPr>
                <w:lang w:val="pt-PT"/>
              </w:rPr>
              <w:t xml:space="preserve">Subcontratante</w:t>
            </w:r>
          </w:p>
        </w:tc>
        <w:tc>
          <w:tcPr/>
          <w:p>
            <w:pPr>
              <w:pStyle w:val="Compact"/>
            </w:pPr>
            <w:r>
              <w:rPr>
                <w:lang w:val="pt-PT"/>
              </w:rPr>
              <w:t xml:space="preserve">OHADJA</w:t>
            </w:r>
          </w:p>
        </w:tc>
      </w:tr>
      <w:tr>
        <w:trPr>
          <w:cantSplit/>
        </w:trPr>
        <w:tc>
          <w:tcPr/>
          <w:p>
            <w:pPr>
              <w:pStyle w:val="Compact"/>
            </w:pPr>
            <w:r>
              <w:rPr>
                <w:lang w:val="pt-PT"/>
              </w:rPr>
              <w:t xml:space="preserve">Forma jurídica</w:t>
            </w:r>
          </w:p>
        </w:tc>
        <w:tc>
          <w:tcPr/>
          <w:p>
            <w:pPr>
              <w:pStyle w:val="Compact"/>
            </w:pPr>
            <w:r>
              <w:rPr>
                <w:lang w:val="pt-PT"/>
              </w:rPr>
              <w:t xml:space="preserve">Société par actions simplifiée (SAS), forma jurídica francesa</w:t>
            </w:r>
          </w:p>
        </w:tc>
      </w:tr>
      <w:tr>
        <w:trPr>
          <w:cantSplit/>
        </w:trPr>
        <w:tc>
          <w:tcPr/>
          <w:p>
            <w:pPr>
              <w:pStyle w:val="Compact"/>
            </w:pPr>
            <w:r>
              <w:rPr>
                <w:lang w:val="pt-PT"/>
              </w:rPr>
              <w:t xml:space="preserve">Número de IVA intracomunitário</w:t>
            </w:r>
          </w:p>
        </w:tc>
        <w:tc>
          <w:tcPr/>
          <w:p>
            <w:pPr>
              <w:pStyle w:val="Compact"/>
            </w:pPr>
            <w:r>
              <w:rPr>
                <w:lang w:val="pt-PT"/>
              </w:rPr>
              <w:t xml:space="preserve">FR78992146480</w:t>
            </w:r>
          </w:p>
        </w:tc>
      </w:tr>
      <w:tr>
        <w:trPr>
          <w:cantSplit/>
        </w:trPr>
        <w:tc>
          <w:tcPr/>
          <w:p>
            <w:pPr>
              <w:pStyle w:val="Compact"/>
            </w:pPr>
            <w:r>
              <w:rPr>
                <w:lang w:val="pt-PT"/>
              </w:rPr>
              <w:t xml:space="preserve">Cadastro</w:t>
            </w:r>
          </w:p>
        </w:tc>
        <w:tc>
          <w:tcPr/>
          <w:p>
            <w:pPr>
              <w:pStyle w:val="Compact"/>
            </w:pPr>
            <w:r>
              <w:rPr>
                <w:lang w:val="pt-PT"/>
              </w:rPr>
              <w:t xml:space="preserve">992 146 480 R.C.S. Paris — SIRET da sede: 992 146 480 00015</w:t>
            </w:r>
          </w:p>
        </w:tc>
      </w:tr>
      <w:tr>
        <w:trPr>
          <w:cantSplit/>
        </w:trPr>
        <w:tc>
          <w:tcPr/>
          <w:p>
            <w:pPr>
              <w:pStyle w:val="Compact"/>
            </w:pPr>
            <w:r>
              <w:rPr>
                <w:lang w:val="pt-PT"/>
              </w:rPr>
              <w:t xml:space="preserve">Sede</w:t>
            </w:r>
          </w:p>
        </w:tc>
        <w:tc>
          <w:tcPr/>
          <w:p>
            <w:pPr>
              <w:pStyle w:val="Compact"/>
            </w:pPr>
            <w:r>
              <w:rPr>
                <w:lang w:val="pt-PT"/>
              </w:rPr>
              <w:t xml:space="preserve">60 rue François 1er, 75008 Paris, França</w:t>
            </w:r>
          </w:p>
        </w:tc>
      </w:tr>
      <w:tr>
        <w:trPr>
          <w:cantSplit/>
        </w:trPr>
        <w:tc>
          <w:tcPr/>
          <w:p>
            <w:pPr>
              <w:pStyle w:val="Compact"/>
            </w:pPr>
            <w:r>
              <w:rPr>
                <w:lang w:val="pt-PT"/>
              </w:rPr>
              <w:t xml:space="preserve">Representante legal</w:t>
            </w:r>
          </w:p>
        </w:tc>
        <w:tc>
          <w:tcPr/>
          <w:p>
            <w:pPr>
              <w:pStyle w:val="Compact"/>
            </w:pPr>
            <w:r>
              <w:rPr>
                <w:lang w:val="pt-PT"/>
              </w:rPr>
              <w:t xml:space="preserve">Olivier Dupont, presidente</w:t>
            </w:r>
          </w:p>
        </w:tc>
      </w:tr>
      <w:tr>
        <w:trPr>
          <w:cantSplit/>
        </w:trPr>
        <w:tc>
          <w:tcPr/>
          <w:p>
            <w:pPr>
              <w:pStyle w:val="Compact"/>
            </w:pPr>
            <w:r>
              <w:rPr>
                <w:lang w:val="pt-PT"/>
              </w:rPr>
              <w:t xml:space="preserve">Contacto RGPD / EPD</w:t>
            </w:r>
          </w:p>
        </w:tc>
        <w:tc>
          <w:tcPr/>
          <w:p>
            <w:pPr>
              <w:pStyle w:val="Compact"/>
            </w:pPr>
            <w:hyperlink r:id="rId10">
              <w:r>
                <w:rPr>
                  <w:rStyle w:val="Hyperlink"/>
                  <w:lang w:val="pt-PT"/>
                </w:rPr>
                <w:t xml:space="preserve">privacy@transcribia.eu</w:t>
              </w:r>
            </w:hyperlink>
          </w:p>
        </w:tc>
      </w:tr>
      <w:tr>
        <w:trPr>
          <w:cantSplit/>
        </w:trPr>
        <w:tc>
          <w:tcPr/>
          <w:p>
            <w:pPr>
              <w:pStyle w:val="Compact"/>
            </w:pPr>
            <w:r>
              <w:rPr>
                <w:lang w:val="pt-PT"/>
              </w:rPr>
              <w:t xml:space="preserve">Serviço abrangido</w:t>
            </w:r>
          </w:p>
        </w:tc>
        <w:tc>
          <w:tcPr/>
          <w:p>
            <w:pPr>
              <w:pStyle w:val="Compact"/>
            </w:pPr>
            <w:r>
              <w:rPr>
                <w:lang w:val="pt-PT"/>
              </w:rPr>
              <w:t xml:space="preserve">TranscribIA, solução SaaS e/ou implementação Docker local para transcrição de áudio, exploração de transcrições, assistência de IA e sugestão de identificação de interveniente</w:t>
            </w:r>
          </w:p>
        </w:tc>
      </w:tr>
      <w:tr>
        <w:trPr>
          <w:cantSplit/>
        </w:trPr>
        <w:tc>
          <w:tcPr/>
          <w:p>
            <w:pPr>
              <w:pStyle w:val="Compact"/>
            </w:pPr>
            <w:r>
              <w:rPr>
                <w:lang w:val="pt-PT"/>
              </w:rPr>
              <w:t xml:space="preserve">Versão do Contrato</w:t>
            </w:r>
          </w:p>
        </w:tc>
        <w:tc>
          <w:tcPr/>
          <w:p>
            <w:pPr>
              <w:pStyle w:val="Compact"/>
            </w:pPr>
            <w:r>
              <w:rPr>
                <w:lang w:val="pt-PT"/>
              </w:rPr>
              <w:t xml:space="preserve">Rascunho 1.1 — 24/07/2026</w:t>
            </w:r>
          </w:p>
        </w:tc>
      </w:tr>
      <w:tr>
        <w:trPr>
          <w:cantSplit/>
        </w:trPr>
        <w:tc>
          <w:tcPr/>
          <w:p>
            <w:pPr>
              <w:pStyle w:val="Compact"/>
            </w:pPr>
            <w:r>
              <w:rPr>
                <w:lang w:val="pt-PT"/>
              </w:rPr>
              <w:t xml:space="preserve">Data efetiva</w:t>
            </w:r>
          </w:p>
        </w:tc>
        <w:tc>
          <w:tcPr/>
          <w:p>
            <w:pPr>
              <w:pStyle w:val="Compact"/>
            </w:pPr>
            <w:r>
              <w:rPr>
                <w:lang w:val="pt-PT"/>
              </w:rPr>
              <w:t xml:space="preserve">[data a ser concluída]</w:t>
            </w:r>
          </w:p>
        </w:tc>
      </w:tr>
    </w:tbl>
    <w:p>
      <w:pPr>
        <w:pStyle w:val="BodyText"/>
      </w:pPr>
      <w:r>
        <w:rPr>
          <w:lang w:val="pt-PT"/>
        </w:rPr>
        <w:t xml:space="preserve">As Partes acordam que o Cliente determina as finalidades e os meios essenciais do tratamento realizado através do Serviço. OHADJA processa Dados pessoais exclusivamente em nome do Cliente, sujeito ao Contrato Principal, a este Contrato e às instruções documentadas do Cliente.</w:t>
      </w:r>
    </w:p>
    <w:bookmarkEnd w:id="11"/>
    <w:bookmarkStart w:id="13" w:name="X0e1a19f325594220583e00426b84baa7865d939"/>
    <w:p>
      <w:pPr>
        <w:pStyle w:val="Heading2"/>
        <w:keepNext/>
        <w:keepLines/>
      </w:pPr>
      <w:r>
        <w:rPr>
          <w:color w:val="000000"/>
          <w:lang w:val="pt-PT"/>
        </w:rPr>
        <w:t xml:space="preserve">2. DEFINIÇÕES</w:t>
      </w:r>
    </w:p>
    <w:p>
      <w:pPr>
        <w:pStyle w:val="FirstParagraph"/>
      </w:pPr>
      <w:r>
        <w:rPr>
          <w:lang w:val="pt-PT"/>
        </w:rPr>
        <w:t xml:space="preserve">“Aplicação” ou “Serviço” refere-se à solução TranscribIA, acessível nomeadamente no endereço </w:t>
      </w:r>
      <w:r>
        <w:rPr>
          <w:lang w:val="pt-PT"/>
        </w:rPr>
        <w:t xml:space="preserve"/>
      </w:r>
      <w:r>
        <w:rPr>
          <w:rStyle w:val="VerbatimChar"/>
          <w:lang w:val="pt-PT"/>
        </w:rPr>
        <w:t xml:space="preserve">https://client.transcribia.eu</w:t>
      </w:r>
      <w:r>
        <w:rPr>
          <w:lang w:val="pt-PT"/>
        </w:rPr>
        <w:t xml:space="preserve"> </w:t>
      </w:r>
      <w:r>
        <w:rPr>
          <w:lang w:val="pt-PT"/>
        </w:rPr>
        <w:t xml:space="preserve">em modo SaaS, bem como aos seus componentes de aplicação, API, interfaces de administração, processamento de transcrição, processamento de IA, funcionalidades de correlação de voz, exportações, registos de auditoria e, quando aplicável, a sua implementação Docker on-premise.</w:t>
      </w:r>
    </w:p>
    <w:p>
      <w:pPr>
        <w:pStyle w:val="BodyText"/>
      </w:pPr>
      <w:r>
        <w:rPr>
          <w:lang w:val="pt-PT"/>
        </w:rPr>
        <w:t xml:space="preserve">“Dados pessoais” significa qualquer informação relativa a uma pessoa física identificada ou identificável, na aceção do artigo 4.1 de RGPD.</w:t>
      </w:r>
    </w:p>
    <w:p>
      <w:pPr>
        <w:pStyle w:val="BodyText"/>
      </w:pPr>
      <w:r>
        <w:rPr>
          <w:lang w:val="pt-PT"/>
        </w:rPr>
        <w:t xml:space="preserve">“Incidente de Segurança” significa qualquer evento que comprometa ou possa comprometer a confidencialidade, integridade, disponibilidade ou resiliência de sistemas ou Dados, incluindo qualquer violação de Dados pessoais na aceção do artigo 4.12 de RGPD.</w:t>
      </w:r>
    </w:p>
    <w:p>
      <w:pPr>
        <w:pStyle w:val="BodyText"/>
      </w:pPr>
      <w:r>
        <w:rPr>
          <w:lang w:val="pt-PT"/>
        </w:rPr>
        <w:t xml:space="preserve">“MTOs” designa as medidas técnicas e organizacionais implementadas para garantir um nível de segurança adaptado ao risco, nomeadamente de acordo com o artigo 32.º do RGPD.</w:t>
      </w:r>
    </w:p>
    <w:p>
      <w:pPr>
        <w:pStyle w:val="BodyText"/>
      </w:pPr>
      <w:r>
        <w:rPr>
          <w:lang w:val="pt-PT"/>
        </w:rPr>
        <w:t xml:space="preserve">“Titular dos Dados” significa qualquer pessoa física cujos dados Dados pessoais sejam processados como parte do Serviço, em particular os utilizadores do Cliente, palestrantes gravados, participantes de reuniões, pessoas mencionadas em transcrições, documentos ou metadados.</w:t>
      </w:r>
    </w:p>
    <w:p>
      <w:pPr>
        <w:pStyle w:val="BodyText"/>
      </w:pPr>
      <w:r>
        <w:rPr>
          <w:lang w:val="pt-PT"/>
        </w:rPr>
        <w:t xml:space="preserve">«Responsável pelo tratamento» designa a pessoa coletiva ou o organismo que determina as finalidades e os meios do Tratamento, na aceção do artigo 4.º, n.º 7, do RGPD. No presente Acordo, o Cliente atua nessa qualidade.</w:t>
      </w:r>
    </w:p>
    <w:p>
      <w:pPr>
        <w:pStyle w:val="BodyText"/>
      </w:pPr>
      <w:r>
        <w:rPr>
          <w:lang w:val="pt-PT"/>
        </w:rPr>
        <w:t xml:space="preserve">“RGPD” significa o Regulamento (UE) 2016/679 de 27 de abril de 2016, em particular os seus artigos 28, 32, 33, 34, 35 e 36, cujo texto oficial é publicado pela CNIL no seguinte endereço: </w:t>
      </w:r>
      <w:r>
        <w:rPr>
          <w:lang w:val="pt-PT"/>
        </w:rPr>
        <w:t xml:space="preserve"/>
      </w:r>
      <w:hyperlink r:id="rId12">
        <w:r>
          <w:rPr>
            <w:rStyle w:val="Hyperlink"/>
            <w:lang w:val="pt-PT"/>
          </w:rPr>
          <w:t xml:space="preserve">https://www.cnil.fr/fr/reglement-europeen-protection-donnees/chapitre4</w:t>
        </w:r>
      </w:hyperlink>
      <w:r>
        <w:rPr>
          <w:lang w:val="pt-PT"/>
        </w:rPr>
        <w:t xml:space="preserve">.</w:t>
      </w:r>
    </w:p>
    <w:p>
      <w:pPr>
        <w:pStyle w:val="BodyText"/>
      </w:pPr>
      <w:r>
        <w:rPr>
          <w:lang w:val="pt-PT"/>
        </w:rPr>
        <w:t xml:space="preserve">«Subcontratante» designa a pessoa coletiva que trata Dados pessoais por conta do Responsável pelo tratamento, na aceção do artigo 4.º, n.º 8, do RGPD. No presente Acordo, a OHADJA atua nessa qualidade.</w:t>
      </w:r>
    </w:p>
    <w:p>
      <w:pPr>
        <w:pStyle w:val="BodyText"/>
      </w:pPr>
      <w:r>
        <w:rPr>
          <w:lang w:val="pt-PT"/>
        </w:rPr>
        <w:t xml:space="preserve">«Subcontratante ulterior» designa qualquer prestador contratado pela OHADJA para realizar atividades específicas de tratamento por conta do Cliente, nas condições do artigo 28.º, n.os 2 e 4, do RGPD.</w:t>
      </w:r>
    </w:p>
    <w:p>
      <w:pPr>
        <w:pStyle w:val="BodyText"/>
      </w:pPr>
      <w:r>
        <w:rPr>
          <w:lang w:val="pt-PT"/>
        </w:rPr>
        <w:t xml:space="preserve">“Tratamento” significa qualquer operação ou conjunto de operações realizadas ou não através de processos automatizados e aplicadas a Dados pessoais, na aceção do artigo 4.2 de RGPD.</w:t>
      </w:r>
    </w:p>
    <w:bookmarkEnd w:id="13"/>
    <w:bookmarkStart w:id="14" w:name="Xc17c9d865baca38989ae11d25b8e8a34111b524"/>
    <w:p>
      <w:pPr>
        <w:pStyle w:val="Heading2"/>
        <w:keepNext/>
        <w:keepLines/>
      </w:pPr>
      <w:r>
        <w:rPr>
          <w:color w:val="000000"/>
          <w:lang w:val="pt-PT"/>
        </w:rPr>
        <w:t xml:space="preserve">3. FINALIDADE E HIERARQUIA CONTRATUAL</w:t>
      </w:r>
    </w:p>
    <w:p>
      <w:pPr>
        <w:pStyle w:val="FirstParagraph"/>
      </w:pPr>
      <w:r>
        <w:rPr>
          <w:lang w:val="pt-PT"/>
        </w:rPr>
        <w:t xml:space="preserve">O objetivo deste Contrato é definir as condições sob as quais OHADJA processa Dados pessoais em nome do Cliente no âmbito do Serviço TranscribIA, de acordo com o artigo 28 de RGPD.</w:t>
      </w:r>
    </w:p>
    <w:p>
      <w:pPr>
        <w:pStyle w:val="BodyText"/>
      </w:pPr>
      <w:r>
        <w:rPr>
          <w:lang w:val="pt-PT"/>
        </w:rPr>
        <w:t xml:space="preserve">O presente Contrato complementa o contrato principal, as condições especiais, as ordens de compra, os orçamentos aceites, as condições gerais de serviço, os anexos técnicos e qualquer outro documento contratual que reja a prestação do Serviço ao Cliente.</w:t>
      </w:r>
    </w:p>
    <w:p>
      <w:pPr>
        <w:pStyle w:val="BodyText"/>
      </w:pPr>
      <w:r>
        <w:rPr>
          <w:lang w:val="pt-PT"/>
        </w:rPr>
        <w:t xml:space="preserve">Em caso de qualquer contradição entre este Contrato e o Contrato Principal em relação à proteção de Dados pessoais, à segurança do processamento, às instruções do Cliente, Subcontratantes ulteriores, transferências internacionais, restituição ou exclusão de Dados, as disposições deste Contrato prevalecerão.</w:t>
      </w:r>
    </w:p>
    <w:p>
      <w:pPr>
        <w:pStyle w:val="BodyText"/>
      </w:pPr>
      <w:r>
        <w:rPr>
          <w:lang w:val="pt-PT"/>
        </w:rPr>
        <w:t xml:space="preserve">Este Contrato não transfere para OHADJA o status de Responsável pelo tratamento para o processamento realizado em nome do Cliente. O Cliente permanece responsável pela licitude do tratamento, pela determinação das finalidades, pela base jurídica, pela informação dos Titulares dos Dados, pela gestão dos direitos e, quando aplicável, pela realização de uma análise de impacto relativa à proteção de dados nos termos do artigo 35º do RGPD.</w:t>
      </w:r>
    </w:p>
    <w:bookmarkEnd w:id="14"/>
    <w:bookmarkStart w:id="15" w:name="X4deae1a1998fbf12bc78ab23704a7b9750f2830"/>
    <w:p>
      <w:pPr>
        <w:pStyle w:val="Heading2"/>
        <w:keepNext/>
        <w:keepLines/>
      </w:pPr>
      <w:r>
        <w:rPr>
          <w:color w:val="000000"/>
          <w:lang w:val="pt-PT"/>
        </w:rPr>
        <w:t xml:space="preserve">4. DESCRIÇÃO DO TRATAMENTO</w:t>
      </w:r>
    </w:p>
    <w:p>
      <w:pPr>
        <w:pStyle w:val="FirstParagraph"/>
      </w:pPr>
      <w:r>
        <w:rPr>
          <w:lang w:val="pt-PT"/>
        </w:rPr>
        <w:t xml:space="preserve">As características detalhadas do Tratamento, incluindo o seu objeto, a sua duração, a sua natureza, as suas finalidades, as categorias de Dados tratados, as categorias de Pessoas envolvidas, os prazos de conservação e as garantias específicas da funcionalidade de correlação de voz, constam do Anexo 1.</w:t>
      </w:r>
    </w:p>
    <w:p>
      <w:pPr>
        <w:pStyle w:val="BodyText"/>
      </w:pPr>
      <w:r>
        <w:rPr>
          <w:lang w:val="pt-PT"/>
        </w:rPr>
        <w:t xml:space="preserve">O Serviço é prestado de acordo com uma das seguintes opções, a serem verificadas pelas Partes:</w:t>
      </w:r>
    </w:p>
    <w:tbl>
      <w:tblPr>
        <w:tblStyle w:val="Table"/>
        <w:tblW w:type="dxa" w:w="9360"/>
        <w:tblLook w:firstRow="1" w:lastRow="0" w:firstColumn="0" w:lastColumn="0" w:noHBand="0" w:noVBand="0" w:val="0020"/>
        <w:tblLayout w:type="fixed"/>
      </w:tblPr>
      <w:tblGrid>
        <w:gridCol w:w="1498"/>
        <w:gridCol w:w="6926"/>
        <w:gridCol w:w="936"/>
      </w:tblGrid>
      <w:tr>
        <w:trPr>
          <w:tblHeader w:val="on"/>
          <w:cantSplit/>
        </w:trPr>
        <w:tc>
          <w:tcPr>
            <w:tcW w:type="dxa" w:w="1498"/>
            <w:tcMar>
              <w:left w:type="dxa" w:w="80"/>
              <w:right w:type="dxa" w:w="80"/>
            </w:tcMar>
          </w:tcPr>
          <w:p>
            <w:pPr>
              <w:pStyle w:val="Compact"/>
            </w:pPr>
            <w:r>
              <w:rPr>
                <w:lang w:val="pt-PT"/>
              </w:rPr>
              <w:t xml:space="preserve">Opções</w:t>
            </w:r>
          </w:p>
        </w:tc>
        <w:tc>
          <w:tcPr>
            <w:tcW w:type="dxa" w:w="6926"/>
            <w:tcMar>
              <w:left w:type="dxa" w:w="80"/>
              <w:right w:type="dxa" w:w="80"/>
            </w:tcMar>
          </w:tcPr>
          <w:p>
            <w:pPr>
              <w:pStyle w:val="Compact"/>
            </w:pPr>
            <w:r>
              <w:rPr>
                <w:lang w:val="pt-PT"/>
              </w:rPr>
              <w:t xml:space="preserve">Modo de fornecimento</w:t>
            </w:r>
          </w:p>
        </w:tc>
        <w:tc>
          <w:tcPr>
            <w:tcW w:type="dxa" w:w="936"/>
            <w:tcMar>
              <w:left w:type="dxa" w:w="80"/>
              <w:right w:type="dxa" w:w="80"/>
            </w:tcMar>
          </w:tcPr>
          <w:p>
            <w:pPr>
              <w:pStyle w:val="Compact"/>
            </w:pPr>
            <w:r>
              <w:rPr>
                <w:lang w:val="pt-PT"/>
              </w:rPr>
              <w:t xml:space="preserve">Escolha</w:t>
            </w:r>
          </w:p>
        </w:tc>
      </w:tr>
      <w:tr>
        <w:trPr>
          <w:cantSplit/>
        </w:trPr>
        <w:tc>
          <w:tcPr>
            <w:tcW w:type="dxa" w:w="1498"/>
            <w:tcMar>
              <w:left w:type="dxa" w:w="80"/>
              <w:right w:type="dxa" w:w="80"/>
            </w:tcMar>
          </w:tcPr>
          <w:p>
            <w:pPr>
              <w:pStyle w:val="Compact"/>
            </w:pPr>
            <w:r>
              <w:rPr>
                <w:lang w:val="pt-PT"/>
              </w:rPr>
              <w:t xml:space="preserve">Opção A</w:t>
            </w:r>
          </w:p>
        </w:tc>
        <w:tc>
          <w:tcPr>
            <w:tcW w:type="dxa" w:w="6926"/>
            <w:tcMar>
              <w:left w:type="dxa" w:w="80"/>
              <w:right w:type="dxa" w:w="80"/>
            </w:tcMar>
          </w:tcPr>
          <w:p>
            <w:pPr>
              <w:pStyle w:val="Compact"/>
            </w:pPr>
            <w:r>
              <w:rPr>
                <w:lang w:val="pt-PT"/>
              </w:rPr>
              <w:t xml:space="preserve">SaaS TranscribIA hospedado e operado por OHADJA, com alojamento na França ou na União Europeia</w:t>
            </w:r>
          </w:p>
        </w:tc>
        <w:tc>
          <w:tcPr>
            <w:tcW w:type="dxa" w:w="936"/>
            <w:tcMar>
              <w:left w:type="dxa" w:w="80"/>
              <w:right w:type="dxa" w:w="80"/>
            </w:tcMar>
          </w:tcPr>
          <w:p>
            <w:pPr>
              <w:pStyle w:val="Compact"/>
            </w:pPr>
            <w:r>
              <w:rPr>
                <w:lang w:val="pt-PT"/>
              </w:rPr>
              <w:t xml:space="preserve">[ ]</w:t>
            </w:r>
          </w:p>
        </w:tc>
      </w:tr>
      <w:tr>
        <w:trPr>
          <w:cantSplit/>
        </w:trPr>
        <w:tc>
          <w:tcPr>
            <w:tcW w:type="dxa" w:w="1498"/>
            <w:tcMar>
              <w:left w:type="dxa" w:w="80"/>
              <w:right w:type="dxa" w:w="80"/>
            </w:tcMar>
          </w:tcPr>
          <w:p>
            <w:pPr>
              <w:pStyle w:val="Compact"/>
            </w:pPr>
            <w:r>
              <w:rPr>
                <w:lang w:val="pt-PT"/>
              </w:rPr>
              <w:t xml:space="preserve">Opção B</w:t>
            </w:r>
          </w:p>
        </w:tc>
        <w:tc>
          <w:tcPr>
            <w:tcW w:type="dxa" w:w="6926"/>
            <w:tcMar>
              <w:left w:type="dxa" w:w="80"/>
              <w:right w:type="dxa" w:w="80"/>
            </w:tcMar>
          </w:tcPr>
          <w:p>
            <w:pPr>
              <w:pStyle w:val="Compact"/>
            </w:pPr>
            <w:r>
              <w:rPr>
                <w:lang w:val="pt-PT"/>
              </w:rPr>
              <w:t xml:space="preserve">Implementação do Docker no local no Cliente ou na infraestrutura designada pelo Cliente</w:t>
            </w:r>
          </w:p>
        </w:tc>
        <w:tc>
          <w:tcPr>
            <w:tcW w:type="dxa" w:w="936"/>
            <w:tcMar>
              <w:left w:type="dxa" w:w="80"/>
              <w:right w:type="dxa" w:w="80"/>
            </w:tcMar>
          </w:tcPr>
          <w:p>
            <w:pPr>
              <w:pStyle w:val="Compact"/>
            </w:pPr>
            <w:r>
              <w:rPr>
                <w:lang w:val="pt-PT"/>
              </w:rPr>
              <w:t xml:space="preserve">[ ]</w:t>
            </w:r>
          </w:p>
        </w:tc>
      </w:tr>
    </w:tbl>
    <w:p>
      <w:pPr>
        <w:pStyle w:val="BodyText"/>
      </w:pPr>
      <w:r>
        <w:rPr>
          <w:lang w:val="pt-PT"/>
        </w:rPr>
        <w:t xml:space="preserve">Na Opção A, OHADJA garante a operação das aplicações, alojamento, manutenção, supervisão, backups técnicos, atualizações e segurança operacional do Serviço, dentro dos limites do Contrato Principal e dos MTOs descritos no Anexo 3.</w:t>
      </w:r>
    </w:p>
    <w:p>
      <w:pPr>
        <w:pStyle w:val="BodyText"/>
      </w:pPr>
      <w:r>
        <w:rPr>
          <w:lang w:val="pt-PT"/>
        </w:rPr>
        <w:t xml:space="preserve">Na Opção B, o Cliente fornece alojamento, administração de infraestrutura, segurança de rede, backup, supervisão e acesso ao sistema do seu ambiente, salvo estipulação em contrário. OHADJA permanece Subcontratante para as operações que efetivamente realiza por conta do Cliente, nomeadamente suporte, manutenção, acesso remoto autorizado, atualizações de aplicações, assistência técnica, processamento de IA ou transcrição externa ativada pelo Cliente.</w:t>
      </w:r>
    </w:p>
    <w:bookmarkEnd w:id="15"/>
    <w:bookmarkStart w:id="24" w:name="X6fbe77c1f2ceb9b8fe7ce4f91ca5eec1189f452"/>
    <w:p>
      <w:pPr>
        <w:pStyle w:val="Heading2"/>
        <w:keepNext/>
        <w:keepLines/>
      </w:pPr>
      <w:r>
        <w:rPr>
          <w:color w:val="000000"/>
          <w:lang w:val="pt-PT"/>
        </w:rPr>
        <w:t xml:space="preserve">5. OBRIGAÇÕES DE Subcontratante</w:t>
      </w:r>
    </w:p>
    <w:bookmarkStart w:id="16" w:name="X85011d02b5293815d8a137ad98420bb0d38d2c8"/>
    <w:p>
      <w:pPr>
        <w:pStyle w:val="Heading3"/>
        <w:keepNext/>
        <w:keepLines/>
      </w:pPr>
      <w:r>
        <w:rPr>
          <w:color w:val="000000"/>
          <w:lang w:val="pt-PT"/>
        </w:rPr>
        <w:t xml:space="preserve">5.1 INSTRUÇÕES DOCUMENTADAS DO CLIENTE — ARTIGO 28.º, N.º 3, ALÍNEA A), DO RGPD</w:t>
      </w:r>
    </w:p>
    <w:p>
      <w:pPr>
        <w:pStyle w:val="FirstParagraph"/>
      </w:pPr>
      <w:r>
        <w:rPr>
          <w:lang w:val="pt-PT"/>
        </w:rPr>
        <w:t xml:space="preserve">OHADJA processa Dados pessoais apenas de acordo com as instruções documentadas do Cliente, inclusive no que diz respeito a transferências de Dados para um terceiro país ou uma organização internacional.</w:t>
      </w:r>
    </w:p>
    <w:p>
      <w:pPr>
        <w:pStyle w:val="BodyText"/>
      </w:pPr>
      <w:r>
        <w:rPr>
          <w:lang w:val="pt-PT"/>
        </w:rPr>
        <w:t xml:space="preserve">As instruções documentadas incluem o Contrato Principal, este Contrato, as configurações feitas pelo Cliente na Aplicação, os pedidos escritos dirigidos ao suporte, as configurações técnicas validadas pelo Cliente e as instruções adicionais formalizadas por escrito.</w:t>
      </w:r>
    </w:p>
    <w:p>
      <w:pPr>
        <w:pStyle w:val="BodyText"/>
      </w:pPr>
      <w:r>
        <w:rPr>
          <w:lang w:val="pt-PT"/>
        </w:rPr>
        <w:t xml:space="preserve">OHADJA informará sem demora o Cliente se considerar que uma instrução constitui uma violação de RGPD ou outra disposição aplicável da legislação da União ou francesa relativa à proteção de dados, de acordo com o artigo 28.3.h de RGPD.</w:t>
      </w:r>
    </w:p>
    <w:p>
      <w:pPr>
        <w:pStyle w:val="BodyText"/>
      </w:pPr>
      <w:r>
        <w:rPr>
          <w:lang w:val="pt-PT"/>
        </w:rPr>
        <w:t xml:space="preserve">Se OHADJA for obrigado a processar Dados ao abrigo da legislação da União ou da legislação de um Estado-Membro, deverá informar o Cliente antes do Processamento, a menos que seja proibido por lei com base num motivo importante de interesse público.</w:t>
      </w:r>
    </w:p>
    <w:bookmarkEnd w:id="16"/>
    <w:bookmarkStart w:id="17" w:name="X640541e1c00603a23593b291bac8ac454affb4b"/>
    <w:p>
      <w:pPr>
        <w:pStyle w:val="Heading3"/>
        <w:keepNext/>
        <w:keepLines/>
      </w:pPr>
      <w:r>
        <w:rPr>
          <w:color w:val="000000"/>
          <w:lang w:val="pt-PT"/>
        </w:rPr>
        <w:t xml:space="preserve">5.2 CONFIDENCIALIDADE — ARTIGO 28.3.B RGPD</w:t>
      </w:r>
    </w:p>
    <w:p>
      <w:pPr>
        <w:pStyle w:val="FirstParagraph"/>
      </w:pPr>
      <w:r>
        <w:rPr>
          <w:lang w:val="pt-PT"/>
        </w:rPr>
        <w:t xml:space="preserve">OHADJA garante que as pessoas autorizadas a processar Dados pessoais se comprometem a manter a confidencialidade ou estão sujeitas a uma obrigação legal apropriada de confidencialidade.</w:t>
      </w:r>
    </w:p>
    <w:p>
      <w:pPr>
        <w:pStyle w:val="BodyText"/>
      </w:pPr>
      <w:r>
        <w:rPr>
          <w:lang w:val="pt-PT"/>
        </w:rPr>
        <w:t xml:space="preserve">O acesso aos Dados é limitado ao pessoal, agentes ou prestadores de serviços com necessidade de conhecimento para a execução do Serviço, suporte, manutenção, segurança ou instrução documentada do Cliente.</w:t>
      </w:r>
    </w:p>
    <w:p>
      <w:pPr>
        <w:pStyle w:val="BodyText"/>
      </w:pPr>
      <w:r>
        <w:rPr>
          <w:lang w:val="pt-PT"/>
        </w:rPr>
        <w:t xml:space="preserve">Os compromissos de confidencialidade permanecem aplicáveis após o termo da relação contratual dos titulares dos dados com OHADJA.</w:t>
      </w:r>
    </w:p>
    <w:bookmarkEnd w:id="17"/>
    <w:bookmarkStart w:id="18" w:name="X386434ff447907cb8c97496307d45663c82d3f0"/>
    <w:p>
      <w:pPr>
        <w:pStyle w:val="Heading3"/>
        <w:keepNext/>
        <w:keepLines/>
      </w:pPr>
      <w:r>
        <w:rPr>
          <w:color w:val="000000"/>
          <w:lang w:val="pt-PT"/>
        </w:rPr>
        <w:t xml:space="preserve">5.3 SEGURANÇA DO PROCESSAMENTO — ARTIGOS 28.3.C E 32 RGPD</w:t>
      </w:r>
    </w:p>
    <w:p>
      <w:pPr>
        <w:pStyle w:val="FirstParagraph"/>
      </w:pPr>
      <w:r>
        <w:rPr>
          <w:lang w:val="pt-PT"/>
        </w:rPr>
        <w:t xml:space="preserve">OHADJA implementa os MTOs descritos no Anexo 3 de forma a garantir um nível de segurança adaptado ao risco, de acordo com os artigos 32.1.a, 32.1.b, 32.1.c e 32.1.d de RGPD.</w:t>
      </w:r>
    </w:p>
    <w:p>
      <w:pPr>
        <w:pStyle w:val="BodyText"/>
      </w:pPr>
      <w:r>
        <w:rPr>
          <w:lang w:val="pt-PT"/>
        </w:rPr>
        <w:t xml:space="preserve">Estes MTO abrangem, em particular, a encriptação em trânsito, o isolamento lógico dos inquilinos, a gestão de acessos, o registo, os backups, a continuidade do serviço, a gestão de vulnerabilidades, a segurança do processamento de IA e garantias específicas para a correlação de voz.</w:t>
      </w:r>
    </w:p>
    <w:p>
      <w:pPr>
        <w:pStyle w:val="BodyText"/>
      </w:pPr>
      <w:r>
        <w:rPr>
          <w:lang w:val="pt-PT"/>
        </w:rPr>
        <w:t xml:space="preserve">O Cliente reconhece que a segurança do Tratamento depende também das suas próprias obrigações, nomeadamente a gestão dos seus utilizadores, a atribuição de funções, a proteção dos identificadores, a escolha dos ficheiros carregados, a informação das Pessoas em causa e, na Opção B, a segurança da sua infraestrutura.</w:t>
      </w:r>
    </w:p>
    <w:bookmarkEnd w:id="18"/>
    <w:bookmarkStart w:id="19" w:name="Xb3486bc07c2cb7b33a0dadd72b9c7237bf29d3f"/>
    <w:p>
      <w:pPr>
        <w:pStyle w:val="Heading3"/>
        <w:keepNext/>
        <w:keepLines/>
      </w:pPr>
      <w:r>
        <w:rPr>
          <w:color w:val="000000"/>
          <w:lang w:val="pt-PT"/>
        </w:rPr>
        <w:t xml:space="preserve">5.4 Subcontratantes ulteriores — ARTIGOS 28.3.D, 28.2 E 28.4 RGPD</w:t>
      </w:r>
    </w:p>
    <w:p>
      <w:pPr>
        <w:pStyle w:val="FirstParagraph"/>
      </w:pPr>
      <w:r>
        <w:rPr>
          <w:lang w:val="pt-PT"/>
        </w:rPr>
        <w:t xml:space="preserve">OHADJA cumpre as condições previstas nos artigos 28.2 e 28.4 do RGPD para recrutar um Subcontratante ulterior.</w:t>
      </w:r>
    </w:p>
    <w:p>
      <w:pPr>
        <w:pStyle w:val="BodyText"/>
      </w:pPr>
      <w:r>
        <w:rPr>
          <w:lang w:val="pt-PT"/>
        </w:rPr>
        <w:t xml:space="preserve">OHADJA impõe a qualquer Subcontratante ulterior, por contrato ou ato jurídico equivalente, obrigações de proteção de dados pelo menos equivalentes às deste Contrato, nomeadamente no que diz respeito à confidencialidade, segurança, assistência, notificação de incidentes, restituição, eliminação e auditoria.</w:t>
      </w:r>
    </w:p>
    <w:p>
      <w:pPr>
        <w:pStyle w:val="BodyText"/>
      </w:pPr>
      <w:r>
        <w:rPr>
          <w:lang w:val="pt-PT"/>
        </w:rPr>
        <w:t xml:space="preserve">OHADJA permanece totalmente responsável perante o Cliente pela execução por parte de Subcontratantes ulteriores de suas obrigações relativas à proteção de dados.</w:t>
      </w:r>
    </w:p>
    <w:bookmarkEnd w:id="19"/>
    <w:bookmarkStart w:id="20" w:name="X181e667c542a4869513196e0a56998cd3261e78"/>
    <w:p>
      <w:pPr>
        <w:pStyle w:val="Heading3"/>
        <w:keepNext/>
        <w:keepLines/>
      </w:pPr>
      <w:r>
        <w:rPr>
          <w:color w:val="000000"/>
          <w:lang w:val="pt-PT"/>
        </w:rPr>
        <w:t xml:space="preserve">5.5 ASSISTÊNCIA A DIREITOS PESSOAIS — ARTIGO 28.3.E RGPD</w:t>
      </w:r>
    </w:p>
    <w:p>
      <w:pPr>
        <w:pStyle w:val="FirstParagraph"/>
      </w:pPr>
      <w:r>
        <w:rPr>
          <w:lang w:val="pt-PT"/>
        </w:rPr>
        <w:t xml:space="preserve">Tendo em conta a natureza do Tratamento, OHADJA ajuda o Cliente, através de medidas técnicas e organizativas adequadas e na medida do possível, a cumprir a sua obrigação de resposta aos pedidos de exercício dos direitos dos Titulares dos Dados previstos nos artigos 12.º a 22.º do RGPD.</w:t>
      </w:r>
    </w:p>
    <w:p>
      <w:pPr>
        <w:pStyle w:val="BodyText"/>
      </w:pPr>
      <w:r>
        <w:rPr>
          <w:lang w:val="pt-PT"/>
        </w:rPr>
        <w:t xml:space="preserve">Esta assistência pode incluir a exportação de Dados, a busca de sessões, a exclusão de contas de utilizadores, a exclusão de ficheiros, a retificação de informações inseridas no Aplicativo, o acesso aos logs disponíveis e a assistência técnica necessária para identificar os Dados em questão.</w:t>
      </w:r>
    </w:p>
    <w:p>
      <w:pPr>
        <w:pStyle w:val="BodyText"/>
      </w:pPr>
      <w:r>
        <w:rPr>
          <w:lang w:val="pt-PT"/>
        </w:rPr>
        <w:t xml:space="preserve">A OHADJA não responde diretamente a um Titular dos dados por conta do Cliente, salvo se receber instruções documentadas deste ou existir uma obrigação legal.</w:t>
      </w:r>
    </w:p>
    <w:bookmarkEnd w:id="20"/>
    <w:bookmarkStart w:id="21" w:name="X60f5f7b3d003ca48ae8ede0476f5c4b860bfbca"/>
    <w:p>
      <w:pPr>
        <w:pStyle w:val="Heading3"/>
        <w:keepNext/>
        <w:keepLines/>
      </w:pPr>
      <w:r>
        <w:rPr>
          <w:color w:val="000000"/>
          <w:lang w:val="pt-PT"/>
        </w:rPr>
        <w:t xml:space="preserve">5.6 ASSISTÊNCIA PARA AS OBRIGAÇÕES DOS ARTIGOS 32 A 36 — ARTIGO 28.3.F RGPD</w:t>
      </w:r>
    </w:p>
    <w:p>
      <w:pPr>
        <w:pStyle w:val="FirstParagraph"/>
      </w:pPr>
      <w:r>
        <w:rPr>
          <w:lang w:val="pt-PT"/>
        </w:rPr>
        <w:t xml:space="preserve">OHADJA ajuda o Cliente a garantir o cumprimento das suas obrigações previstas nos artigos 32 a 36 de RGPD, tendo em conta a natureza do Tratamento e a informação à sua disposição.</w:t>
      </w:r>
    </w:p>
    <w:p>
      <w:pPr>
        <w:pStyle w:val="BodyText"/>
      </w:pPr>
      <w:r>
        <w:rPr>
          <w:lang w:val="pt-PT"/>
        </w:rPr>
        <w:t xml:space="preserve">Esta assistência abrange nomeadamente a segurança do Tratamento, a notificação de violações de Dados pessoais, a eventual comunicação aos Titulares dos Dados, a análise de impacto relativa à proteção de dados e a consulta prévia à autoridade de controlo quando essas obrigações recaem sobre o Cliente.</w:t>
      </w:r>
    </w:p>
    <w:p>
      <w:pPr>
        <w:pStyle w:val="BodyText"/>
      </w:pPr>
      <w:r>
        <w:rPr>
          <w:lang w:val="pt-PT"/>
        </w:rPr>
        <w:t xml:space="preserve">OHADJA fornece ao Cliente, mediante solicitação razoável, informações técnicas disponíveis sobre a arquitetura do Serviço, MTOs, processamento de transcrição, processamento de IA, Subcontratantes ulteriores autorizado e garantias relacionadas à correlação de voz.</w:t>
      </w:r>
    </w:p>
    <w:bookmarkEnd w:id="21"/>
    <w:bookmarkStart w:id="22" w:name="X371a2d02ebe98ae60d5f35283993a98ae6374bb"/>
    <w:p>
      <w:pPr>
        <w:pStyle w:val="Heading3"/>
        <w:keepNext/>
        <w:keepLines/>
      </w:pPr>
      <w:r>
        <w:rPr>
          <w:color w:val="000000"/>
          <w:lang w:val="pt-PT"/>
        </w:rPr>
        <w:t xml:space="preserve">5.7 RESTITUIÇÃO OU EXCLUSÃO — ARTIGO 28.3.G RGPD</w:t>
      </w:r>
    </w:p>
    <w:p>
      <w:pPr>
        <w:pStyle w:val="FirstParagraph"/>
      </w:pPr>
      <w:r>
        <w:rPr>
          <w:lang w:val="pt-PT"/>
        </w:rPr>
        <w:t xml:space="preserve">No termo da prestação de serviços relativa ao Tratamento, a OHADJA apaga ou devolve ao Cliente, consoante a escolha documentada deste, todos os Dados pessoais tratados por sua conta e destrói as cópias existentes, salvo obrigação de conservação imposta pelo direito da União ou pelo direito francês.</w:t>
      </w:r>
    </w:p>
    <w:p>
      <w:pPr>
        <w:pStyle w:val="BodyText"/>
      </w:pPr>
      <w:r>
        <w:rPr>
          <w:lang w:val="pt-PT"/>
        </w:rPr>
        <w:t xml:space="preserve">As modalidades operacionais de restituição, exclusão, exportação, prazos e certificado estão definidas na secção 11.</w:t>
      </w:r>
    </w:p>
    <w:bookmarkEnd w:id="22"/>
    <w:bookmarkStart w:id="23" w:name="Xbf1dd0c2929220af4686f03f916b0123ec6be16"/>
    <w:p>
      <w:pPr>
        <w:pStyle w:val="Heading3"/>
        <w:keepNext/>
        <w:keepLines/>
      </w:pPr>
      <w:r>
        <w:rPr>
          <w:color w:val="000000"/>
          <w:lang w:val="pt-PT"/>
        </w:rPr>
        <w:t xml:space="preserve">5.8 DEMONSTRAÇÃO DE CONFORMIDADE E AUDITORIA — ARTIGO 28.3.H RGPD</w:t>
      </w:r>
    </w:p>
    <w:p>
      <w:pPr>
        <w:pStyle w:val="FirstParagraph"/>
      </w:pPr>
      <w:r>
        <w:rPr>
          <w:lang w:val="pt-PT"/>
        </w:rPr>
        <w:t xml:space="preserve">OHADJA fornece ao Cliente as informações necessárias à demonstração do cumprimento das obrigações previstas no artigo 28.º do RGPD e permite que auditorias, incluindo inspeções, sejam realizadas pelo Cliente ou por auditor por ele mandatado, nas condições previstas na secção 10.</w:t>
      </w:r>
    </w:p>
    <w:p>
      <w:pPr>
        <w:pStyle w:val="BodyText"/>
      </w:pPr>
      <w:r>
        <w:rPr>
          <w:lang w:val="pt-PT"/>
        </w:rPr>
        <w:t xml:space="preserve">OHADJA mantém um registo das categorias de atividades de processamento realizadas em nome do Cliente quando tal for exigido pelo artigo 30.2 de RGPD.</w:t>
      </w:r>
    </w:p>
    <w:bookmarkEnd w:id="23"/>
    <w:bookmarkEnd w:id="24"/>
    <w:bookmarkStart w:id="25" w:name="X6d69baf09f8184b2fba964eb0a06417a06d4abe"/>
    <w:p>
      <w:pPr>
        <w:pStyle w:val="Heading2"/>
        <w:keepNext/>
        <w:keepLines/>
      </w:pPr>
      <w:r>
        <w:rPr>
          <w:color w:val="000000"/>
          <w:lang w:val="pt-PT"/>
        </w:rPr>
        <w:t xml:space="preserve">6.Subcontratantes ulteriores</w:t>
      </w:r>
    </w:p>
    <w:p>
      <w:pPr>
        <w:pStyle w:val="FirstParagraph"/>
      </w:pPr>
      <w:r>
        <w:rPr>
          <w:lang w:val="pt-PT"/>
        </w:rPr>
        <w:t xml:space="preserve">O Cliente concede à OHADJA uma autorização escrita geral para recorrer aos Subcontratantes ulteriores indicados no Anexo 2 para as finalidades aí descritas, nos termos do artigo 28.º, n.º 2, do RGPD.</w:t>
      </w:r>
    </w:p>
    <w:p>
      <w:pPr>
        <w:pStyle w:val="BodyText"/>
      </w:pPr>
      <w:r>
        <w:rPr>
          <w:lang w:val="pt-PT"/>
        </w:rPr>
        <w:t xml:space="preserve">OHADJA informa o Cliente de qualquer adição ou substituição planejada de Subcontratante ulterior pelo menos trinta (30) dias corridos antes de sua implementação, por e-mail, notificação contratual, notificação no Aplicativo ou qualquer outro meio escrito que permita a preservação de prova disso.</w:t>
      </w:r>
    </w:p>
    <w:p>
      <w:pPr>
        <w:pStyle w:val="BodyText"/>
      </w:pPr>
      <w:r>
        <w:rPr>
          <w:lang w:val="pt-PT"/>
        </w:rPr>
        <w:t xml:space="preserve">O Cliente poderá formular uma oposição escrita, fundamentada e razoável dentro deste prazo de trinta (30) dias, quando demonstrar que o Subcontratante ulterior previsto não apresenta garantias suficientes relativamente ao RGPD ou cria um risco significativo para os direitos e liberdades das Pessoas em causa.</w:t>
      </w:r>
    </w:p>
    <w:p>
      <w:pPr>
        <w:pStyle w:val="BodyText"/>
      </w:pPr>
      <w:r>
        <w:rPr>
          <w:lang w:val="pt-PT"/>
        </w:rPr>
        <w:t xml:space="preserve">Em caso de objeção, as Partes consultar-se-ão de boa fé, a fim de identificar uma solução alternativa razoável. Caso nenhuma solução seja possível sem comprometer a prestação do Serviço, o Cliente poderá rescindir a parte relevante do Serviço nas condições do Contrato Principal, sem prejuízo dos valores devidos pelos serviços já executados.</w:t>
      </w:r>
    </w:p>
    <w:bookmarkEnd w:id="25"/>
    <w:bookmarkStart w:id="26" w:name="Xbaa5908aea5f579a0a9d81c1240fc2d1c4637db"/>
    <w:p>
      <w:pPr>
        <w:pStyle w:val="Heading2"/>
        <w:keepNext/>
        <w:keepLines/>
      </w:pPr>
      <w:r>
        <w:rPr>
          <w:color w:val="000000"/>
          <w:lang w:val="pt-PT"/>
        </w:rPr>
        <w:t xml:space="preserve">7. LOCALIZAÇÃO DE DADOS E TRANSFERÊNCIAS FORA DA UE</w:t>
      </w:r>
    </w:p>
    <w:p>
      <w:pPr>
        <w:pStyle w:val="FirstParagraph"/>
      </w:pPr>
      <w:r>
        <w:rPr>
          <w:lang w:val="pt-PT"/>
        </w:rPr>
        <w:t xml:space="preserve">Na Opção A, OHADJA compromete-se a alojar os Dados de Produção do Cliente em França ou, na sua falta, na União Europeia ou no Espaço Económico Europeu, com prestadores de serviços que ofereçam garantias suficientes no que diz respeito a RGPD.</w:t>
      </w:r>
    </w:p>
    <w:p>
      <w:pPr>
        <w:pStyle w:val="BodyText"/>
      </w:pPr>
      <w:r>
        <w:rPr>
          <w:lang w:val="pt-PT"/>
        </w:rPr>
        <w:t xml:space="preserve">Na data desta versão, o serviço SaaS TranscribIA está hospedado na França em uma infraestrutura Hostinger e acessível via </w:t>
      </w:r>
      <w:r>
        <w:rPr>
          <w:lang w:val="pt-PT"/>
        </w:rPr>
        <w:t xml:space="preserve"/>
      </w:r>
      <w:r>
        <w:rPr>
          <w:rStyle w:val="VerbatimChar"/>
          <w:lang w:val="pt-PT"/>
        </w:rPr>
        <w:t xml:space="preserve">https://client.transcribia.eu</w:t>
      </w:r>
      <w:r>
        <w:rPr>
          <w:lang w:val="pt-PT"/>
        </w:rPr>
        <w:t xml:space="preserve">. Os backups dos dados de produção são cifrados antes da terceirização e armazenados na Scaleway (França, União Europeia).</w:t>
      </w:r>
    </w:p>
    <w:p>
      <w:pPr>
        <w:pStyle w:val="BodyText"/>
      </w:pPr>
      <w:r>
        <w:rPr>
          <w:lang w:val="pt-PT"/>
        </w:rPr>
        <w:t xml:space="preserve">As funções de IA são baseadas por padrão em servidores de inferência vLLM controlados por OHADJA, hospedados na Europa (principalmente Estrasburgo e Paris), com modelos de peso aberto; nesta rota primária, nenhum dado é transmitido a um fornecedor modelo terceirizado ou transferido para fora da União Europeia. O processamento realizado via OpenRouter ocorre apenas em regime de failover, está limitado às instruções do Cliente e aos parâmetros ativados no Serviço, podendo ser desativado pelo Cliente. OHADJA favorece configurações, endpoints, regiões ou compromissos contratuais que permitem o processamento na União Europeia ou no Espaço Económico Europeu, onde estes estão disponíveis para o serviço aplicável.</w:t>
      </w:r>
    </w:p>
    <w:p>
      <w:pPr>
        <w:pStyle w:val="BodyText"/>
      </w:pPr>
      <w:r>
        <w:rPr>
          <w:lang w:val="pt-PT"/>
        </w:rPr>
        <w:t xml:space="preserve">O processamento de GPU sob demanda, incluindo transcrição, diarização ou correlação de voz, pode usar Vast.ai quando esta opção está habilitada. OHADJA seleciona recursos localizados na União Europeia ou no Espaço Económico Europeu quando esta localização é exigida pelo Cliente ou prevista no Contrato Principal.</w:t>
      </w:r>
    </w:p>
    <w:p>
      <w:pPr>
        <w:pStyle w:val="BodyText"/>
      </w:pPr>
      <w:r>
        <w:rPr>
          <w:lang w:val="pt-PT"/>
        </w:rPr>
        <w:t xml:space="preserve">A administração e o suporte do Serviço são realizados exclusivamente a partir de França ou da União Europeia; nenhum acesso administrativo aos dados de produção é feito a partir de um terceiro país.</w:t>
      </w:r>
    </w:p>
    <w:p>
      <w:pPr>
        <w:pStyle w:val="BodyText"/>
      </w:pPr>
      <w:r>
        <w:rPr>
          <w:lang w:val="pt-PT"/>
        </w:rPr>
        <w:t xml:space="preserve">Nenhuma transferência de Dados para os Estados Unidos ou para um terceiro país poderá ser realizada por OHADJA em nome do Cliente sem um mecanismo de transferência válido na aceção do capítulo V de RGPD. Em particular, as transferências para os Estados Unidos estão excluídas na ausência de cláusulas contratuais padrão aplicáveis, medidas adicionais quando necessário, ou qualquer outro mecanismo reconhecido como válido por RGPD.</w:t>
      </w:r>
    </w:p>
    <w:p>
      <w:pPr>
        <w:pStyle w:val="BodyText"/>
      </w:pPr>
      <w:r>
        <w:rPr>
          <w:lang w:val="pt-PT"/>
        </w:rPr>
        <w:t xml:space="preserve">Caso seja necessária uma transferência fora da União Europeia ou do Espaço Económico Europeu para a execução do Serviço, OHADJA informa previamente o Cliente, identifica o país em causa, a finalidade, as categorias de Dados, o Subcontratante ulterior em causa e o mecanismo de transferência aplicável. O Cliente reserva-se o direito de oposição nas condições da secção 6.</w:t>
      </w:r>
    </w:p>
    <w:bookmarkEnd w:id="26"/>
    <w:bookmarkStart w:id="27" w:name="X27fdb3a5f0ec5197869ac1ed3c6478d6fcb4a09"/>
    <w:p>
      <w:pPr>
        <w:pStyle w:val="Heading2"/>
        <w:keepNext/>
        <w:keepLines/>
      </w:pPr>
      <w:r>
        <w:rPr>
          <w:color w:val="000000"/>
          <w:lang w:val="pt-PT"/>
        </w:rPr>
        <w:t xml:space="preserve">8. NOTIFICAÇÃO DE SEGURANÇA E INCIDENTE</w:t>
      </w:r>
    </w:p>
    <w:p>
      <w:pPr>
        <w:pStyle w:val="FirstParagraph"/>
      </w:pPr>
      <w:r>
        <w:rPr>
          <w:lang w:val="pt-PT"/>
        </w:rPr>
        <w:t xml:space="preserve">OHADJA implementa MTOs apropriados de acordo com os artigos 32.1.a a 32.1.d de RGPD, levando em consideração o estado de conhecimento, custos de implementação, natureza, âmbito, contexto, finalidades do Tratamento e os riscos para os direitos e liberdades dos Titulares dos Dados.</w:t>
      </w:r>
    </w:p>
    <w:p>
      <w:pPr>
        <w:pStyle w:val="BodyText"/>
      </w:pPr>
      <w:r>
        <w:rPr>
          <w:lang w:val="pt-PT"/>
        </w:rPr>
        <w:t xml:space="preserve">Em caso de Incidente de Segurança que afecte ou possa afectar os Dados do Cliente, OHADJA toma imediatamente as medidas necessárias para analisar o incidente, limitar os seus efeitos, restaurar a segurança do Serviço e preservar os elementos úteis para a investigação.</w:t>
      </w:r>
    </w:p>
    <w:p>
      <w:pPr>
        <w:pStyle w:val="BodyText"/>
      </w:pPr>
      <w:r>
        <w:rPr>
          <w:lang w:val="pt-PT"/>
        </w:rPr>
        <w:t xml:space="preserve">Quando a OHADJA tiver conhecimento de uma violação de Dados pessoais relativa aos Dados do Cliente, informa o Cliente sem demora injustificada, nos termos do artigo 33.º, n.º 2, do RGPD, incluindo fora dos dias úteis. O alerta inicial não é adiado até à conclusão de uma investigação completa; as informações disponíveis são comunicadas e posteriormente completadas de forma faseada. Nenhum prazo contratual indicativo pode permitir uma demora injustificada nem comprometer as obrigações do Cliente.</w:t>
      </w:r>
    </w:p>
    <w:p>
      <w:pPr>
        <w:pStyle w:val="BodyText"/>
      </w:pPr>
      <w:r>
        <w:rPr>
          <w:lang w:val="pt-PT"/>
        </w:rPr>
        <w:t xml:space="preserve">A notificação enviada ao Cliente inclui, na medida da informação disponível:</w:t>
      </w:r>
    </w:p>
    <w:p>
      <w:pPr>
        <w:pStyle w:val="Compact"/>
        <w:numPr>
          <w:ilvl w:val="0"/>
          <w:numId w:val="1001"/>
        </w:numPr>
      </w:pPr>
      <w:r>
        <w:rPr>
          <w:lang w:val="pt-PT"/>
        </w:rPr>
        <w:t xml:space="preserve">a natureza da violação;</w:t>
      </w:r>
    </w:p>
    <w:p>
      <w:pPr>
        <w:pStyle w:val="Compact"/>
        <w:numPr>
          <w:ilvl w:val="0"/>
          <w:numId w:val="1001"/>
        </w:numPr>
      </w:pPr>
      <w:r>
        <w:rPr>
          <w:lang w:val="pt-PT"/>
        </w:rPr>
        <w:t xml:space="preserve">as categorias de dados em questão;</w:t>
      </w:r>
    </w:p>
    <w:p>
      <w:pPr>
        <w:pStyle w:val="Compact"/>
        <w:numPr>
          <w:ilvl w:val="0"/>
          <w:numId w:val="1001"/>
        </w:numPr>
      </w:pPr>
      <w:r>
        <w:rPr>
          <w:lang w:val="pt-PT"/>
        </w:rPr>
        <w:t xml:space="preserve">as categorias e o número aproximado de Pessoas interessadas, quando disponíveis;</w:t>
      </w:r>
    </w:p>
    <w:p>
      <w:pPr>
        <w:pStyle w:val="Compact"/>
        <w:numPr>
          <w:ilvl w:val="0"/>
          <w:numId w:val="1001"/>
        </w:numPr>
      </w:pPr>
      <w:r>
        <w:rPr>
          <w:lang w:val="pt-PT"/>
        </w:rPr>
        <w:t xml:space="preserve">as categorias e o número aproximado de registos em causa, quando disponíveis;</w:t>
      </w:r>
    </w:p>
    <w:p>
      <w:pPr>
        <w:pStyle w:val="Compact"/>
        <w:numPr>
          <w:ilvl w:val="0"/>
          <w:numId w:val="1001"/>
        </w:numPr>
      </w:pPr>
      <w:r>
        <w:rPr>
          <w:lang w:val="pt-PT"/>
        </w:rPr>
        <w:t xml:space="preserve">as prováveis consequências da violação;</w:t>
      </w:r>
    </w:p>
    <w:p>
      <w:pPr>
        <w:pStyle w:val="Compact"/>
        <w:numPr>
          <w:ilvl w:val="0"/>
          <w:numId w:val="1001"/>
        </w:numPr>
      </w:pPr>
      <w:r>
        <w:rPr>
          <w:lang w:val="pt-PT"/>
        </w:rPr>
        <w:t xml:space="preserve">as medidas tomadas ou propostas para remediar a violação;</w:t>
      </w:r>
    </w:p>
    <w:p>
      <w:pPr>
        <w:pStyle w:val="Compact"/>
        <w:numPr>
          <w:ilvl w:val="0"/>
          <w:numId w:val="1001"/>
        </w:numPr>
      </w:pPr>
      <w:r>
        <w:rPr>
          <w:lang w:val="pt-PT"/>
        </w:rPr>
        <w:t xml:space="preserve">as medidas propostas para mitigar as consequências negativas;</w:t>
      </w:r>
    </w:p>
    <w:p>
      <w:pPr>
        <w:pStyle w:val="Compact"/>
        <w:numPr>
          <w:ilvl w:val="0"/>
          <w:numId w:val="1001"/>
        </w:numPr>
      </w:pPr>
      <w:r>
        <w:rPr>
          <w:lang w:val="pt-PT"/>
        </w:rPr>
        <w:t xml:space="preserve">o ponto de contacto para obter informações adicionais.</w:t>
      </w:r>
    </w:p>
    <w:p>
      <w:pPr>
        <w:pStyle w:val="FirstParagraph"/>
      </w:pPr>
      <w:r>
        <w:rPr>
          <w:lang w:val="pt-PT"/>
        </w:rPr>
        <w:t xml:space="preserve">Quando todas as informações não puderem ser fornecidas simultaneamente, OHADJA deverá comunicá-las de forma escalonada, sem demora injustificada, de acordo com o Artigo 33.4 de RGPD.</w:t>
      </w:r>
    </w:p>
    <w:p>
      <w:pPr>
        <w:pStyle w:val="BodyText"/>
      </w:pPr>
      <w:r>
        <w:rPr>
          <w:lang w:val="pt-PT"/>
        </w:rPr>
        <w:t xml:space="preserve">O Cliente continua a ser responsável pelas notificações à autoridade de controlo competente ao abrigo do artigo 33.º, n.º 1, e, quando aplicável, pelas comunicações aos Titulares dos dados ao abrigo do artigo 34.º. A OHADJA pode prestar-lhe assistência ou atuar mediante mandato escrito, sem que esse mandato transfira as responsabilidades legais do Cliente nem dispense a OHADJA das suas próprias obrigações.</w:t>
      </w:r>
    </w:p>
    <w:bookmarkEnd w:id="27"/>
    <w:bookmarkStart w:id="28" w:name="Xf2744e74d29e6a4838bc4c0ddd7ec9c727a38c3"/>
    <w:p>
      <w:pPr>
        <w:pStyle w:val="Heading2"/>
        <w:keepNext/>
        <w:keepLines/>
      </w:pPr>
      <w:r>
        <w:rPr>
          <w:color w:val="000000"/>
          <w:lang w:val="pt-PT"/>
        </w:rPr>
        <w:t xml:space="preserve">9. DIREITOS DAS PESSOAS EM CAUSA</w:t>
      </w:r>
    </w:p>
    <w:p>
      <w:pPr>
        <w:pStyle w:val="FirstParagraph"/>
      </w:pPr>
      <w:r>
        <w:rPr>
          <w:lang w:val="pt-PT"/>
        </w:rPr>
        <w:t xml:space="preserve">O Cliente é responsável por tratar os pedidos de exercício dos direitos dos Titulares dos Dados ao abrigo dos artigos 12.º a 22.º do RGPD.</w:t>
      </w:r>
    </w:p>
    <w:p>
      <w:pPr>
        <w:pStyle w:val="BodyText"/>
      </w:pPr>
      <w:r>
        <w:rPr>
          <w:lang w:val="pt-PT"/>
        </w:rPr>
        <w:t xml:space="preserve">OHADJA auxilia o Cliente no prazo de sete (7) dias úteis a partir do recebimento de uma solicitação completa por escrito do Cliente, a menos que haja uma emergência justificada ou complexidade particular que exija um tempo adicional razoável.</w:t>
      </w:r>
    </w:p>
    <w:p>
      <w:pPr>
        <w:pStyle w:val="BodyText"/>
      </w:pPr>
      <w:r>
        <w:rPr>
          <w:lang w:val="pt-PT"/>
        </w:rPr>
        <w:t xml:space="preserve">A assistência pode abranger os direitos de acesso, retificação, apagamento, limitação, portabilidade e oposição, bem como os pedidos relativos a decisões individuais automatizadas, quando estes direitos sejam aplicáveis ao Tratamento em causa.</w:t>
      </w:r>
    </w:p>
    <w:p>
      <w:pPr>
        <w:pStyle w:val="BodyText"/>
      </w:pPr>
      <w:r>
        <w:rPr>
          <w:lang w:val="pt-PT"/>
        </w:rPr>
        <w:t xml:space="preserve">Se OHADJA receber diretamente uma solicitação de um Titular de Dados relativa aos Dados do Cliente, transmitirá essa solicitação ao Cliente o mais rápido possível, quando for capaz de identificar o Cliente em questão, e se absterá de responder a ela em substância, a menos que instruções documentadas do Cliente ou obrigação legal.</w:t>
      </w:r>
    </w:p>
    <w:p>
      <w:pPr>
        <w:pStyle w:val="BodyText"/>
      </w:pPr>
      <w:r>
        <w:rPr>
          <w:lang w:val="pt-PT"/>
        </w:rPr>
        <w:t xml:space="preserve">O Cliente reconhece que determinados Dados podem estar contidos em gravações de áudio, transcrições literais, documentos preparatórios ou exportações produzidas por seus utilizadores. Cabe ao Cliente determinar o seguimento a dar aos pedidos dos Titulares dos Dados, nomeadamente quando o pedido implique uma apreciação jurídica, uma ponderação de direitos ou a preservação de provas.</w:t>
      </w:r>
    </w:p>
    <w:bookmarkEnd w:id="28"/>
    <w:bookmarkStart w:id="29" w:name="X5b9cdfc441acad2cdb70f1acdcfd7578fe2e93a"/>
    <w:p>
      <w:pPr>
        <w:pStyle w:val="Heading2"/>
        <w:keepNext/>
        <w:keepLines/>
      </w:pPr>
      <w:r>
        <w:rPr>
          <w:color w:val="000000"/>
          <w:lang w:val="pt-PT"/>
        </w:rPr>
        <w:t xml:space="preserve">10. AUDITORIA E INSPEÇÃO</w:t>
      </w:r>
    </w:p>
    <w:p>
      <w:pPr>
        <w:pStyle w:val="FirstParagraph"/>
      </w:pPr>
      <w:r>
        <w:rPr>
          <w:lang w:val="pt-PT"/>
        </w:rPr>
        <w:t xml:space="preserve">O Cliente tem o direito de auditar o cumprimento por parte do OHADJA das obrigações previstas neste Contrato e no artigo 28 do RGPD.</w:t>
      </w:r>
    </w:p>
    <w:p>
      <w:pPr>
        <w:pStyle w:val="BodyText"/>
      </w:pPr>
      <w:r>
        <w:rPr>
          <w:lang w:val="pt-PT"/>
        </w:rPr>
        <w:t xml:space="preserve">A menos que haja um incidente de segurança grave ou uma solicitação de uma autoridade supervisora, a auditoria está limitada a uma (1) auditoria por ano civil, com notificação por escrito com pelo menos trinta (30) dias corridos.</w:t>
      </w:r>
    </w:p>
    <w:p>
      <w:pPr>
        <w:pStyle w:val="BodyText"/>
      </w:pPr>
      <w:r>
        <w:rPr>
          <w:lang w:val="pt-PT"/>
        </w:rPr>
        <w:t xml:space="preserve">A auditoria é realizada durante os dias e horários úteis OHADJA, de forma a não perturbar a segurança, disponibilidade ou continuidade do Serviço, nem a confidencialidade dos Dados de outros clientes.</w:t>
      </w:r>
    </w:p>
    <w:p>
      <w:pPr>
        <w:pStyle w:val="BodyText"/>
      </w:pPr>
      <w:r>
        <w:rPr>
          <w:lang w:val="pt-PT"/>
        </w:rPr>
        <w:t xml:space="preserve">O Cliente poderá nomear um auditor terceiro independente, desde que este esteja sujeito a uma obrigação escrita de confidencialidade, não seja concorrente direto do OHADJA e cumpra as regras de segurança aplicáveis.</w:t>
      </w:r>
    </w:p>
    <w:p>
      <w:pPr>
        <w:pStyle w:val="BodyText"/>
      </w:pPr>
      <w:r>
        <w:rPr>
          <w:lang w:val="pt-PT"/>
        </w:rPr>
        <w:t xml:space="preserve">Os custos internos e externos da auditoria, incluindo os honorários do auditor nomeado pelo Cliente, são da responsabilidade do Cliente. OHADJA poderá faturar ao Cliente o tempo razoável gasto na preparação, suporte e monitorização da auditoria quando este exceder as informações de conformidade padrão disponibilizadas.</w:t>
      </w:r>
    </w:p>
    <w:p>
      <w:pPr>
        <w:pStyle w:val="BodyText"/>
      </w:pPr>
      <w:r>
        <w:rPr>
          <w:lang w:val="pt-PT"/>
        </w:rPr>
        <w:t xml:space="preserve">A auditoria não pode conduzir ao acesso aos Dados de outros clientes, aos segredos comerciais da OHADJA, ao código-fonte não licenciado, a informações de segurança cuja divulgação criaria um risco desproporcional, nem a informações abrangidas por uma obrigação de confidencialidade para com terceiros.</w:t>
      </w:r>
    </w:p>
    <w:p>
      <w:pPr>
        <w:pStyle w:val="BodyText"/>
      </w:pPr>
      <w:r>
        <w:rPr>
          <w:lang w:val="pt-PT"/>
        </w:rPr>
        <w:t xml:space="preserve">Quando são observadas não conformidades substanciais, OHADJA estabelece um plano de remediação proporcional e informa o Cliente sobre seu progresso.</w:t>
      </w:r>
    </w:p>
    <w:bookmarkEnd w:id="29"/>
    <w:bookmarkStart w:id="30" w:name="X73e59becb4c206e5b73713aa44c597c54fda0d1"/>
    <w:p>
      <w:pPr>
        <w:pStyle w:val="Heading2"/>
        <w:keepNext/>
        <w:keepLines/>
      </w:pPr>
      <w:r>
        <w:rPr>
          <w:color w:val="000000"/>
          <w:lang w:val="pt-PT"/>
        </w:rPr>
        <w:t xml:space="preserve">11. DEVOLUÇÃO E EXCLUSÃO</w:t>
      </w:r>
    </w:p>
    <w:p>
      <w:pPr>
        <w:pStyle w:val="FirstParagraph"/>
      </w:pPr>
      <w:r>
        <w:rPr>
          <w:lang w:val="pt-PT"/>
        </w:rPr>
        <w:t xml:space="preserve">No final do Contrato Principal, seja qual for a causa, o Cliente escolhe por instrução escrita entre a devolução e a eliminação do Dados pessoais processado em seu nome.</w:t>
      </w:r>
    </w:p>
    <w:p>
      <w:pPr>
        <w:pStyle w:val="BodyText"/>
      </w:pPr>
      <w:r>
        <w:rPr>
          <w:lang w:val="pt-PT"/>
        </w:rPr>
        <w:t xml:space="preserve">Em caso de restituição, OHADJA disponibiliza ao Cliente, num formato padrão disponível no Serviço, os Dados exportáveis, nomeadamente contas de utilizador, metadados de sessões, transcrições, documentos, ficheiros de áudio, registos disponíveis e exportações geradas, sujeitas às funcionalidades efetivamente subscritas e às limitações técnicas documentadas.</w:t>
      </w:r>
    </w:p>
    <w:p>
      <w:pPr>
        <w:pStyle w:val="BodyText"/>
      </w:pPr>
      <w:r>
        <w:rPr>
          <w:lang w:val="pt-PT"/>
        </w:rPr>
        <w:t xml:space="preserve">Em caso de exclusão, OHADJA exclui os Dados de Produção do Cliente dentro de um período máximo de trinta (30) dias corridos após o término efetivo do Contrato Principal ou o recebimento da instrução de exclusão por escrito, o que ocorrer depois.</w:t>
      </w:r>
    </w:p>
    <w:p>
      <w:pPr>
        <w:pStyle w:val="BodyText"/>
      </w:pPr>
      <w:r>
        <w:rPr>
          <w:lang w:val="pt-PT"/>
        </w:rPr>
        <w:t xml:space="preserve">As cópias de segurança técnicas residuais são isoladas da utilização corrente e eliminadas segundo o seu ciclo normal de rotação, num prazo máximo de noventa (90) dias de calendário. Uma conservação adicional só é possível na medida e pelo período impostos pelo direito da União ou pelo direito do Estado-Membro a que a OHADJA está sujeita; o seu fundamento e âmbito são documentados. Uma necessidade geral de segurança, de litígio ou de restauro não dispensa o cumprimento das instruções lícitas e do artigo 28.º, n.º 3, alínea g).</w:t>
      </w:r>
    </w:p>
    <w:p>
      <w:pPr>
        <w:pStyle w:val="BodyText"/>
      </w:pPr>
      <w:r>
        <w:rPr>
          <w:lang w:val="pt-PT"/>
        </w:rPr>
        <w:t xml:space="preserve">OHADJA fornece ao Cliente, mediante solicitação por escrito, um certificado de exclusão ou restituição no prazo de trinta (30) dias corridos após a conclusão da transação relevante.</w:t>
      </w:r>
    </w:p>
    <w:p>
      <w:pPr>
        <w:pStyle w:val="BodyText"/>
      </w:pPr>
      <w:r>
        <w:rPr>
          <w:lang w:val="pt-PT"/>
        </w:rPr>
        <w:t xml:space="preserve">Os embeddings temporários de voz utilizados para correlação de voz estão excluídos de qualquer restituição, uma vez que são calculados temporariamente na RAM com a finalidade de sugerir a identificação do locutor e destruídos ao final da solicitação, sem criação de modelo biométrico persistente.</w:t>
      </w:r>
    </w:p>
    <w:bookmarkEnd w:id="30"/>
    <w:bookmarkStart w:id="31" w:name="X72b0836447daf89f47600fd048e1cdcf0812815"/>
    <w:p>
      <w:pPr>
        <w:pStyle w:val="Heading2"/>
        <w:keepNext/>
        <w:keepLines/>
      </w:pPr>
      <w:r>
        <w:rPr>
          <w:color w:val="000000"/>
          <w:lang w:val="pt-PT"/>
        </w:rPr>
        <w:t xml:space="preserve">12. RESPONSABILIDADE, INDENIZAÇÃO E LIMITAÇÃO</w:t>
      </w:r>
    </w:p>
    <w:p>
      <w:pPr>
        <w:pStyle w:val="FirstParagraph"/>
      </w:pPr>
      <w:r>
        <w:rPr>
          <w:lang w:val="pt-PT"/>
        </w:rPr>
        <w:t xml:space="preserve">Cada Parte é responsável pelo cumprimento de suas obrigações sob RGPD, a lei francesa aplicável, o Contrato Principal e este Contrato.</w:t>
      </w:r>
    </w:p>
    <w:p>
      <w:pPr>
        <w:pStyle w:val="BodyText"/>
      </w:pPr>
      <w:r>
        <w:rPr>
          <w:lang w:val="pt-PT"/>
        </w:rPr>
        <w:t xml:space="preserve">OHADJA é responsável pelos danos causados pelo Processamento apenas quando não tiver cumprido as obrigações de RGPD que competem especificamente a subcontratantes ou quando tiver agido fora ou contrário às instruções lícitas do Cliente, de acordo com os princípios do artigo 82 de RGPD.</w:t>
      </w:r>
    </w:p>
    <w:p>
      <w:pPr>
        <w:pStyle w:val="BodyText"/>
      </w:pPr>
      <w:r>
        <w:rPr>
          <w:lang w:val="pt-PT"/>
        </w:rPr>
        <w:t xml:space="preserve">O Cliente é responsável pelos danos resultantes das suas finalidades, bases legais, informações aos Titulares dos Dados, instruções, configurações, conteúdos carregados, períodos de retenção decididos, autorizações de utilização, tratamentos impostos ao OHADJA ou defeitos de segurança abrangidos pelo seu âmbito, nomeadamente na Opção B.</w:t>
      </w:r>
    </w:p>
    <w:p>
      <w:pPr>
        <w:pStyle w:val="BodyText"/>
      </w:pPr>
      <w:r>
        <w:rPr>
          <w:lang w:val="pt-PT"/>
        </w:rPr>
        <w:t xml:space="preserve">Cada Parte indeniza a outra contra as consequências diretas de uma reclamação, sanção, julgamento ou transação resultante de uma violação comprovada de suas próprias obrigações sob este Contrato, desde que a Parte que solicita a garantia informe a outra Parte sem demora injustificada, coopere razoavelmente na defesa e não admita qualquer responsabilidade sem acordo prévio por escrito.</w:t>
      </w:r>
    </w:p>
    <w:p>
      <w:pPr>
        <w:pStyle w:val="BodyText"/>
      </w:pPr>
      <w:r>
        <w:rPr>
          <w:lang w:val="pt-PT"/>
        </w:rPr>
        <w:t xml:space="preserve">Salvo obrigação em contrário, a responsabilidade global de OHADJA nos termos deste Contrato está sujeita aos limites máximos, exclusões e limitações previstas no Contrato Principal.</w:t>
      </w:r>
    </w:p>
    <w:p>
      <w:pPr>
        <w:pStyle w:val="BodyText"/>
      </w:pPr>
      <w:r>
        <w:rPr>
          <w:lang w:val="pt-PT"/>
        </w:rPr>
        <w:t xml:space="preserve">Nenhuma limitação de responsabilidade se aplica em caso de fraude, conduta dolosa, negligência grave, violação intencional, violação intencional das instruções documentadas do Cliente, violação intencional da confidencialidade dos Dados ou quando a lei proíbe tal limitação.</w:t>
      </w:r>
    </w:p>
    <w:bookmarkEnd w:id="31"/>
    <w:bookmarkStart w:id="32" w:name="Xdc52f2aec3a69fb47e64b781e77c3855826c6e4"/>
    <w:p>
      <w:pPr>
        <w:pStyle w:val="Heading2"/>
        <w:keepNext/>
        <w:keepLines/>
      </w:pPr>
      <w:r>
        <w:rPr>
          <w:color w:val="000000"/>
          <w:lang w:val="pt-PT"/>
        </w:rPr>
        <w:t xml:space="preserve">13. DURAÇÃO E RESCISÃO</w:t>
      </w:r>
    </w:p>
    <w:p>
      <w:pPr>
        <w:pStyle w:val="FirstParagraph"/>
      </w:pPr>
      <w:r>
        <w:rPr>
          <w:lang w:val="pt-PT"/>
        </w:rPr>
        <w:t xml:space="preserve">Este Contrato entra em vigor na data indicada na secção 1 e permanece aplicável durante a vigência do Contrato Principal, desde que OHADJA processe Dados pessoais em nome do Cliente.</w:t>
      </w:r>
    </w:p>
    <w:p>
      <w:pPr>
        <w:pStyle w:val="BodyText"/>
      </w:pPr>
      <w:r>
        <w:rPr>
          <w:lang w:val="pt-PT"/>
        </w:rPr>
        <w:t xml:space="preserve">Este Contrato termina automaticamente quando todos os Dados pessoais processados em nome do Cliente forem devolvidos ou excluídos de acordo com a Secção 11, sujeito às obrigações que sobreviverão à rescisão do Contrato Principal, incluindo confidencialidade, evidência, responsabilidade, auditoria pós-incidente e retenção legalmente exigida.</w:t>
      </w:r>
    </w:p>
    <w:p>
      <w:pPr>
        <w:pStyle w:val="BodyText"/>
      </w:pPr>
      <w:r>
        <w:rPr>
          <w:lang w:val="pt-PT"/>
        </w:rPr>
        <w:t xml:space="preserve">Em caso de violação grave por uma Parte de suas obrigações RGPD ou deste Contrato, não sanada no prazo de trinta (30) dias corridos após notificação fundamentada por escrito, a outra Parte poderá rescindir o Contrato Principal ou a parte do Serviço em questão, sem prejuízo de quaisquer danos devidos.</w:t>
      </w:r>
    </w:p>
    <w:p>
      <w:pPr>
        <w:pStyle w:val="BodyText"/>
      </w:pPr>
      <w:r>
        <w:rPr>
          <w:lang w:val="pt-PT"/>
        </w:rPr>
        <w:t xml:space="preserve">Em caso de violação grave que crie um risco iminente ou significativo para os direitos e liberdades dos Titulares dos Dados, a Parte adimplente poderá suspender as operações de tratamento em causa ou encerrar imediatamente a parte do Serviço em causa, após notificação escrita fundamentada, quando a continuação do Tratamento for manifestamente incompatível com RGPD.</w:t>
      </w:r>
    </w:p>
    <w:bookmarkEnd w:id="32"/>
    <w:bookmarkStart w:id="33" w:name="X19a4fc33a06919e64bf99252dd3d6d033695a83"/>
    <w:p>
      <w:pPr>
        <w:pStyle w:val="Heading2"/>
        <w:keepNext/>
        <w:keepLines/>
      </w:pPr>
      <w:r>
        <w:rPr>
          <w:color w:val="000000"/>
          <w:lang w:val="pt-PT"/>
        </w:rPr>
        <w:t xml:space="preserve">14. ESTIPULAÇÕES FINAIS</w:t>
      </w:r>
    </w:p>
    <w:p>
      <w:pPr>
        <w:pStyle w:val="FirstParagraph"/>
      </w:pPr>
      <w:r>
        <w:rPr>
          <w:lang w:val="pt-PT"/>
        </w:rPr>
        <w:t xml:space="preserve">O presente Acordo rege-se pelo direito francês.</w:t>
      </w:r>
    </w:p>
    <w:p>
      <w:pPr>
        <w:pStyle w:val="BodyText"/>
      </w:pPr>
      <w:r>
        <w:rPr>
          <w:lang w:val="pt-PT"/>
        </w:rPr>
        <w:t xml:space="preserve">Qualquer litígio relativo à validade, interpretação, execução ou resolução do presente Acordo é da competência dos tribunais competentes de Paris, salvo disposição imperativa em contrário aplicável ao Cliente.</w:t>
      </w:r>
    </w:p>
    <w:p>
      <w:pPr>
        <w:pStyle w:val="BodyText"/>
      </w:pPr>
      <w:r>
        <w:rPr>
          <w:lang w:val="pt-PT"/>
        </w:rPr>
        <w:t xml:space="preserve">A versão francesa faz fé. Qualquer tradução do presente Acordo é disponibilizada apenas por conveniência.</w:t>
      </w:r>
    </w:p>
    <w:p>
      <w:pPr>
        <w:pStyle w:val="BodyText"/>
      </w:pPr>
      <w:r>
        <w:rPr>
          <w:lang w:val="pt-PT"/>
        </w:rPr>
        <w:t xml:space="preserve">Se qualquer estipulação deste Contrato for declarada nula, inaplicável ou não escrita, as outras estipulações permanecerão plenamente aplicáveis. As Partes substituem a estipulação em questão por uma cláusula válida que produza um efeito económico e jurídico tão próximo quanto possível.</w:t>
      </w:r>
    </w:p>
    <w:p>
      <w:pPr>
        <w:pStyle w:val="BodyText"/>
      </w:pPr>
      <w:r>
        <w:rPr>
          <w:lang w:val="pt-PT"/>
        </w:rPr>
        <w:t xml:space="preserve">Qualquer modificação deste Contrato deverá ser formalizada por alteração escrita ou por atualização contratual aceita pelas Partes. Modificações impostas por desenvolvimentos legais ou regulatórios ou por uma autoridade competente podem ser propostas por OHADJA com aviso prévio razoável.</w:t>
      </w:r>
    </w:p>
    <w:p>
      <w:pPr>
        <w:pStyle w:val="BodyText"/>
      </w:pPr>
      <w:r>
        <w:rPr>
          <w:lang w:val="pt-PT"/>
        </w:rPr>
        <w:t xml:space="preserve">Este Contrato poderá ser assinado à mão ou por simples assinatura eletrônica. A simples assinatura eletrónica constitui prova do acordo das Partes, observadas as regras de prova aplicáveis.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Para o cliente</w:t>
            </w:r>
          </w:p>
        </w:tc>
        <w:tc>
          <w:tcPr/>
          <w:p>
            <w:pPr>
              <w:pStyle w:val="Compact"/>
            </w:pPr>
            <w:r>
              <w:rPr>
                <w:lang w:val="pt-PT"/>
              </w:rPr>
              <w:t xml:space="preserve">Para Subcontratante</w:t>
            </w:r>
          </w:p>
        </w:tc>
      </w:tr>
      <w:tr>
        <w:trPr>
          <w:cantSplit/>
        </w:trPr>
        <w:tc>
          <w:tcPr/>
          <w:p>
            <w:pPr>
              <w:pStyle w:val="Compact"/>
            </w:pPr>
            <w:r>
              <w:rPr>
                <w:lang w:val="pt-PT"/>
              </w:rPr>
              <w:t xml:space="preserve">Nome: [a ser preenchido pelo cliente]</w:t>
            </w:r>
          </w:p>
        </w:tc>
        <w:tc>
          <w:tcPr/>
          <w:p>
            <w:pPr>
              <w:pStyle w:val="Compact"/>
            </w:pPr>
            <w:r>
              <w:rPr>
                <w:lang w:val="pt-PT"/>
              </w:rPr>
              <w:t xml:space="preserve">Nome: Olivier Dupont</w:t>
            </w:r>
          </w:p>
        </w:tc>
      </w:tr>
      <w:tr>
        <w:trPr>
          <w:cantSplit/>
        </w:trPr>
        <w:tc>
          <w:tcPr/>
          <w:p>
            <w:pPr>
              <w:pStyle w:val="Compact"/>
            </w:pPr>
            <w:r>
              <w:rPr>
                <w:lang w:val="pt-PT"/>
              </w:rPr>
              <w:t xml:space="preserve">Cargo: [a ser preenchido pelo cliente]</w:t>
            </w:r>
          </w:p>
        </w:tc>
        <w:tc>
          <w:tcPr/>
          <w:p>
            <w:pPr>
              <w:pStyle w:val="Compact"/>
            </w:pPr>
            <w:r>
              <w:rPr>
                <w:lang w:val="pt-PT"/>
              </w:rPr>
              <w:t xml:space="preserve">Cargo: Presidente</w:t>
            </w:r>
          </w:p>
        </w:tc>
      </w:tr>
      <w:tr>
        <w:trPr>
          <w:cantSplit/>
        </w:trPr>
        <w:tc>
          <w:tcPr/>
          <w:p>
            <w:pPr>
              <w:pStyle w:val="Compact"/>
            </w:pPr>
            <w:r>
              <w:rPr>
                <w:lang w:val="pt-PT"/>
              </w:rPr>
              <w:t xml:space="preserve">Data: [data a ser concluída]</w:t>
            </w:r>
          </w:p>
        </w:tc>
        <w:tc>
          <w:tcPr/>
          <w:p>
            <w:pPr>
              <w:pStyle w:val="Compact"/>
            </w:pPr>
            <w:r>
              <w:rPr>
                <w:lang w:val="pt-PT"/>
              </w:rPr>
              <w:t xml:space="preserve">Data: [data a ser concluída]</w:t>
            </w:r>
          </w:p>
        </w:tc>
      </w:tr>
      <w:tr>
        <w:trPr>
          <w:cantSplit/>
        </w:trPr>
        <w:tc>
          <w:tcPr/>
          <w:p>
            <w:pPr>
              <w:pStyle w:val="Compact"/>
            </w:pPr>
            <w:r>
              <w:rPr>
                <w:lang w:val="pt-PT"/>
              </w:rPr>
              <w:t xml:space="preserve">Assinatura:</w:t>
            </w:r>
          </w:p>
        </w:tc>
        <w:tc>
          <w:tcPr/>
          <w:p>
            <w:pPr>
              <w:pStyle w:val="Compact"/>
            </w:pPr>
            <w:r>
              <w:rPr>
                <w:lang w:val="pt-PT"/>
              </w:rPr>
              <w:t xml:space="preserve">Assinatura:</w:t>
            </w:r>
          </w:p>
        </w:tc>
      </w:tr>
    </w:tbl>
    <w:bookmarkEnd w:id="33"/>
    <w:bookmarkStart w:id="38" w:name="X3a93e8af784e1cb01eecc7ea42e691cc888db85"/>
    <w:p>
      <w:pPr>
        <w:pStyle w:val="Heading2"/>
        <w:keepNext/>
        <w:keepLines/>
      </w:pPr>
      <w:r>
        <w:rPr>
          <w:color w:val="000000"/>
          <w:lang w:val="pt-PT"/>
        </w:rPr>
        <w:t xml:space="preserve">ANEXO 1 — DESCRIÇÃO DETALHADA DO TRATAMENTO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Descrição</w:t>
            </w:r>
          </w:p>
        </w:tc>
      </w:tr>
      <w:tr>
        <w:trPr>
          <w:cantSplit/>
        </w:trPr>
        <w:tc>
          <w:tcPr/>
          <w:p>
            <w:pPr>
              <w:pStyle w:val="Compact"/>
            </w:pPr>
            <w:r>
              <w:rPr>
                <w:lang w:val="pt-PT"/>
              </w:rPr>
              <w:t xml:space="preserve">Serviço</w:t>
            </w:r>
          </w:p>
        </w:tc>
        <w:tc>
          <w:tcPr/>
          <w:p>
            <w:pPr>
              <w:pStyle w:val="Compact"/>
            </w:pPr>
            <w:r>
              <w:rPr>
                <w:lang w:val="pt-PT"/>
              </w:rPr>
              <w:t xml:space="preserve">TranscribIA</w:t>
            </w:r>
          </w:p>
        </w:tc>
      </w:tr>
      <w:tr>
        <w:trPr>
          <w:cantSplit/>
        </w:trPr>
        <w:tc>
          <w:tcPr/>
          <w:p>
            <w:pPr>
              <w:pStyle w:val="Compact"/>
            </w:pPr>
            <w:r>
              <w:rPr>
                <w:lang w:val="pt-PT"/>
              </w:rPr>
              <w:t xml:space="preserve">Subcontratante</w:t>
            </w:r>
          </w:p>
        </w:tc>
        <w:tc>
          <w:tcPr/>
          <w:p>
            <w:pPr>
              <w:pStyle w:val="Compact"/>
            </w:pPr>
            <w:r>
              <w:rPr>
                <w:lang w:val="pt-PT"/>
              </w:rPr>
              <w:t xml:space="preserve">OHADJA</w:t>
            </w:r>
          </w:p>
        </w:tc>
      </w:tr>
      <w:tr>
        <w:trPr>
          <w:cantSplit/>
        </w:trPr>
        <w:tc>
          <w:tcPr/>
          <w:p>
            <w:pPr>
              <w:pStyle w:val="Compact"/>
            </w:pPr>
            <w:r>
              <w:rPr>
                <w:lang w:val="pt-PT"/>
              </w:rPr>
              <w:t xml:space="preserve">Responsável pelo tratamento</w:t>
            </w:r>
          </w:p>
        </w:tc>
        <w:tc>
          <w:tcPr/>
          <w:p>
            <w:pPr>
              <w:pStyle w:val="Compact"/>
            </w:pPr>
            <w:r>
              <w:rPr>
                <w:lang w:val="pt-PT"/>
              </w:rPr>
              <w:t xml:space="preserve">O cliente</w:t>
            </w:r>
          </w:p>
        </w:tc>
      </w:tr>
      <w:tr>
        <w:trPr>
          <w:cantSplit/>
        </w:trPr>
        <w:tc>
          <w:tcPr/>
          <w:p>
            <w:pPr>
              <w:pStyle w:val="Compact"/>
            </w:pPr>
            <w:r>
              <w:rPr>
                <w:lang w:val="pt-PT"/>
              </w:rPr>
              <w:t xml:space="preserve">Finalidade do Processamento</w:t>
            </w:r>
          </w:p>
        </w:tc>
        <w:tc>
          <w:tcPr/>
          <w:p>
            <w:pPr>
              <w:pStyle w:val="Compact"/>
            </w:pPr>
            <w:r>
              <w:rPr>
                <w:lang w:val="pt-PT"/>
              </w:rPr>
              <w:t xml:space="preserve">Fornecendo uma solução para transcrição de áudio, diarização, estruturação de transcrição, exploração de IA, geração de documentos, gerenciamento de sessões, gerenciamento de utilizadores, registo e sugestão de identificação de interveniente</w:t>
            </w:r>
          </w:p>
        </w:tc>
      </w:tr>
      <w:tr>
        <w:trPr>
          <w:cantSplit/>
        </w:trPr>
        <w:tc>
          <w:tcPr/>
          <w:p>
            <w:pPr>
              <w:pStyle w:val="Compact"/>
            </w:pPr>
            <w:r>
              <w:rPr>
                <w:lang w:val="pt-PT"/>
              </w:rPr>
              <w:t xml:space="preserve">Natureza do Tratamento</w:t>
            </w:r>
          </w:p>
        </w:tc>
        <w:tc>
          <w:tcPr/>
          <w:p>
            <w:pPr>
              <w:pStyle w:val="Compact"/>
            </w:pPr>
            <w:r>
              <w:rPr>
                <w:lang w:val="pt-PT"/>
              </w:rPr>
              <w:t xml:space="preserve">Coleta por upload, alojamento, armazenamento, organização, consulta, extração, transcrição, diarização, correção, geração de IA, exportação, logging, backup, exclusão e assistência técnica</w:t>
            </w:r>
          </w:p>
        </w:tc>
      </w:tr>
      <w:tr>
        <w:trPr>
          <w:cantSplit/>
        </w:trPr>
        <w:tc>
          <w:tcPr/>
          <w:p>
            <w:pPr>
              <w:pStyle w:val="Compact"/>
            </w:pPr>
            <w:r>
              <w:rPr>
                <w:lang w:val="pt-PT"/>
              </w:rPr>
              <w:t xml:space="preserve">Finalidades do Processamento</w:t>
            </w:r>
          </w:p>
        </w:tc>
        <w:tc>
          <w:tcPr/>
          <w:p>
            <w:pPr>
              <w:pStyle w:val="Compact"/>
            </w:pPr>
            <w:r>
              <w:rPr>
                <w:lang w:val="pt-PT"/>
              </w:rPr>
              <w:t xml:space="preserve">Permitir ao Cliente criar sessões, fazer upload de ficheiros de áudio, obter transcrições, gerenciar palestrantes, corrigir ou enriquecer conteúdos, produzir resumos, atas, capítulos ou análises, gerenciar documentos preparatórios, garantir rastreabilidade e administrar acessos</w:t>
            </w:r>
          </w:p>
        </w:tc>
      </w:tr>
      <w:tr>
        <w:trPr>
          <w:cantSplit/>
        </w:trPr>
        <w:tc>
          <w:tcPr/>
          <w:p>
            <w:pPr>
              <w:pStyle w:val="Compact"/>
            </w:pPr>
            <w:r>
              <w:rPr>
                <w:lang w:val="pt-PT"/>
              </w:rPr>
              <w:t xml:space="preserve">Opção A – SaaS</w:t>
            </w:r>
          </w:p>
        </w:tc>
        <w:tc>
          <w:tcPr/>
          <w:p>
            <w:pPr>
              <w:pStyle w:val="Compact"/>
            </w:pPr>
            <w:r>
              <w:rPr>
                <w:lang w:val="pt-PT"/>
              </w:rPr>
              <w:t xml:space="preserve">[ ] Habilitado. OHADJA hospeda e opera o Serviço em nome do Cliente</w:t>
            </w:r>
          </w:p>
        </w:tc>
      </w:tr>
      <w:tr>
        <w:trPr>
          <w:cantSplit/>
        </w:trPr>
        <w:tc>
          <w:tcPr/>
          <w:p>
            <w:pPr>
              <w:pStyle w:val="Compact"/>
            </w:pPr>
            <w:r>
              <w:rPr>
                <w:lang w:val="pt-PT"/>
              </w:rPr>
              <w:t xml:space="preserve">Opção B – Docker local</w:t>
            </w:r>
          </w:p>
        </w:tc>
        <w:tc>
          <w:tcPr/>
          <w:p>
            <w:pPr>
              <w:pStyle w:val="Compact"/>
            </w:pPr>
            <w:r>
              <w:rPr>
                <w:lang w:val="pt-PT"/>
              </w:rPr>
              <w:t xml:space="preserve">[ ] Habilitado. O Cliente hospeda o ambiente; OHADJA intervém apenas nas operações subcontratadas efetivamente realizadas</w:t>
            </w:r>
          </w:p>
        </w:tc>
      </w:tr>
      <w:tr>
        <w:trPr>
          <w:cantSplit/>
        </w:trPr>
        <w:tc>
          <w:tcPr/>
          <w:p>
            <w:pPr>
              <w:pStyle w:val="Compact"/>
            </w:pPr>
            <w:r>
              <w:rPr>
                <w:lang w:val="pt-PT"/>
              </w:rPr>
              <w:t xml:space="preserve">Duração do tratamento</w:t>
            </w:r>
          </w:p>
        </w:tc>
        <w:tc>
          <w:tcPr/>
          <w:p>
            <w:pPr>
              <w:pStyle w:val="Compact"/>
            </w:pPr>
            <w:r>
              <w:rPr>
                <w:lang w:val="pt-PT"/>
              </w:rPr>
              <w:t xml:space="preserve">Duração do Contrato Principal, acrescida dos períodos aplicáveis de restituição, exclusão, backup residual e retenção legal</w:t>
            </w:r>
          </w:p>
        </w:tc>
      </w:tr>
      <w:tr>
        <w:trPr>
          <w:cantSplit/>
        </w:trPr>
        <w:tc>
          <w:tcPr/>
          <w:p>
            <w:pPr>
              <w:pStyle w:val="Compact"/>
            </w:pPr>
            <w:r>
              <w:rPr>
                <w:lang w:val="pt-PT"/>
              </w:rPr>
              <w:t xml:space="preserve">Frequência de tratamento</w:t>
            </w:r>
          </w:p>
        </w:tc>
        <w:tc>
          <w:tcPr/>
          <w:p>
            <w:pPr>
              <w:pStyle w:val="Compact"/>
            </w:pPr>
            <w:r>
              <w:rPr>
                <w:lang w:val="pt-PT"/>
              </w:rPr>
              <w:t xml:space="preserve">Contínuo para funções SaaS; pontual ou dependendo da ativação do Cliente para transcrição, IA, suporte, exportação, correlação de voz ou manutenção</w:t>
            </w:r>
          </w:p>
        </w:tc>
      </w:tr>
      <w:tr>
        <w:trPr>
          <w:cantSplit/>
        </w:trPr>
        <w:tc>
          <w:tcPr/>
          <w:p>
            <w:pPr>
              <w:pStyle w:val="Compact"/>
            </w:pPr>
            <w:r>
              <w:rPr>
                <w:lang w:val="pt-PT"/>
              </w:rPr>
              <w:t xml:space="preserve">Pessoas autorizadas do lado do cliente</w:t>
            </w:r>
          </w:p>
        </w:tc>
        <w:tc>
          <w:tcPr/>
          <w:p>
            <w:pPr>
              <w:pStyle w:val="Compact"/>
            </w:pPr>
            <w:r>
              <w:rPr>
                <w:lang w:val="pt-PT"/>
              </w:rPr>
              <w:t xml:space="preserve">Utilizadores criados ou convidados pelo Cliente: administradores, gerentes, líderes de equipa, utilizadores, agentes autorizados, membros da equipa</w:t>
            </w:r>
          </w:p>
        </w:tc>
      </w:tr>
      <w:tr>
        <w:trPr>
          <w:cantSplit/>
        </w:trPr>
        <w:tc>
          <w:tcPr/>
          <w:p>
            <w:pPr>
              <w:pStyle w:val="Compact"/>
            </w:pPr>
            <w:r>
              <w:rPr>
                <w:lang w:val="pt-PT"/>
              </w:rPr>
              <w:t xml:space="preserve">Pessoas autorizadas do lado Subcontratante</w:t>
            </w:r>
          </w:p>
        </w:tc>
        <w:tc>
          <w:tcPr/>
          <w:p>
            <w:pPr>
              <w:pStyle w:val="Compact"/>
            </w:pPr>
            <w:r>
              <w:rPr>
                <w:lang w:val="pt-PT"/>
              </w:rPr>
              <w:t xml:space="preserve">Pessoal autorizado OHADJA e Subcontratantes ulteriores, dentro dos limites da necessidade de saber</w:t>
            </w:r>
          </w:p>
        </w:tc>
      </w:tr>
    </w:tbl>
    <w:bookmarkStart w:id="34" w:name="catégories-de-données-traitées"/>
    <w:p>
      <w:pPr>
        <w:pStyle w:val="Heading3"/>
        <w:keepNext/>
        <w:keepLines/>
      </w:pPr>
      <w:r>
        <w:rPr>
          <w:color w:val="000000"/>
          <w:lang w:val="pt-PT"/>
        </w:rPr>
        <w:t xml:space="preserve">Categorias de dados processados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Categoria</w:t>
            </w:r>
          </w:p>
        </w:tc>
        <w:tc>
          <w:tcPr/>
          <w:p>
            <w:pPr>
              <w:pStyle w:val="Compact"/>
            </w:pPr>
            <w:r>
              <w:rPr>
                <w:lang w:val="pt-PT"/>
              </w:rPr>
              <w:t xml:space="preserve">Exemplos</w:t>
            </w:r>
          </w:p>
        </w:tc>
      </w:tr>
      <w:tr>
        <w:trPr>
          <w:cantSplit/>
        </w:trPr>
        <w:tc>
          <w:tcPr/>
          <w:p>
            <w:pPr>
              <w:pStyle w:val="Compact"/>
            </w:pPr>
            <w:r>
              <w:rPr>
                <w:lang w:val="pt-PT"/>
              </w:rPr>
              <w:t xml:space="preserve">Possíveis gravações de áudio e vídeo</w:t>
            </w:r>
          </w:p>
        </w:tc>
        <w:tc>
          <w:tcPr/>
          <w:p>
            <w:pPr>
              <w:pStyle w:val="Compact"/>
            </w:pPr>
            <w:r>
              <w:rPr>
                <w:lang w:val="pt-PT"/>
              </w:rPr>
              <w:t xml:space="preserve">Ficheiros MP3, wav, ogg, m4a, flac, webm, mp4, avi, mkv, mov, wmv enviados pelo Cliente</w:t>
            </w:r>
          </w:p>
        </w:tc>
      </w:tr>
      <w:tr>
        <w:trPr>
          <w:cantSplit/>
        </w:trPr>
        <w:tc>
          <w:tcPr/>
          <w:p>
            <w:pPr>
              <w:pStyle w:val="Compact"/>
            </w:pPr>
            <w:r>
              <w:rPr>
                <w:lang w:val="pt-PT"/>
              </w:rPr>
              <w:t xml:space="preserve">Transcrições</w:t>
            </w:r>
          </w:p>
        </w:tc>
        <w:tc>
          <w:tcPr/>
          <w:p>
            <w:pPr>
              <w:pStyle w:val="Compact"/>
            </w:pPr>
            <w:r>
              <w:rPr>
                <w:lang w:val="pt-PT"/>
              </w:rPr>
              <w:t xml:space="preserve">Transcrição JSON, segmentos, carimbos de data e hora, literalmente, versões, correções, capítulos, diarização</w:t>
            </w:r>
          </w:p>
        </w:tc>
      </w:tr>
      <w:tr>
        <w:trPr>
          <w:cantSplit/>
        </w:trPr>
        <w:tc>
          <w:tcPr/>
          <w:p>
            <w:pPr>
              <w:pStyle w:val="Compact"/>
            </w:pPr>
            <w:r>
              <w:rPr>
                <w:lang w:val="pt-PT"/>
              </w:rPr>
              <w:t xml:space="preserve">Dados do interveniente</w:t>
            </w:r>
          </w:p>
        </w:tc>
        <w:tc>
          <w:tcPr/>
          <w:p>
            <w:pPr>
              <w:pStyle w:val="Compact"/>
            </w:pPr>
            <w:r>
              <w:rPr>
                <w:lang w:val="pt-PT"/>
              </w:rPr>
              <w:t xml:space="preserve">Nomes de palestrantes inseridos pelos utilizadores, rótulos de palestrantes, correspondências propostas, correções humanas</w:t>
            </w:r>
          </w:p>
        </w:tc>
      </w:tr>
      <w:tr>
        <w:trPr>
          <w:cantSplit/>
        </w:trPr>
        <w:tc>
          <w:tcPr/>
          <w:p>
            <w:pPr>
              <w:pStyle w:val="Compact"/>
            </w:pPr>
            <w:r>
              <w:rPr>
                <w:lang w:val="pt-PT"/>
              </w:rPr>
              <w:t xml:space="preserve">Documentos preparatórios</w:t>
            </w:r>
          </w:p>
        </w:tc>
        <w:tc>
          <w:tcPr/>
          <w:p>
            <w:pPr>
              <w:pStyle w:val="Compact"/>
            </w:pPr>
            <w:r>
              <w:rPr>
                <w:lang w:val="pt-PT"/>
              </w:rPr>
              <w:t xml:space="preserve">Ordens de trabalhos, atas anteriores, notas, documentos PDF/DOCX, texto ou Markdown extraído</w:t>
            </w:r>
          </w:p>
        </w:tc>
      </w:tr>
      <w:tr>
        <w:trPr>
          <w:cantSplit/>
        </w:trPr>
        <w:tc>
          <w:tcPr/>
          <w:p>
            <w:pPr>
              <w:pStyle w:val="Compact"/>
            </w:pPr>
            <w:r>
              <w:rPr>
                <w:lang w:val="pt-PT"/>
              </w:rPr>
              <w:t xml:space="preserve">Metadados da sessão</w:t>
            </w:r>
          </w:p>
        </w:tc>
        <w:tc>
          <w:tcPr/>
          <w:p>
            <w:pPr>
              <w:pStyle w:val="Compact"/>
            </w:pPr>
            <w:r>
              <w:rPr>
                <w:lang w:val="pt-PT"/>
              </w:rPr>
              <w:t xml:space="preserve">Título, data, local, tipo de sessão, status, calendário, equipa, organização, ficheiros vinculados, parâmetros funcionais</w:t>
            </w:r>
          </w:p>
        </w:tc>
      </w:tr>
      <w:tr>
        <w:trPr>
          <w:cantSplit/>
        </w:trPr>
        <w:tc>
          <w:tcPr/>
          <w:p>
            <w:pPr>
              <w:pStyle w:val="Compact"/>
            </w:pPr>
            <w:r>
              <w:rPr>
                <w:lang w:val="pt-PT"/>
              </w:rPr>
              <w:t xml:space="preserve">Contas de utilizador</w:t>
            </w:r>
          </w:p>
        </w:tc>
        <w:tc>
          <w:tcPr/>
          <w:p>
            <w:pPr>
              <w:pStyle w:val="Compact"/>
            </w:pPr>
            <w:r>
              <w:rPr>
                <w:lang w:val="pt-PT"/>
              </w:rPr>
              <w:t xml:space="preserve">Sobrenome, nome, se aplicável, e-mail, função, organização, equipa, status da conta, tokens de acesso, data de conexão</w:t>
            </w:r>
          </w:p>
        </w:tc>
      </w:tr>
      <w:tr>
        <w:trPr>
          <w:cantSplit/>
        </w:trPr>
        <w:tc>
          <w:tcPr/>
          <w:p>
            <w:pPr>
              <w:pStyle w:val="Compact"/>
            </w:pPr>
            <w:r>
              <w:rPr>
                <w:lang w:val="pt-PT"/>
              </w:rPr>
              <w:t xml:space="preserve">Registos de auditoria e rastreamentos técnicos</w:t>
            </w:r>
          </w:p>
        </w:tc>
        <w:tc>
          <w:tcPr/>
          <w:p>
            <w:pPr>
              <w:pStyle w:val="Compact"/>
            </w:pPr>
            <w:r>
              <w:rPr>
                <w:lang w:val="pt-PT"/>
              </w:rPr>
              <w:t xml:space="preserve">Identificadores de utilizadores, ações, datas, endereços IP quando coletados, eventos de aplicativos, erros, IDs de correlação</w:t>
            </w:r>
          </w:p>
        </w:tc>
      </w:tr>
      <w:tr>
        <w:trPr>
          <w:cantSplit/>
        </w:trPr>
        <w:tc>
          <w:tcPr/>
          <w:p>
            <w:pPr>
              <w:pStyle w:val="Compact"/>
            </w:pPr>
            <w:r>
              <w:rPr>
                <w:lang w:val="pt-PT"/>
              </w:rPr>
              <w:t xml:space="preserve">Gerações de IA</w:t>
            </w:r>
          </w:p>
        </w:tc>
        <w:tc>
          <w:tcPr/>
          <w:p>
            <w:pPr>
              <w:pStyle w:val="Compact"/>
            </w:pPr>
            <w:r>
              <w:rPr>
                <w:lang w:val="pt-PT"/>
              </w:rPr>
              <w:t xml:space="preserve">Prompts, fontes selecionadas, respostas geradas, resumos, análises, correções, atas, exportações</w:t>
            </w:r>
          </w:p>
        </w:tc>
      </w:tr>
      <w:tr>
        <w:trPr>
          <w:cantSplit/>
        </w:trPr>
        <w:tc>
          <w:tcPr/>
          <w:p>
            <w:pPr>
              <w:pStyle w:val="Compact"/>
            </w:pPr>
            <w:r>
              <w:rPr>
                <w:lang w:val="pt-PT"/>
              </w:rPr>
              <w:t xml:space="preserve">Dados de votação ou participação, se ativados</w:t>
            </w:r>
          </w:p>
        </w:tc>
        <w:tc>
          <w:tcPr/>
          <w:p>
            <w:pPr>
              <w:pStyle w:val="Compact"/>
            </w:pPr>
            <w:r>
              <w:rPr>
                <w:lang w:val="pt-PT"/>
              </w:rPr>
              <w:t xml:space="preserve">Presenças, ausências, procurações, resultados de votação, qualidade ou função dos participantes</w:t>
            </w:r>
          </w:p>
        </w:tc>
      </w:tr>
      <w:tr>
        <w:trPr>
          <w:cantSplit/>
        </w:trPr>
        <w:tc>
          <w:tcPr/>
          <w:p>
            <w:pPr>
              <w:pStyle w:val="Compact"/>
            </w:pPr>
            <w:r>
              <w:rPr>
                <w:lang w:val="pt-PT"/>
              </w:rPr>
              <w:t xml:space="preserve">Incorporações de voz temporárias</w:t>
            </w:r>
          </w:p>
        </w:tc>
        <w:tc>
          <w:tcPr/>
          <w:p>
            <w:pPr>
              <w:pStyle w:val="Compact"/>
            </w:pPr>
            <w:r>
              <w:rPr>
                <w:lang w:val="pt-PT"/>
              </w:rPr>
              <w:t xml:space="preserve">Representações numéricas calculadas temporariamente em RAM para correlação de voz, destruídas ao final da solicitação</w:t>
            </w:r>
          </w:p>
        </w:tc>
      </w:tr>
    </w:tbl>
    <w:bookmarkEnd w:id="34"/>
    <w:bookmarkStart w:id="35" w:name="catégories-de-personnes-concernées"/>
    <w:p>
      <w:pPr>
        <w:pStyle w:val="Heading3"/>
        <w:keepNext/>
        <w:keepLines/>
      </w:pPr>
      <w:r>
        <w:rPr>
          <w:color w:val="000000"/>
          <w:lang w:val="pt-PT"/>
        </w:rPr>
        <w:t xml:space="preserve">Categorias de pessoas envolvidas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Categoria</w:t>
            </w:r>
          </w:p>
        </w:tc>
        <w:tc>
          <w:tcPr/>
          <w:p>
            <w:pPr>
              <w:pStyle w:val="Compact"/>
            </w:pPr>
            <w:r>
              <w:rPr>
                <w:lang w:val="pt-PT"/>
              </w:rPr>
              <w:t xml:space="preserve">Descrição</w:t>
            </w:r>
          </w:p>
        </w:tc>
      </w:tr>
      <w:tr>
        <w:trPr>
          <w:cantSplit/>
        </w:trPr>
        <w:tc>
          <w:tcPr/>
          <w:p>
            <w:pPr>
              <w:pStyle w:val="Compact"/>
            </w:pPr>
            <w:r>
              <w:rPr>
                <w:lang w:val="pt-PT"/>
              </w:rPr>
              <w:t xml:space="preserve">Utilizadores clientes</w:t>
            </w:r>
          </w:p>
        </w:tc>
        <w:tc>
          <w:tcPr/>
          <w:p>
            <w:pPr>
              <w:pStyle w:val="Compact"/>
            </w:pPr>
            <w:r>
              <w:rPr>
                <w:lang w:val="pt-PT"/>
              </w:rPr>
              <w:t xml:space="preserve">Agentes, funcionários, autoridades eleitas, profissionais, advogados, notários, professores, jornalistas, administradores, membros da equipa</w:t>
            </w:r>
          </w:p>
        </w:tc>
      </w:tr>
      <w:tr>
        <w:trPr>
          <w:cantSplit/>
        </w:trPr>
        <w:tc>
          <w:tcPr/>
          <w:p>
            <w:pPr>
              <w:pStyle w:val="Compact"/>
            </w:pPr>
            <w:r>
              <w:rPr>
                <w:lang w:val="pt-PT"/>
              </w:rPr>
              <w:t xml:space="preserve">Palestrantes registados</w:t>
            </w:r>
          </w:p>
        </w:tc>
        <w:tc>
          <w:tcPr/>
          <w:p>
            <w:pPr>
              <w:pStyle w:val="Compact"/>
            </w:pPr>
            <w:r>
              <w:rPr>
                <w:lang w:val="pt-PT"/>
              </w:rPr>
              <w:t xml:space="preserve">Participantes cuja voz é capturada em ficheiros de áudio ou vídeo carregados</w:t>
            </w:r>
          </w:p>
        </w:tc>
      </w:tr>
      <w:tr>
        <w:trPr>
          <w:cantSplit/>
        </w:trPr>
        <w:tc>
          <w:tcPr/>
          <w:p>
            <w:pPr>
              <w:pStyle w:val="Compact"/>
            </w:pPr>
            <w:r>
              <w:rPr>
                <w:lang w:val="pt-PT"/>
              </w:rPr>
              <w:t xml:space="preserve">Pessoas mencionadas</w:t>
            </w:r>
          </w:p>
        </w:tc>
        <w:tc>
          <w:tcPr/>
          <w:p>
            <w:pPr>
              <w:pStyle w:val="Compact"/>
            </w:pPr>
            <w:r>
              <w:rPr>
                <w:lang w:val="pt-PT"/>
              </w:rPr>
              <w:t xml:space="preserve">Pessoas citadas em reuniões, transcrições, documentos preparatórios, votações, atas ou gerações de IA</w:t>
            </w:r>
          </w:p>
        </w:tc>
      </w:tr>
      <w:tr>
        <w:trPr>
          <w:cantSplit/>
        </w:trPr>
        <w:tc>
          <w:tcPr/>
          <w:p>
            <w:pPr>
              <w:pStyle w:val="Compact"/>
            </w:pPr>
            <w:r>
              <w:rPr>
                <w:lang w:val="pt-PT"/>
              </w:rPr>
              <w:t xml:space="preserve">Contactos institucionais</w:t>
            </w:r>
          </w:p>
        </w:tc>
        <w:tc>
          <w:tcPr/>
          <w:p>
            <w:pPr>
              <w:pStyle w:val="Compact"/>
            </w:pPr>
            <w:r>
              <w:rPr>
                <w:lang w:val="pt-PT"/>
              </w:rPr>
              <w:t xml:space="preserve">Membros do conselho, funcionários eleitos, colaboradores, representantes, participantes convidados</w:t>
            </w:r>
          </w:p>
        </w:tc>
      </w:tr>
      <w:tr>
        <w:trPr>
          <w:cantSplit/>
        </w:trPr>
        <w:tc>
          <w:tcPr/>
          <w:p>
            <w:pPr>
              <w:pStyle w:val="Compact"/>
            </w:pPr>
            <w:r>
              <w:rPr>
                <w:lang w:val="pt-PT"/>
              </w:rPr>
              <w:t xml:space="preserve">Equipa OHADJA</w:t>
            </w:r>
          </w:p>
        </w:tc>
        <w:tc>
          <w:tcPr/>
          <w:p>
            <w:pPr>
              <w:pStyle w:val="Compact"/>
            </w:pPr>
            <w:r>
              <w:rPr>
                <w:lang w:val="pt-PT"/>
              </w:rPr>
              <w:t xml:space="preserve">Somente para vestígios de intervenção, suporte, segurança ou auditoria interna vinculados ao Serviço</w:t>
            </w:r>
          </w:p>
        </w:tc>
      </w:tr>
    </w:tbl>
    <w:bookmarkEnd w:id="35"/>
    <w:bookmarkStart w:id="36" w:name="durées-de-conservation-par-catégorie"/>
    <w:p>
      <w:pPr>
        <w:pStyle w:val="Heading3"/>
        <w:keepNext/>
        <w:keepLines/>
      </w:pPr>
      <w:r>
        <w:rPr>
          <w:color w:val="000000"/>
          <w:lang w:val="pt-PT"/>
        </w:rPr>
        <w:t xml:space="preserve">Prazo de conservação por categoria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Categoria</w:t>
            </w:r>
          </w:p>
        </w:tc>
        <w:tc>
          <w:tcPr/>
          <w:p>
            <w:pPr>
              <w:pStyle w:val="Compact"/>
            </w:pPr>
            <w:r>
              <w:rPr>
                <w:lang w:val="pt-PT"/>
              </w:rPr>
              <w:t xml:space="preserve">Prazo de conservação padrão</w:t>
            </w:r>
          </w:p>
        </w:tc>
      </w:tr>
      <w:tr>
        <w:trPr>
          <w:cantSplit/>
        </w:trPr>
        <w:tc>
          <w:tcPr/>
          <w:p>
            <w:pPr>
              <w:pStyle w:val="Compact"/>
            </w:pPr>
            <w:r>
              <w:rPr>
                <w:lang w:val="pt-PT"/>
              </w:rPr>
              <w:t xml:space="preserve">Contas de utilizadores ativos</w:t>
            </w:r>
          </w:p>
        </w:tc>
        <w:tc>
          <w:tcPr/>
          <w:p>
            <w:pPr>
              <w:pStyle w:val="Compact"/>
            </w:pPr>
            <w:r>
              <w:rPr>
                <w:lang w:val="pt-PT"/>
              </w:rPr>
              <w:t xml:space="preserve">Durante a vigência da conta e do Contrato Principal</w:t>
            </w:r>
          </w:p>
        </w:tc>
      </w:tr>
      <w:tr>
        <w:trPr>
          <w:cantSplit/>
        </w:trPr>
        <w:tc>
          <w:tcPr/>
          <w:p>
            <w:pPr>
              <w:pStyle w:val="Compact"/>
            </w:pPr>
            <w:r>
              <w:rPr>
                <w:lang w:val="pt-PT"/>
              </w:rPr>
              <w:t xml:space="preserve">Contas de utilizador desativadas</w:t>
            </w:r>
          </w:p>
        </w:tc>
        <w:tc>
          <w:tcPr/>
          <w:p>
            <w:pPr>
              <w:pStyle w:val="Compact"/>
            </w:pPr>
            <w:r>
              <w:rPr>
                <w:lang w:val="pt-PT"/>
              </w:rPr>
              <w:t xml:space="preserve">Exclusão ou anonimização de acordo com as instruções do Cliente; caso contrário, no final do Contrato Principal</w:t>
            </w:r>
          </w:p>
        </w:tc>
      </w:tr>
      <w:tr>
        <w:trPr>
          <w:cantSplit/>
        </w:trPr>
        <w:tc>
          <w:tcPr/>
          <w:p>
            <w:pPr>
              <w:pStyle w:val="Compact"/>
            </w:pPr>
            <w:r>
              <w:rPr>
                <w:lang w:val="pt-PT"/>
              </w:rPr>
              <w:t xml:space="preserve">Ficheiros de áudio</w:t>
            </w:r>
          </w:p>
        </w:tc>
        <w:tc>
          <w:tcPr/>
          <w:p>
            <w:pPr>
              <w:pStyle w:val="Compact"/>
            </w:pPr>
            <w:r>
              <w:rPr>
                <w:lang w:val="pt-PT"/>
              </w:rPr>
              <w:t xml:space="preserve">Durante a duração configurada pelo Cliente ou, na sua falta, durante a vigência do Contrato Principal</w:t>
            </w:r>
          </w:p>
        </w:tc>
      </w:tr>
      <w:tr>
        <w:trPr>
          <w:cantSplit/>
        </w:trPr>
        <w:tc>
          <w:tcPr/>
          <w:p>
            <w:pPr>
              <w:pStyle w:val="Compact"/>
            </w:pPr>
            <w:r>
              <w:rPr>
                <w:lang w:val="pt-PT"/>
              </w:rPr>
              <w:t xml:space="preserve">Transcrições e versões</w:t>
            </w:r>
          </w:p>
        </w:tc>
        <w:tc>
          <w:tcPr/>
          <w:p>
            <w:pPr>
              <w:pStyle w:val="Compact"/>
            </w:pPr>
            <w:r>
              <w:rPr>
                <w:lang w:val="pt-PT"/>
              </w:rPr>
              <w:t xml:space="preserve">Durante a duração configurada pelo Cliente ou, na sua falta, durante a vigência do Contrato Principal</w:t>
            </w:r>
          </w:p>
        </w:tc>
      </w:tr>
      <w:tr>
        <w:trPr>
          <w:cantSplit/>
        </w:trPr>
        <w:tc>
          <w:tcPr/>
          <w:p>
            <w:pPr>
              <w:pStyle w:val="Compact"/>
            </w:pPr>
            <w:r>
              <w:rPr>
                <w:lang w:val="pt-PT"/>
              </w:rPr>
              <w:t xml:space="preserve">Documentos preparatórios</w:t>
            </w:r>
          </w:p>
        </w:tc>
        <w:tc>
          <w:tcPr/>
          <w:p>
            <w:pPr>
              <w:pStyle w:val="Compact"/>
            </w:pPr>
            <w:r>
              <w:rPr>
                <w:lang w:val="pt-PT"/>
              </w:rPr>
              <w:t xml:space="preserve">Durante a duração configurada pelo Cliente ou, na sua falta, durante a vigência do Contrato Principal</w:t>
            </w:r>
          </w:p>
        </w:tc>
      </w:tr>
      <w:tr>
        <w:trPr>
          <w:cantSplit/>
        </w:trPr>
        <w:tc>
          <w:tcPr/>
          <w:p>
            <w:pPr>
              <w:pStyle w:val="Compact"/>
            </w:pPr>
            <w:r>
              <w:rPr>
                <w:lang w:val="pt-PT"/>
              </w:rPr>
              <w:t xml:space="preserve">Gerações e exportações de IA</w:t>
            </w:r>
          </w:p>
        </w:tc>
        <w:tc>
          <w:tcPr/>
          <w:p>
            <w:pPr>
              <w:pStyle w:val="Compact"/>
            </w:pPr>
            <w:r>
              <w:rPr>
                <w:lang w:val="pt-PT"/>
              </w:rPr>
              <w:t xml:space="preserve">Durante a duração configurada pelo Cliente ou, na sua falta, durante a vigência do Contrato Principal</w:t>
            </w:r>
          </w:p>
        </w:tc>
      </w:tr>
      <w:tr>
        <w:trPr>
          <w:cantSplit/>
        </w:trPr>
        <w:tc>
          <w:tcPr/>
          <w:p>
            <w:pPr>
              <w:pStyle w:val="Compact"/>
            </w:pPr>
            <w:r>
              <w:rPr>
                <w:lang w:val="pt-PT"/>
              </w:rPr>
              <w:t xml:space="preserve">Logs de auditoria de aplicativos</w:t>
            </w:r>
          </w:p>
        </w:tc>
        <w:tc>
          <w:tcPr/>
          <w:p>
            <w:pPr>
              <w:pStyle w:val="Compact"/>
            </w:pPr>
            <w:r>
              <w:rPr>
                <w:lang w:val="pt-PT"/>
              </w:rPr>
              <w:t xml:space="preserve">Duração necessária para segurança, rastreabilidade e comprovação, dentro do limite de doze (12) meses, salvo exigência ou instrução em contrário</w:t>
            </w:r>
          </w:p>
        </w:tc>
      </w:tr>
      <w:tr>
        <w:trPr>
          <w:cantSplit/>
        </w:trPr>
        <w:tc>
          <w:tcPr/>
          <w:p>
            <w:pPr>
              <w:pStyle w:val="Compact"/>
            </w:pPr>
            <w:r>
              <w:rPr>
                <w:lang w:val="pt-PT"/>
              </w:rPr>
              <w:t xml:space="preserve">Registos técnicos</w:t>
            </w:r>
          </w:p>
        </w:tc>
        <w:tc>
          <w:tcPr/>
          <w:p>
            <w:pPr>
              <w:pStyle w:val="Compact"/>
            </w:pPr>
            <w:r>
              <w:rPr>
                <w:lang w:val="pt-PT"/>
              </w:rPr>
              <w:t xml:space="preserve">Duração necessária para operação, segurança e diagnóstico, geralmente limitada a noventa (90) dias, a menos que seja incidental ou necessário de outra forma</w:t>
            </w:r>
          </w:p>
        </w:tc>
      </w:tr>
      <w:tr>
        <w:trPr>
          <w:cantSplit/>
        </w:trPr>
        <w:tc>
          <w:tcPr/>
          <w:p>
            <w:pPr>
              <w:pStyle w:val="Compact"/>
            </w:pPr>
            <w:r>
              <w:rPr>
                <w:lang w:val="pt-PT"/>
              </w:rPr>
              <w:t xml:space="preserve">Cópias de segurança</w:t>
            </w:r>
          </w:p>
        </w:tc>
        <w:tc>
          <w:tcPr/>
          <w:p>
            <w:pPr>
              <w:pStyle w:val="Compact"/>
            </w:pPr>
            <w:r>
              <w:rPr>
                <w:lang w:val="pt-PT"/>
              </w:rPr>
              <w:t xml:space="preserve">Conservação de acordo com ciclo de backup, máximo de 90 (noventa) dias, salvo restauração, incidente ou obrigação legal</w:t>
            </w:r>
          </w:p>
        </w:tc>
      </w:tr>
      <w:tr>
        <w:trPr>
          <w:cantSplit/>
        </w:trPr>
        <w:tc>
          <w:tcPr/>
          <w:p>
            <w:pPr>
              <w:pStyle w:val="Compact"/>
            </w:pPr>
            <w:r>
              <w:rPr>
                <w:lang w:val="pt-PT"/>
              </w:rPr>
              <w:t xml:space="preserve">Incorporações de voz temporárias</w:t>
            </w:r>
          </w:p>
        </w:tc>
        <w:tc>
          <w:tcPr/>
          <w:p>
            <w:pPr>
              <w:pStyle w:val="Compact"/>
            </w:pPr>
            <w:r>
              <w:rPr>
                <w:lang w:val="pt-PT"/>
              </w:rPr>
              <w:t xml:space="preserve">Duração estritamente limitada à execução do pedido de correlação de voz; destruição no final do tratamento</w:t>
            </w:r>
          </w:p>
        </w:tc>
      </w:tr>
    </w:tbl>
    <w:bookmarkEnd w:id="36"/>
    <w:bookmarkStart w:id="37" w:name="voice-correlation"/>
    <w:p>
      <w:pPr>
        <w:pStyle w:val="Heading3"/>
        <w:keepNext/>
        <w:keepLines/>
      </w:pPr>
      <w:r>
        <w:rPr>
          <w:color w:val="000000"/>
          <w:lang w:val="pt-PT"/>
        </w:rPr>
        <w:t xml:space="preserve">Correlação de voz</w:t>
      </w:r>
    </w:p>
    <w:p>
      <w:pPr>
        <w:pStyle w:val="FirstParagraph"/>
      </w:pPr>
      <w:r>
        <w:rPr>
          <w:lang w:val="pt-PT"/>
        </w:rPr>
        <w:t xml:space="preserve">A funcionalidade de correlação de voz, entregue em 18 de maio de 2026, consiste no processamento temporário de dados de voz com a finalidade de sugerir a identificação do locutor, sem a criação de um modelo biométrico persistente.</w:t>
      </w:r>
    </w:p>
    <w:p>
      <w:pPr>
        <w:pStyle w:val="BodyText"/>
      </w:pPr>
      <w:r>
        <w:rPr>
          <w:lang w:val="pt-PT"/>
        </w:rPr>
        <w:t xml:space="preserve">Esta funcionalidade pode comparar características vocais extraídas temporariamente de um ou mais segmentos de áudio com elementos disponíveis na sessão ou espaço do Cliente, de forma a oferecer uma sugestão de associação entre um locutor detectado e um nome de locutor inserido ou validado pelos utilizadores.</w:t>
      </w:r>
    </w:p>
    <w:p>
      <w:pPr>
        <w:pStyle w:val="BodyText"/>
      </w:pPr>
      <w:r>
        <w:rPr>
          <w:lang w:val="pt-PT"/>
        </w:rPr>
        <w:t xml:space="preserve">As sugestões produzidas pela correlação de voz não constituem uma decisão automática definitiva. Devem ser sujeitos a validação humana por um utilizador autorizado do Cliente antes de serem retidos na transcrição ou interface.</w:t>
      </w:r>
    </w:p>
    <w:p>
      <w:pPr>
        <w:pStyle w:val="BodyText"/>
      </w:pPr>
      <w:r>
        <w:rPr>
          <w:lang w:val="pt-PT"/>
        </w:rPr>
        <w:t xml:space="preserve">Os embeddings de voz temporários são calculados em RAM ou em espaços temporários controlados, não são mantidos como perfis persistentes, não são usados para treino de modelo por OHADJA e são destruídos no final da solicitação, inclusive em blocos de limpeza de aplicativos do tipo </w:t>
      </w:r>
      <w:r>
        <w:rPr>
          <w:lang w:val="pt-PT"/>
        </w:rPr>
        <w:t xml:space="preserve"/>
      </w:r>
      <w:r>
        <w:rPr>
          <w:rStyle w:val="VerbatimChar"/>
          <w:lang w:val="pt-PT"/>
        </w:rPr>
        <w:t xml:space="preserve">finally</w:t>
      </w:r>
      <w:r>
        <w:rPr>
          <w:lang w:val="pt-PT"/>
        </w:rPr>
        <w:t xml:space="preserve"> </w:t>
      </w:r>
      <w:r>
        <w:rPr>
          <w:lang w:val="pt-PT"/>
        </w:rPr>
        <w:t xml:space="preserve">quando são usados.</w:t>
      </w:r>
    </w:p>
    <w:p>
      <w:pPr>
        <w:pStyle w:val="BodyText"/>
      </w:pPr>
      <w:r>
        <w:rPr>
          <w:lang w:val="pt-PT"/>
        </w:rPr>
        <w:t xml:space="preserve">O Cliente permanece responsável por informar os Titulares dos Dados, escolher a base legal, determinar a necessidade e proporcionalidade, bem como qualquer análise interna necessária no que diz respeito aos seus usos.</w:t>
      </w:r>
    </w:p>
    <w:bookmarkEnd w:id="37"/>
    <w:bookmarkEnd w:id="38"/>
    <w:bookmarkStart w:id="39" w:name="Xd31bed0aa0778d1f455c6a7f93a5eaae9719c2f"/>
    <w:p>
      <w:pPr>
        <w:pStyle w:val="Heading2"/>
        <w:keepNext/>
        <w:keepLines/>
      </w:pPr>
      <w:r>
        <w:rPr>
          <w:color w:val="000000"/>
          <w:lang w:val="pt-PT"/>
        </w:rPr>
        <w:t xml:space="preserve">ANEXO 2 — LISTA DE Subcontratantes ulteriores AUTORIZADOS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pt-PT"/>
              </w:rPr>
              <w:t xml:space="preserve">Nome</w:t>
            </w:r>
          </w:p>
        </w:tc>
        <w:tc>
          <w:tcPr>
            <w:tcW w:type="dxa" w:w="2340"/>
            <w:tcMar>
              <w:left w:type="dxa" w:w="80"/>
              <w:right w:type="dxa" w:w="80"/>
            </w:tcMar>
          </w:tcPr>
          <w:p>
            <w:pPr>
              <w:pStyle w:val="Compact"/>
            </w:pPr>
            <w:r>
              <w:rPr>
                <w:sz w:val="19"/>
                <w:szCs w:val="19"/>
                <w:lang w:val="pt-PT"/>
              </w:rPr>
              <w:t xml:space="preserve">Objetivo</w:t>
            </w:r>
          </w:p>
        </w:tc>
        <w:tc>
          <w:tcPr>
            <w:tcW w:type="dxa" w:w="2340"/>
            <w:tcMar>
              <w:left w:type="dxa" w:w="80"/>
              <w:right w:type="dxa" w:w="80"/>
            </w:tcMar>
          </w:tcPr>
          <w:p>
            <w:pPr>
              <w:pStyle w:val="Compact"/>
            </w:pPr>
            <w:r>
              <w:rPr>
                <w:sz w:val="19"/>
                <w:szCs w:val="19"/>
                <w:lang w:val="pt-PT"/>
              </w:rPr>
              <w:t xml:space="preserve">Localização</w:t>
            </w:r>
          </w:p>
        </w:tc>
        <w:tc>
          <w:tcPr>
            <w:tcW w:type="dxa" w:w="2340"/>
            <w:tcMar>
              <w:left w:type="dxa" w:w="80"/>
              <w:right w:type="dxa" w:w="80"/>
            </w:tcMar>
          </w:tcPr>
          <w:p>
            <w:pPr>
              <w:pStyle w:val="Compact"/>
            </w:pPr>
            <w:r>
              <w:rPr>
                <w:sz w:val="19"/>
                <w:szCs w:val="19"/>
                <w:lang w:val="pt-PT"/>
              </w:rPr>
              <w:t xml:space="preserve">Base contratual</w:t>
            </w:r>
          </w:p>
        </w:tc>
      </w:tr>
      <w:tr>
        <w:trPr>
          <w:cantSplit/>
        </w:trPr>
        <w:tc>
          <w:tcPr>
            <w:tcW w:type="dxa" w:w="2340"/>
            <w:tcMar>
              <w:left w:type="dxa" w:w="80"/>
              <w:right w:type="dxa" w:w="80"/>
            </w:tcMar>
          </w:tcPr>
          <w:p>
            <w:pPr>
              <w:pStyle w:val="Compact"/>
            </w:pPr>
            <w:r>
              <w:rPr>
                <w:sz w:val="19"/>
                <w:szCs w:val="19"/>
                <w:lang w:val="pt-PT"/>
              </w:rPr>
              <w:t xml:space="preserve">Servidores de inferência LLM dominados (modelos de peso aberto vLLM, Qwen 3.6/Mistral)</w:t>
            </w:r>
          </w:p>
        </w:tc>
        <w:tc>
          <w:tcPr>
            <w:tcW w:type="dxa" w:w="2340"/>
            <w:tcMar>
              <w:left w:type="dxa" w:w="80"/>
              <w:right w:type="dxa" w:w="80"/>
            </w:tcMar>
          </w:tcPr>
          <w:p>
            <w:pPr>
              <w:pStyle w:val="Compact"/>
            </w:pPr>
            <w:r>
              <w:rPr>
                <w:sz w:val="19"/>
                <w:szCs w:val="19"/>
                <w:lang w:val="pt-PT"/>
              </w:rPr>
              <w:t xml:space="preserve">Caminho principal das funções de IA: correção, resumo, geração de texto, análise, estruturação e assistência de IA</w:t>
            </w:r>
          </w:p>
        </w:tc>
        <w:tc>
          <w:tcPr>
            <w:tcW w:type="dxa" w:w="2340"/>
            <w:tcMar>
              <w:left w:type="dxa" w:w="80"/>
              <w:right w:type="dxa" w:w="80"/>
            </w:tcMar>
          </w:tcPr>
          <w:p>
            <w:pPr>
              <w:pStyle w:val="Compact"/>
            </w:pPr>
            <w:r>
              <w:rPr>
                <w:sz w:val="19"/>
                <w:szCs w:val="19"/>
                <w:lang w:val="pt-PT"/>
              </w:rPr>
              <w:t xml:space="preserve">União Europeia — sediada em Estrasburgo e Paris</w:t>
            </w:r>
          </w:p>
        </w:tc>
        <w:tc>
          <w:tcPr>
            <w:tcW w:type="dxa" w:w="2340"/>
            <w:tcMar>
              <w:left w:type="dxa" w:w="80"/>
              <w:right w:type="dxa" w:w="80"/>
            </w:tcMar>
          </w:tcPr>
          <w:p>
            <w:pPr>
              <w:pStyle w:val="Compact"/>
            </w:pPr>
            <w:r>
              <w:rPr>
                <w:sz w:val="19"/>
                <w:szCs w:val="19"/>
                <w:lang w:val="pt-PT"/>
              </w:rPr>
              <w:t xml:space="preserve">Infraestrutura controlada por OHADJA; nenhum dado transmitido a um provedor de modelo terceirizado</w:t>
            </w:r>
          </w:p>
        </w:tc>
      </w:tr>
      <w:tr>
        <w:trPr>
          <w:cantSplit/>
        </w:trPr>
        <w:tc>
          <w:tcPr>
            <w:tcW w:type="dxa" w:w="2340"/>
            <w:tcMar>
              <w:left w:type="dxa" w:w="80"/>
              <w:right w:type="dxa" w:w="80"/>
            </w:tcMar>
          </w:tcPr>
          <w:p>
            <w:pPr>
              <w:pStyle w:val="Compact"/>
            </w:pPr>
            <w:r>
              <w:rPr>
                <w:sz w:val="19"/>
                <w:szCs w:val="19"/>
                <w:lang w:val="pt-PT"/>
              </w:rPr>
              <w:t xml:space="preserve">Hostinger</w:t>
            </w:r>
          </w:p>
        </w:tc>
        <w:tc>
          <w:tcPr>
            <w:tcW w:type="dxa" w:w="2340"/>
            <w:tcMar>
              <w:left w:type="dxa" w:w="80"/>
              <w:right w:type="dxa" w:w="80"/>
            </w:tcMar>
          </w:tcPr>
          <w:p>
            <w:pPr>
              <w:pStyle w:val="Compact"/>
            </w:pPr>
            <w:r>
              <w:rPr>
                <w:sz w:val="19"/>
                <w:szCs w:val="19"/>
                <w:lang w:val="pt-PT"/>
              </w:rPr>
              <w:t xml:space="preserve">Alojamento física ou em nuvem do Serviço SaaS TranscribIA, armazenamento, rede, disponibilidade de infraestrutura</w:t>
            </w:r>
          </w:p>
        </w:tc>
        <w:tc>
          <w:tcPr>
            <w:tcW w:type="dxa" w:w="2340"/>
            <w:tcMar>
              <w:left w:type="dxa" w:w="80"/>
              <w:right w:type="dxa" w:w="80"/>
            </w:tcMar>
          </w:tcPr>
          <w:p>
            <w:pPr>
              <w:pStyle w:val="Compact"/>
            </w:pPr>
            <w:r>
              <w:rPr>
                <w:sz w:val="19"/>
                <w:szCs w:val="19"/>
                <w:lang w:val="pt-PT"/>
              </w:rPr>
              <w:t xml:space="preserve">França, União Europeia ou Espaço Económico Europeu dependendo da configuração escolhida</w:t>
            </w:r>
          </w:p>
        </w:tc>
        <w:tc>
          <w:tcPr>
            <w:tcW w:type="dxa" w:w="2340"/>
            <w:tcMar>
              <w:left w:type="dxa" w:w="80"/>
              <w:right w:type="dxa" w:w="80"/>
            </w:tcMar>
          </w:tcPr>
          <w:p>
            <w:pPr>
              <w:pStyle w:val="Compact"/>
            </w:pPr>
            <w:r>
              <w:rPr>
                <w:sz w:val="19"/>
                <w:szCs w:val="19"/>
                <w:lang w:val="pt-PT"/>
              </w:rPr>
              <w:t xml:space="preserve">Contrato de serviço, cláusulas de subcontratação, compromissos RGPD</w:t>
            </w:r>
          </w:p>
        </w:tc>
      </w:tr>
      <w:tr>
        <w:trPr>
          <w:cantSplit/>
        </w:trPr>
        <w:tc>
          <w:tcPr>
            <w:tcW w:type="dxa" w:w="2340"/>
            <w:tcMar>
              <w:left w:type="dxa" w:w="80"/>
              <w:right w:type="dxa" w:w="80"/>
            </w:tcMar>
          </w:tcPr>
          <w:p>
            <w:pPr>
              <w:pStyle w:val="Compact"/>
            </w:pPr>
            <w:r>
              <w:rPr>
                <w:sz w:val="19"/>
                <w:szCs w:val="19"/>
                <w:lang w:val="pt-PT"/>
              </w:rPr>
              <w:t xml:space="preserve">Scaleway</w:t>
            </w:r>
          </w:p>
        </w:tc>
        <w:tc>
          <w:tcPr>
            <w:tcW w:type="dxa" w:w="2340"/>
            <w:tcMar>
              <w:left w:type="dxa" w:w="80"/>
              <w:right w:type="dxa" w:w="80"/>
            </w:tcMar>
          </w:tcPr>
          <w:p>
            <w:pPr>
              <w:pStyle w:val="Compact"/>
            </w:pPr>
            <w:r>
              <w:rPr>
                <w:sz w:val="19"/>
                <w:szCs w:val="19"/>
                <w:lang w:val="pt-PT"/>
              </w:rPr>
              <w:t xml:space="preserve">Armazenando backups externos cifrados</w:t>
            </w:r>
          </w:p>
        </w:tc>
        <w:tc>
          <w:tcPr>
            <w:tcW w:type="dxa" w:w="2340"/>
            <w:tcMar>
              <w:left w:type="dxa" w:w="80"/>
              <w:right w:type="dxa" w:w="80"/>
            </w:tcMar>
          </w:tcPr>
          <w:p>
            <w:pPr>
              <w:pStyle w:val="Compact"/>
            </w:pPr>
            <w:r>
              <w:rPr>
                <w:sz w:val="19"/>
                <w:szCs w:val="19"/>
                <w:lang w:val="pt-PT"/>
              </w:rPr>
              <w:t xml:space="preserve">França (União Europeia)</w:t>
            </w:r>
          </w:p>
        </w:tc>
        <w:tc>
          <w:tcPr>
            <w:tcW w:type="dxa" w:w="2340"/>
            <w:tcMar>
              <w:left w:type="dxa" w:w="80"/>
              <w:right w:type="dxa" w:w="80"/>
            </w:tcMar>
          </w:tcPr>
          <w:p>
            <w:pPr>
              <w:pStyle w:val="Compact"/>
            </w:pPr>
            <w:r>
              <w:rPr>
                <w:sz w:val="19"/>
                <w:szCs w:val="19"/>
                <w:lang w:val="pt-PT"/>
              </w:rPr>
              <w:t xml:space="preserve">Contrato de serviço, cláusulas de subcontratação, compromissos RGPD</w:t>
            </w:r>
          </w:p>
        </w:tc>
      </w:tr>
      <w:tr>
        <w:trPr>
          <w:cantSplit/>
        </w:trPr>
        <w:tc>
          <w:tcPr>
            <w:tcW w:type="dxa" w:w="2340"/>
            <w:tcMar>
              <w:left w:type="dxa" w:w="80"/>
              <w:right w:type="dxa" w:w="80"/>
            </w:tcMar>
          </w:tcPr>
          <w:p>
            <w:pPr>
              <w:pStyle w:val="Compact"/>
            </w:pPr>
            <w:r>
              <w:rPr>
                <w:sz w:val="19"/>
                <w:szCs w:val="19"/>
                <w:lang w:val="pt-PT"/>
              </w:rPr>
              <w:t xml:space="preserve">OpenRouter</w:t>
            </w:r>
          </w:p>
        </w:tc>
        <w:tc>
          <w:tcPr>
            <w:tcW w:type="dxa" w:w="2340"/>
            <w:tcMar>
              <w:left w:type="dxa" w:w="80"/>
              <w:right w:type="dxa" w:w="80"/>
            </w:tcMar>
          </w:tcPr>
          <w:p>
            <w:pPr>
              <w:pStyle w:val="Compact"/>
            </w:pPr>
            <w:r>
              <w:rPr>
                <w:sz w:val="19"/>
                <w:szCs w:val="19"/>
                <w:lang w:val="pt-PT"/>
              </w:rPr>
              <w:t xml:space="preserve">Rota failover, desativada pela organização: intermediação de acesso aos modelos LLM quando a rota primária está indisponível e o fallback não foi desativado pelo Cliente</w:t>
            </w:r>
          </w:p>
        </w:tc>
        <w:tc>
          <w:tcPr>
            <w:tcW w:type="dxa" w:w="2340"/>
            <w:tcMar>
              <w:left w:type="dxa" w:w="80"/>
              <w:right w:type="dxa" w:w="80"/>
            </w:tcMar>
          </w:tcPr>
          <w:p>
            <w:pPr>
              <w:pStyle w:val="Compact"/>
            </w:pPr>
            <w:r>
              <w:rPr>
                <w:sz w:val="19"/>
                <w:szCs w:val="19"/>
                <w:lang w:val="pt-PT"/>
              </w:rPr>
              <w:t xml:space="preserve">União Europeia ou Espaço Económico Europeu quando disponível e ativado; nenhuma transferência para fora da UE sem mecanismo do capítulo V RGPD</w:t>
            </w:r>
          </w:p>
        </w:tc>
        <w:tc>
          <w:tcPr>
            <w:tcW w:type="dxa" w:w="2340"/>
            <w:tcMar>
              <w:left w:type="dxa" w:w="80"/>
              <w:right w:type="dxa" w:w="80"/>
            </w:tcMar>
          </w:tcPr>
          <w:p>
            <w:pPr>
              <w:pStyle w:val="Compact"/>
            </w:pPr>
            <w:r>
              <w:rPr>
                <w:sz w:val="19"/>
                <w:szCs w:val="19"/>
                <w:lang w:val="pt-PT"/>
              </w:rPr>
              <w:t xml:space="preserve">Contrato de serviço, cláusulas de subcontratação, compromissos RGPD, cláusulas contratuais padrão se necessário</w:t>
            </w:r>
          </w:p>
        </w:tc>
      </w:tr>
      <w:tr>
        <w:trPr>
          <w:cantSplit/>
        </w:trPr>
        <w:tc>
          <w:tcPr>
            <w:tcW w:type="dxa" w:w="2340"/>
            <w:tcMar>
              <w:left w:type="dxa" w:w="80"/>
              <w:right w:type="dxa" w:w="80"/>
            </w:tcMar>
          </w:tcPr>
          <w:p>
            <w:pPr>
              <w:pStyle w:val="Compact"/>
            </w:pPr>
            <w:r>
              <w:rPr>
                <w:sz w:val="19"/>
                <w:szCs w:val="19"/>
                <w:lang w:val="pt-PT"/>
              </w:rPr>
              <w:t xml:space="preserve">Provedores de modelos via OpenRouter, incluindo Anthropic ou OpenAI quando configurados</w:t>
            </w:r>
          </w:p>
        </w:tc>
        <w:tc>
          <w:tcPr>
            <w:tcW w:type="dxa" w:w="2340"/>
            <w:tcMar>
              <w:left w:type="dxa" w:w="80"/>
              <w:right w:type="dxa" w:w="80"/>
            </w:tcMar>
          </w:tcPr>
          <w:p>
            <w:pPr>
              <w:pStyle w:val="Compact"/>
            </w:pPr>
            <w:r>
              <w:rPr>
                <w:sz w:val="19"/>
                <w:szCs w:val="19"/>
                <w:lang w:val="pt-PT"/>
              </w:rPr>
              <w:t xml:space="preserve">Inferência de backup LLM apenas para consultas de IA iniciadas ou configuradas pelo Cliente</w:t>
            </w:r>
          </w:p>
        </w:tc>
        <w:tc>
          <w:tcPr>
            <w:tcW w:type="dxa" w:w="2340"/>
            <w:tcMar>
              <w:left w:type="dxa" w:w="80"/>
              <w:right w:type="dxa" w:w="80"/>
            </w:tcMar>
          </w:tcPr>
          <w:p>
            <w:pPr>
              <w:pStyle w:val="Compact"/>
            </w:pPr>
            <w:r>
              <w:rPr>
                <w:sz w:val="19"/>
                <w:szCs w:val="19"/>
                <w:lang w:val="pt-PT"/>
              </w:rPr>
              <w:t xml:space="preserve">Dependendo da configuração disponível, com prioridade UE/EEE; fora da UE apenas com garantias válidas capítulo V RGPD</w:t>
            </w:r>
          </w:p>
        </w:tc>
        <w:tc>
          <w:tcPr>
            <w:tcW w:type="dxa" w:w="2340"/>
            <w:tcMar>
              <w:left w:type="dxa" w:w="80"/>
              <w:right w:type="dxa" w:w="80"/>
            </w:tcMar>
          </w:tcPr>
          <w:p>
            <w:pPr>
              <w:pStyle w:val="Compact"/>
            </w:pPr>
            <w:r>
              <w:rPr>
                <w:sz w:val="19"/>
                <w:szCs w:val="19"/>
                <w:lang w:val="pt-PT"/>
              </w:rPr>
              <w:t xml:space="preserve">Condições do fornecedor, DPA do fornecedor, cláusulas contratuais padrão, se necessário</w:t>
            </w:r>
          </w:p>
        </w:tc>
      </w:tr>
      <w:tr>
        <w:trPr>
          <w:cantSplit/>
        </w:trPr>
        <w:tc>
          <w:tcPr>
            <w:tcW w:type="dxa" w:w="2340"/>
            <w:tcMar>
              <w:left w:type="dxa" w:w="80"/>
              <w:right w:type="dxa" w:w="80"/>
            </w:tcMar>
          </w:tcPr>
          <w:p>
            <w:pPr>
              <w:pStyle w:val="Compact"/>
            </w:pPr>
            <w:r>
              <w:rPr>
                <w:sz w:val="19"/>
                <w:szCs w:val="19"/>
                <w:lang w:val="pt-PT"/>
              </w:rPr>
              <w:t xml:space="preserve">Vast.ai</w:t>
            </w:r>
          </w:p>
        </w:tc>
        <w:tc>
          <w:tcPr>
            <w:tcW w:type="dxa" w:w="2340"/>
            <w:tcMar>
              <w:left w:type="dxa" w:w="80"/>
              <w:right w:type="dxa" w:w="80"/>
            </w:tcMar>
          </w:tcPr>
          <w:p>
            <w:pPr>
              <w:pStyle w:val="Compact"/>
            </w:pPr>
            <w:r>
              <w:rPr>
                <w:sz w:val="19"/>
                <w:szCs w:val="19"/>
                <w:lang w:val="pt-PT"/>
              </w:rPr>
              <w:t xml:space="preserve">Aluguel sob demanda de recursos de GPU para transcrição, diarização, processamento de áudio ou correlação de voz quando esta opção é usada</w:t>
            </w:r>
          </w:p>
        </w:tc>
        <w:tc>
          <w:tcPr>
            <w:tcW w:type="dxa" w:w="2340"/>
            <w:tcMar>
              <w:left w:type="dxa" w:w="80"/>
              <w:right w:type="dxa" w:w="80"/>
            </w:tcMar>
          </w:tcPr>
          <w:p>
            <w:pPr>
              <w:pStyle w:val="Compact"/>
            </w:pPr>
            <w:r>
              <w:rPr>
                <w:sz w:val="19"/>
                <w:szCs w:val="19"/>
                <w:lang w:val="pt-PT"/>
              </w:rPr>
              <w:t xml:space="preserve">Recursos selecionados da União Europeia ou do Espaço Económico Europeu quando necessário; fora da UE apenas com acordo e garantias capítulo V RGPD</w:t>
            </w:r>
          </w:p>
        </w:tc>
        <w:tc>
          <w:tcPr>
            <w:tcW w:type="dxa" w:w="2340"/>
            <w:tcMar>
              <w:left w:type="dxa" w:w="80"/>
              <w:right w:type="dxa" w:w="80"/>
            </w:tcMar>
          </w:tcPr>
          <w:p>
            <w:pPr>
              <w:pStyle w:val="Compact"/>
            </w:pPr>
            <w:r>
              <w:rPr>
                <w:sz w:val="19"/>
                <w:szCs w:val="19"/>
                <w:lang w:val="pt-PT"/>
              </w:rPr>
              <w:t xml:space="preserve">Contrato de serviço, condições do fornecedor, cláusulas contratuais ou garantias equivalentes, quando aplicável</w:t>
            </w:r>
          </w:p>
        </w:tc>
      </w:tr>
      <w:tr>
        <w:trPr>
          <w:cantSplit/>
        </w:trPr>
        <w:tc>
          <w:tcPr>
            <w:tcW w:type="dxa" w:w="2340"/>
            <w:tcMar>
              <w:left w:type="dxa" w:w="80"/>
              <w:right w:type="dxa" w:w="80"/>
            </w:tcMar>
          </w:tcPr>
          <w:p>
            <w:pPr>
              <w:pStyle w:val="Compact"/>
            </w:pPr>
            <w:r>
              <w:rPr>
                <w:sz w:val="19"/>
                <w:szCs w:val="19"/>
                <w:lang w:val="pt-PT"/>
              </w:rPr>
              <w:t xml:space="preserve">Provedores de email transacional, se ativados</w:t>
            </w:r>
          </w:p>
        </w:tc>
        <w:tc>
          <w:tcPr>
            <w:tcW w:type="dxa" w:w="2340"/>
            <w:tcMar>
              <w:left w:type="dxa" w:w="80"/>
              <w:right w:type="dxa" w:w="80"/>
            </w:tcMar>
          </w:tcPr>
          <w:p>
            <w:pPr>
              <w:pStyle w:val="Compact"/>
            </w:pPr>
            <w:r>
              <w:rPr>
                <w:sz w:val="19"/>
                <w:szCs w:val="19"/>
                <w:lang w:val="pt-PT"/>
              </w:rPr>
              <w:t xml:space="preserve">Envio de e-mails de serviço: convite, reset, notificações técnicas</w:t>
            </w:r>
          </w:p>
        </w:tc>
        <w:tc>
          <w:tcPr>
            <w:tcW w:type="dxa" w:w="2340"/>
            <w:tcMar>
              <w:left w:type="dxa" w:w="80"/>
              <w:right w:type="dxa" w:w="80"/>
            </w:tcMar>
          </w:tcPr>
          <w:p>
            <w:pPr>
              <w:pStyle w:val="Compact"/>
            </w:pPr>
            <w:r>
              <w:rPr>
                <w:sz w:val="19"/>
                <w:szCs w:val="19"/>
                <w:lang w:val="pt-PT"/>
              </w:rPr>
              <w:t xml:space="preserve">União Europeia ou Espaço Económico Europeu quando configurado; fora da UE apenas com garantias do capítulo V RGPD</w:t>
            </w:r>
          </w:p>
        </w:tc>
        <w:tc>
          <w:tcPr>
            <w:tcW w:type="dxa" w:w="2340"/>
            <w:tcMar>
              <w:left w:type="dxa" w:w="80"/>
              <w:right w:type="dxa" w:w="80"/>
            </w:tcMar>
          </w:tcPr>
          <w:p>
            <w:pPr>
              <w:pStyle w:val="Compact"/>
            </w:pPr>
            <w:r>
              <w:rPr>
                <w:sz w:val="19"/>
                <w:szCs w:val="19"/>
                <w:lang w:val="pt-PT"/>
              </w:rPr>
              <w:t xml:space="preserve">Contrato de serviço, DPA do fornecedor, cláusulas contratuais padrão, se necessário</w:t>
            </w:r>
          </w:p>
        </w:tc>
      </w:tr>
      <w:tr>
        <w:trPr>
          <w:cantSplit/>
        </w:trPr>
        <w:tc>
          <w:tcPr>
            <w:tcW w:type="dxa" w:w="2340"/>
            <w:tcMar>
              <w:left w:type="dxa" w:w="80"/>
              <w:right w:type="dxa" w:w="80"/>
            </w:tcMar>
          </w:tcPr>
          <w:p>
            <w:pPr>
              <w:pStyle w:val="Compact"/>
            </w:pPr>
            <w:r>
              <w:rPr>
                <w:sz w:val="19"/>
                <w:szCs w:val="19"/>
                <w:lang w:val="pt-PT"/>
              </w:rPr>
              <w:t xml:space="preserve">Provedores de supervisão ou segurança, se ativados</w:t>
            </w:r>
          </w:p>
        </w:tc>
        <w:tc>
          <w:tcPr>
            <w:tcW w:type="dxa" w:w="2340"/>
            <w:tcMar>
              <w:left w:type="dxa" w:w="80"/>
              <w:right w:type="dxa" w:w="80"/>
            </w:tcMar>
          </w:tcPr>
          <w:p>
            <w:pPr>
              <w:pStyle w:val="Compact"/>
            </w:pPr>
            <w:r>
              <w:rPr>
                <w:sz w:val="19"/>
                <w:szCs w:val="19"/>
                <w:lang w:val="pt-PT"/>
              </w:rPr>
              <w:t xml:space="preserve">Supervisão técnica, alertas, diagnóstico de erros, segurança operacional</w:t>
            </w:r>
          </w:p>
        </w:tc>
        <w:tc>
          <w:tcPr>
            <w:tcW w:type="dxa" w:w="2340"/>
            <w:tcMar>
              <w:left w:type="dxa" w:w="80"/>
              <w:right w:type="dxa" w:w="80"/>
            </w:tcMar>
          </w:tcPr>
          <w:p>
            <w:pPr>
              <w:pStyle w:val="Compact"/>
            </w:pPr>
            <w:r>
              <w:rPr>
                <w:sz w:val="19"/>
                <w:szCs w:val="19"/>
                <w:lang w:val="pt-PT"/>
              </w:rPr>
              <w:t xml:space="preserve">União Europeia ou Espaço Económico Europeu quando configurado; fora da UE apenas com garantias do capítulo V RGPD</w:t>
            </w:r>
          </w:p>
        </w:tc>
        <w:tc>
          <w:tcPr>
            <w:tcW w:type="dxa" w:w="2340"/>
            <w:tcMar>
              <w:left w:type="dxa" w:w="80"/>
              <w:right w:type="dxa" w:w="80"/>
            </w:tcMar>
          </w:tcPr>
          <w:p>
            <w:pPr>
              <w:pStyle w:val="Compact"/>
            </w:pPr>
            <w:r>
              <w:rPr>
                <w:sz w:val="19"/>
                <w:szCs w:val="19"/>
                <w:lang w:val="pt-PT"/>
              </w:rPr>
              <w:t xml:space="preserve">Contrato de serviço, DPA do fornecedor, cláusulas contratuais padrão, se necessário</w:t>
            </w:r>
          </w:p>
        </w:tc>
      </w:tr>
    </w:tbl>
    <w:bookmarkEnd w:id="39"/>
    <w:bookmarkStart w:id="51" w:name="X7523f8d50ce773b6c8cc26d7ed71f7717c2def3"/>
    <w:p>
      <w:pPr>
        <w:pStyle w:val="Heading2"/>
        <w:keepNext/>
        <w:keepLines/>
      </w:pPr>
      <w:r>
        <w:rPr>
          <w:color w:val="000000"/>
          <w:lang w:val="pt-PT"/>
        </w:rPr>
        <w:t xml:space="preserve">ANEXO 3 — MEDIDAS TÉCNICAS E ORGANIZACIONAIS</w:t>
      </w:r>
    </w:p>
    <w:bookmarkStart w:id="40" w:name="X8f3e232de8def0f8007972b4bf4a3c55c088848"/>
    <w:p>
      <w:pPr>
        <w:pStyle w:val="Heading3"/>
        <w:keepNext/>
        <w:keepLines/>
      </w:pPr>
      <w:r>
        <w:rPr>
          <w:color w:val="000000"/>
          <w:lang w:val="pt-PT"/>
        </w:rPr>
        <w:t xml:space="preserve">1. Cifragem e proteção de fluxos</w:t>
      </w:r>
    </w:p>
    <w:p>
      <w:pPr>
        <w:pStyle w:val="FirstParagraph"/>
      </w:pPr>
      <w:r>
        <w:rPr>
          <w:lang w:val="pt-PT"/>
        </w:rPr>
        <w:t xml:space="preserve">OHADJA implementa cifragem de comunicações de rede por TLS/HTTPS para acesso a aplicações, APIs e interfaces de administração, de acordo com o artigo 32.1.a de RGPD.</w:t>
      </w:r>
    </w:p>
    <w:p>
      <w:pPr>
        <w:pStyle w:val="BodyText"/>
      </w:pPr>
      <w:r>
        <w:rPr>
          <w:lang w:val="pt-PT"/>
        </w:rPr>
        <w:t xml:space="preserve">As cópias de segurança são cifradas antes da externalização com age (X25519 + ChaCha20-Poly1305). A cifragem do disco do sistema depende da oferta do centro de dados; está prevista uma atualização (LUKS/gocryptfs).</w:t>
      </w:r>
    </w:p>
    <w:p>
      <w:pPr>
        <w:pStyle w:val="BodyText"/>
      </w:pPr>
      <w:r>
        <w:rPr>
          <w:lang w:val="pt-PT"/>
        </w:rPr>
        <w:t xml:space="preserve">URLs de streaming de ficheiros de áudio são protegidos por links assinados e temporários. O acesso direto não autorizado aos ficheiros não é exposto publicamente.</w:t>
      </w:r>
    </w:p>
    <w:p>
      <w:pPr>
        <w:pStyle w:val="BodyText"/>
      </w:pPr>
      <w:r>
        <w:rPr>
          <w:lang w:val="pt-PT"/>
        </w:rPr>
        <w:t xml:space="preserve">Segredos de aplicações, chaves de API, tokens e senhas são armazenados em ficheiros de ambiente, cofres, variáveis seguras ou mecanismos equivalentes, com acesso limitado a pessoas autorizadas.</w:t>
      </w:r>
    </w:p>
    <w:bookmarkEnd w:id="40"/>
    <w:bookmarkStart w:id="41" w:name="Xaddc48e34396aae88c17fa247fc517b48e3185f"/>
    <w:p>
      <w:pPr>
        <w:pStyle w:val="Heading3"/>
        <w:keepNext/>
        <w:keepLines/>
      </w:pPr>
      <w:r>
        <w:rPr>
          <w:color w:val="000000"/>
          <w:lang w:val="pt-PT"/>
        </w:rPr>
        <w:t xml:space="preserve">2. Isolamento e particionamento lógico</w:t>
      </w:r>
    </w:p>
    <w:p>
      <w:pPr>
        <w:pStyle w:val="FirstParagraph"/>
      </w:pPr>
      <w:r>
        <w:rPr>
          <w:lang w:val="pt-PT"/>
        </w:rPr>
        <w:t xml:space="preserve">O Serviço SaaS é baseado em uma arquitetura multilocatário com isolamento lógico por organização. Os dados do locatário são separados pelo esquema PostgreSQL dedicado à organização quando essa arquitetura está habilitada.</w:t>
      </w:r>
    </w:p>
    <w:p>
      <w:pPr>
        <w:pStyle w:val="BodyText"/>
      </w:pPr>
      <w:r>
        <w:rPr>
          <w:lang w:val="pt-PT"/>
        </w:rPr>
        <w:t xml:space="preserve">O middleware da aplicação posiciona o contexto antes de executar as consultas, de forma a limitar o acesso aos dados da organização em questão.</w:t>
      </w:r>
    </w:p>
    <w:p>
      <w:pPr>
        <w:pStyle w:val="BodyText"/>
      </w:pPr>
      <w:r>
        <w:rPr>
          <w:lang w:val="pt-PT"/>
        </w:rPr>
        <w:t xml:space="preserve">As funções do aplicativo limitam o acesso de acordo com os perfis autorizados: superadministrador, agente autorizado, gerente, líder de equipa e utilizador.</w:t>
      </w:r>
    </w:p>
    <w:bookmarkEnd w:id="41"/>
    <w:bookmarkStart w:id="42" w:name="X60bf91a330e564937e33a5f7bf787f06d41ab37"/>
    <w:p>
      <w:pPr>
        <w:pStyle w:val="Heading3"/>
        <w:keepNext/>
        <w:keepLines/>
      </w:pPr>
      <w:r>
        <w:rPr>
          <w:color w:val="000000"/>
          <w:lang w:val="pt-PT"/>
        </w:rPr>
        <w:t xml:space="preserve">3. Gerenciamento de acesso e autenticação</w:t>
      </w:r>
    </w:p>
    <w:p>
      <w:pPr>
        <w:pStyle w:val="FirstParagraph"/>
      </w:pPr>
      <w:r>
        <w:rPr>
          <w:lang w:val="pt-PT"/>
        </w:rPr>
        <w:t xml:space="preserve">As contas de utilizador estão associadas a funções e permissões. O acesso é concedido de acordo com o princípio do menor privilégio.</w:t>
      </w:r>
    </w:p>
    <w:p>
      <w:pPr>
        <w:pStyle w:val="BodyText"/>
      </w:pPr>
      <w:r>
        <w:rPr>
          <w:lang w:val="pt-PT"/>
        </w:rPr>
        <w:t xml:space="preserve">Os tokens de API e as sessões de aplicativos são limitados aos usos necessários. O acesso de administração é reservado a pessoas autorizadas.</w:t>
      </w:r>
    </w:p>
    <w:p>
      <w:pPr>
        <w:pStyle w:val="BodyText"/>
      </w:pPr>
      <w:r>
        <w:rPr>
          <w:lang w:val="pt-PT"/>
        </w:rPr>
        <w:t xml:space="preserve">O Cliente é responsável por gerir os seus próprios utilizadores, eliminar contas obsoletas, atribuir funções e proteger os meios de autenticação dos seus utilizadores.</w:t>
      </w:r>
    </w:p>
    <w:bookmarkEnd w:id="42"/>
    <w:bookmarkStart w:id="43" w:name="Xa0655d09ab4e198a6dd70d8bc7c2e120ae9fee7"/>
    <w:p>
      <w:pPr>
        <w:pStyle w:val="Heading3"/>
        <w:keepNext/>
        <w:keepLines/>
      </w:pPr>
      <w:r>
        <w:rPr>
          <w:color w:val="000000"/>
          <w:lang w:val="pt-PT"/>
        </w:rPr>
        <w:t xml:space="preserve">4. Registo e rastreabilidade</w:t>
      </w:r>
    </w:p>
    <w:p>
      <w:pPr>
        <w:pStyle w:val="FirstParagraph"/>
      </w:pPr>
      <w:r>
        <w:rPr>
          <w:lang w:val="pt-PT"/>
        </w:rPr>
        <w:t xml:space="preserve">O Serviço mantém registos de auditoria e rastros técnicos que permitem seguir determinadas ações significativas: conexões, criações, modificações, exclusões, uploads, processamento, erros, exportações e operações de administração disponíveis.</w:t>
      </w:r>
    </w:p>
    <w:p>
      <w:pPr>
        <w:pStyle w:val="BodyText"/>
      </w:pPr>
      <w:r>
        <w:rPr>
          <w:lang w:val="pt-PT"/>
        </w:rPr>
        <w:t xml:space="preserve">Os logs são usados para segurança, diagnóstico, evidências, detecção de incidentes e suporte ao cliente.</w:t>
      </w:r>
    </w:p>
    <w:p>
      <w:pPr>
        <w:pStyle w:val="BodyText"/>
      </w:pPr>
      <w:r>
        <w:rPr>
          <w:lang w:val="pt-PT"/>
        </w:rPr>
        <w:t xml:space="preserve">Os registos não devem conter incorporações de voz persistentes. Os registos relacionados à correlação de voz são limitados às informações técnicas necessárias e estão sujeitos a medidas para reduzir ou limpar dados confidenciais sempre que possível.</w:t>
      </w:r>
    </w:p>
    <w:bookmarkEnd w:id="43"/>
    <w:bookmarkStart w:id="44" w:name="Xb72ff9c2aed82570f5270b78e31fe53d9046315"/>
    <w:p>
      <w:pPr>
        <w:pStyle w:val="Heading3"/>
        <w:keepNext/>
        <w:keepLines/>
      </w:pPr>
      <w:r>
        <w:rPr>
          <w:color w:val="000000"/>
          <w:lang w:val="pt-PT"/>
        </w:rPr>
        <w:t xml:space="preserve">5. Backups e restauração</w:t>
      </w:r>
    </w:p>
    <w:p>
      <w:pPr>
        <w:pStyle w:val="FirstParagraph"/>
      </w:pPr>
      <w:r>
        <w:rPr>
          <w:lang w:val="pt-PT"/>
        </w:rPr>
        <w:t xml:space="preserve">Na Opção A, OHADJA implementa backups técnicos destinados a restaurar a disponibilidade dos Dados e o acesso aos mesmos dentro de prazos apropriados em caso de incidente físico ou técnico, de acordo com o artigo 32.1.c de RGPD.</w:t>
      </w:r>
    </w:p>
    <w:p>
      <w:pPr>
        <w:pStyle w:val="BodyText"/>
      </w:pPr>
      <w:r>
        <w:rPr>
          <w:lang w:val="pt-PT"/>
        </w:rPr>
        <w:t xml:space="preserve">Os backups são cifrados antes da terceirização com age (X25519 + ChaCha20-Poly1305) e sincronizados com Scaleway (França); são protegidos contra acessos não autorizados e mantidos de acordo com um ciclo de rotação definido.</w:t>
      </w:r>
    </w:p>
    <w:p>
      <w:pPr>
        <w:pStyle w:val="BodyText"/>
      </w:pPr>
      <w:r>
        <w:rPr>
          <w:lang w:val="pt-PT"/>
        </w:rPr>
        <w:t xml:space="preserve">Na Opção B, o Cliente é responsável pelos backups do seu ambiente, salvo disposição expressa em contrário.</w:t>
      </w:r>
    </w:p>
    <w:bookmarkEnd w:id="44"/>
    <w:bookmarkStart w:id="45" w:name="X542d0b57a4f8fe88138a3fd867d48dcc2dbd28d"/>
    <w:p>
      <w:pPr>
        <w:pStyle w:val="Heading3"/>
        <w:keepNext/>
        <w:keepLines/>
      </w:pPr>
      <w:r>
        <w:rPr>
          <w:color w:val="000000"/>
          <w:lang w:val="pt-PT"/>
        </w:rPr>
        <w:t xml:space="preserve">6. Disponibilidade, resiliência e continuidade</w:t>
      </w:r>
    </w:p>
    <w:p>
      <w:pPr>
        <w:pStyle w:val="FirstParagraph"/>
      </w:pPr>
      <w:r>
        <w:rPr>
          <w:lang w:val="pt-PT"/>
        </w:rPr>
        <w:t xml:space="preserve">OHADJA implementa meios razoáveis para garantir a disponibilidade, integridade e resiliência do Serviço, de acordo com o artigo 32.1.b de RGPD.</w:t>
      </w:r>
    </w:p>
    <w:p>
      <w:pPr>
        <w:pStyle w:val="BodyText"/>
      </w:pPr>
      <w:r>
        <w:rPr>
          <w:lang w:val="pt-PT"/>
        </w:rPr>
        <w:t xml:space="preserve">Esses meios podem incluir supervisão, reinicializações de serviços, filas, trabalhadores separados, monitorização de aplicações, separação de componentes de aplicações, base de dados, cache, WebSocket e processamento assíncrono.</w:t>
      </w:r>
    </w:p>
    <w:p>
      <w:pPr>
        <w:pStyle w:val="BodyText"/>
      </w:pPr>
      <w:r>
        <w:rPr>
          <w:lang w:val="pt-PT"/>
        </w:rPr>
        <w:t xml:space="preserve">Os compromissos de disponibilidade, tempos de recuperação ou níveis de serviço são os previstos no Contrato Principal quando existam.</w:t>
      </w:r>
    </w:p>
    <w:bookmarkEnd w:id="45"/>
    <w:bookmarkStart w:id="46" w:name="Xae371bc0d32494cdb994a420ff70400aa998f71"/>
    <w:p>
      <w:pPr>
        <w:pStyle w:val="Heading3"/>
        <w:keepNext/>
        <w:keepLines/>
      </w:pPr>
      <w:r>
        <w:rPr>
          <w:color w:val="000000"/>
          <w:lang w:val="pt-PT"/>
        </w:rPr>
        <w:t xml:space="preserve">7. Gerenciamento e atualizações de vulnerabilidades</w:t>
      </w:r>
    </w:p>
    <w:p>
      <w:pPr>
        <w:pStyle w:val="FirstParagraph"/>
      </w:pPr>
      <w:r>
        <w:rPr>
          <w:lang w:val="pt-PT"/>
        </w:rPr>
        <w:t xml:space="preserve">OHADJA aplica gerenciamento razoável de vulnerabilidades aos componentes que controla: estrutura de aplicativos, dependências, contêineres, imagens Docker, servidor de aplicativos, configuração de segurança e bibliotecas críticas.</w:t>
      </w:r>
    </w:p>
    <w:p>
      <w:pPr>
        <w:pStyle w:val="BodyText"/>
      </w:pPr>
      <w:r>
        <w:rPr>
          <w:lang w:val="pt-PT"/>
        </w:rPr>
        <w:t xml:space="preserve">Os patches de segurança são priorizados com base em sua criticidade, capacidade de exploração e exposição.</w:t>
      </w:r>
    </w:p>
    <w:p>
      <w:pPr>
        <w:pStyle w:val="BodyText"/>
      </w:pPr>
      <w:r>
        <w:rPr>
          <w:lang w:val="pt-PT"/>
        </w:rPr>
        <w:t xml:space="preserve">Na Opção B, o Cliente é responsável pela implementação efetiva de atualizações, patches e configurações de segurança em seu ambiente, exceto missão de manutenção confiada a OHADJA.</w:t>
      </w:r>
    </w:p>
    <w:bookmarkEnd w:id="46"/>
    <w:bookmarkStart w:id="47" w:name="X46530f253ecc359acdf164d54e2920564e3c8c5"/>
    <w:p>
      <w:pPr>
        <w:pStyle w:val="Heading3"/>
        <w:keepNext/>
        <w:keepLines/>
      </w:pPr>
      <w:r>
        <w:rPr>
          <w:color w:val="000000"/>
          <w:lang w:val="pt-PT"/>
        </w:rPr>
        <w:t xml:space="preserve">8. Segurança do processamento e transcrição de IA</w:t>
      </w:r>
    </w:p>
    <w:p>
      <w:pPr>
        <w:pStyle w:val="FirstParagraph"/>
      </w:pPr>
      <w:r>
        <w:rPr>
          <w:lang w:val="pt-PT"/>
        </w:rPr>
        <w:t xml:space="preserve">O processamento de transcrição, diarização, geração de IA, correção, resumo, divisão em capítulos e identificação do orador é realizado apenas para os fins ativados pelo Cliente.</w:t>
      </w:r>
    </w:p>
    <w:p>
      <w:pPr>
        <w:pStyle w:val="BodyText"/>
      </w:pPr>
      <w:r>
        <w:rPr>
          <w:lang w:val="pt-PT"/>
        </w:rPr>
        <w:t xml:space="preserve">O processamento de IA é baseado por padrão em servidores de inferência vLLM controlados por OHADJA na Europa, com modelos de peso aberto; nenhum dado é transmitido a um provedor de modelo terceirizado neste caminho primário. O gateway OpenRouter é usado apenas como backup, com sinalizador no-train ativado e pode ser desativado pela organização.</w:t>
      </w:r>
    </w:p>
    <w:p>
      <w:pPr>
        <w:pStyle w:val="BodyText"/>
      </w:pPr>
      <w:r>
        <w:rPr>
          <w:lang w:val="pt-PT"/>
        </w:rPr>
        <w:t xml:space="preserve">Os prompts e fontes enviados aos modelos de IA são constituídos de acordo com as seleções ou parâmetros do Cliente. OHADJA aplica, sempre que possível, a minimização dos dados transmitidos aos serviços de terceiros necessários.</w:t>
      </w:r>
    </w:p>
    <w:p>
      <w:pPr>
        <w:pStyle w:val="BodyText"/>
      </w:pPr>
      <w:r>
        <w:rPr>
          <w:lang w:val="pt-PT"/>
        </w:rPr>
        <w:t xml:space="preserve">Os dados transmitidos aos IAs Subcontratantes ulteriores não devem ser usados pelo OHADJA para treinar seus próprios modelos, a menos que instruído expressa e separadamente pelo Cliente.</w:t>
      </w:r>
    </w:p>
    <w:bookmarkEnd w:id="47"/>
    <w:bookmarkStart w:id="48" w:name="X020e1c7cc680ecf4f46e5914db79ab5de3bd540"/>
    <w:p>
      <w:pPr>
        <w:pStyle w:val="Heading3"/>
        <w:keepNext/>
        <w:keepLines/>
      </w:pPr>
      <w:r>
        <w:rPr>
          <w:color w:val="000000"/>
          <w:lang w:val="pt-PT"/>
        </w:rPr>
        <w:t xml:space="preserve">9. MTOs dedicados à correlação de voz</w:t>
      </w:r>
    </w:p>
    <w:p>
      <w:pPr>
        <w:pStyle w:val="FirstParagraph"/>
      </w:pPr>
      <w:r>
        <w:rPr>
          <w:lang w:val="pt-PT"/>
        </w:rPr>
        <w:t xml:space="preserve">A correlação de voz baseia-se no processamento temporário de dados de voz com o objetivo de sugerir a identificação do locutor, sem criar um modelo biométrico persistente.</w:t>
      </w:r>
    </w:p>
    <w:p>
      <w:pPr>
        <w:pStyle w:val="BodyText"/>
      </w:pPr>
      <w:r>
        <w:rPr>
          <w:lang w:val="pt-PT"/>
        </w:rPr>
        <w:t xml:space="preserve">As seguintes proteções específicas são aplicadas quando o recurso está ativado:</w:t>
      </w:r>
    </w:p>
    <w:p>
      <w:pPr>
        <w:pStyle w:val="Compact"/>
        <w:numPr>
          <w:ilvl w:val="0"/>
          <w:numId w:val="1002"/>
        </w:numPr>
      </w:pPr>
      <w:r>
        <w:rPr>
          <w:lang w:val="pt-PT"/>
        </w:rPr>
        <w:t xml:space="preserve">ativação no nível do locatário ou por configuração do Cliente, quando disponível;</w:t>
      </w:r>
    </w:p>
    <w:p>
      <w:pPr>
        <w:pStyle w:val="Compact"/>
        <w:numPr>
          <w:ilvl w:val="0"/>
          <w:numId w:val="1002"/>
        </w:numPr>
      </w:pPr>
      <w:r>
        <w:rPr>
          <w:lang w:val="pt-PT"/>
        </w:rPr>
        <w:t xml:space="preserve">ausência de criação de perfil de voz persistente por padrão;</w:t>
      </w:r>
    </w:p>
    <w:p>
      <w:pPr>
        <w:pStyle w:val="Compact"/>
        <w:numPr>
          <w:ilvl w:val="0"/>
          <w:numId w:val="1002"/>
        </w:numPr>
      </w:pPr>
      <w:r>
        <w:rPr>
          <w:lang w:val="pt-PT"/>
        </w:rPr>
        <w:t xml:space="preserve">cálculo de incorporações de voz temporariamente na RAM quando tecnicamente possível;</w:t>
      </w:r>
    </w:p>
    <w:p>
      <w:pPr>
        <w:pStyle w:val="Compact"/>
        <w:numPr>
          <w:ilvl w:val="0"/>
          <w:numId w:val="1002"/>
        </w:numPr>
      </w:pPr>
      <w:r>
        <w:rPr>
          <w:lang w:val="pt-PT"/>
        </w:rPr>
        <w:t xml:space="preserve">utilização de espaços temporários do tipo </w:t>
      </w:r>
      <w:r>
        <w:rPr>
          <w:lang w:val="pt-PT"/>
        </w:rPr>
        <w:t xml:space="preserve"/>
      </w:r>
      <w:r>
        <w:rPr>
          <w:rStyle w:val="VerbatimChar"/>
          <w:lang w:val="pt-PT"/>
        </w:rPr>
        <w:t xml:space="preserve">tmpfs</w:t>
      </w:r>
      <w:r>
        <w:rPr>
          <w:lang w:val="pt-PT"/>
        </w:rPr>
        <w:t xml:space="preserve"> </w:t>
      </w:r>
      <w:r>
        <w:rPr>
          <w:lang w:val="pt-PT"/>
        </w:rPr>
        <w:t xml:space="preserve">quando o ambiente permitir;</w:t>
      </w:r>
    </w:p>
    <w:p>
      <w:pPr>
        <w:pStyle w:val="Compact"/>
        <w:numPr>
          <w:ilvl w:val="0"/>
          <w:numId w:val="1002"/>
        </w:numPr>
      </w:pPr>
      <w:r>
        <w:rPr>
          <w:lang w:val="pt-PT"/>
        </w:rPr>
        <w:t xml:space="preserve">desactivação da swap para os trabalhadores em causa quando o ambiente o permitir e quando esta medida for compatível com a estabilidade da infra-estrutura;</w:t>
      </w:r>
    </w:p>
    <w:p>
      <w:pPr>
        <w:pStyle w:val="Compact"/>
        <w:numPr>
          <w:ilvl w:val="0"/>
          <w:numId w:val="1002"/>
        </w:numPr>
      </w:pPr>
      <w:r>
        <w:rPr>
          <w:lang w:val="pt-PT"/>
        </w:rPr>
        <w:t xml:space="preserve">exclusão de ficheiros temporários e embeddings ao final da solicitação;</w:t>
      </w:r>
    </w:p>
    <w:p>
      <w:pPr>
        <w:pStyle w:val="Compact"/>
        <w:numPr>
          <w:ilvl w:val="0"/>
          <w:numId w:val="1002"/>
        </w:numPr>
      </w:pPr>
      <w:r>
        <w:rPr>
          <w:lang w:val="pt-PT"/>
        </w:rPr>
        <w:t xml:space="preserve">limpeza em blocos de final de processamento, incluindo mecanismos de aplicação do tipo </w:t>
      </w:r>
      <w:r>
        <w:rPr>
          <w:lang w:val="pt-PT"/>
        </w:rPr>
        <w:t xml:space="preserve"/>
      </w:r>
      <w:r>
        <w:rPr>
          <w:rStyle w:val="VerbatimChar"/>
          <w:lang w:val="pt-PT"/>
        </w:rPr>
        <w:t xml:space="preserve">finally</w:t>
      </w:r>
      <w:r>
        <w:rPr>
          <w:lang w:val="pt-PT"/>
        </w:rPr>
        <w:t xml:space="preserve">;</w:t>
      </w:r>
      <w:r>
        <w:rPr>
          <w:lang w:val="pt-PT"/>
        </w:rPr>
        <w:t xml:space="preserve"/>
      </w:r>
    </w:p>
    <w:p>
      <w:pPr>
        <w:pStyle w:val="Compact"/>
        <w:numPr>
          <w:ilvl w:val="0"/>
          <w:numId w:val="1002"/>
        </w:numPr>
      </w:pPr>
      <w:r>
        <w:rPr>
          <w:lang w:val="pt-PT"/>
        </w:rPr>
        <w:t xml:space="preserve">falta de uso de incorporações de voz para treinar modelos próprios;</w:t>
      </w:r>
    </w:p>
    <w:p>
      <w:pPr>
        <w:pStyle w:val="Compact"/>
        <w:numPr>
          <w:ilvl w:val="0"/>
          <w:numId w:val="1002"/>
        </w:numPr>
      </w:pPr>
      <w:r>
        <w:rPr>
          <w:lang w:val="pt-PT"/>
        </w:rPr>
        <w:t xml:space="preserve">validação humana obrigatória das sugestões antes da atribuição definitiva do nome do orador;</w:t>
      </w:r>
    </w:p>
    <w:p>
      <w:pPr>
        <w:pStyle w:val="Compact"/>
        <w:numPr>
          <w:ilvl w:val="0"/>
          <w:numId w:val="1002"/>
        </w:numPr>
      </w:pPr>
      <w:r>
        <w:rPr>
          <w:lang w:val="pt-PT"/>
        </w:rPr>
        <w:t xml:space="preserve">registo limitado a eventos técnicos necessários;</w:t>
      </w:r>
    </w:p>
    <w:p>
      <w:pPr>
        <w:pStyle w:val="Compact"/>
        <w:numPr>
          <w:ilvl w:val="0"/>
          <w:numId w:val="1002"/>
        </w:numPr>
      </w:pPr>
      <w:r>
        <w:rPr>
          <w:lang w:val="pt-PT"/>
        </w:rPr>
        <w:t xml:space="preserve">limpeza ou redução de registos para evitar o registo desnecessário de impressões digitais, vetores ou extratos de voz;</w:t>
      </w:r>
    </w:p>
    <w:p>
      <w:pPr>
        <w:pStyle w:val="Compact"/>
        <w:numPr>
          <w:ilvl w:val="0"/>
          <w:numId w:val="1002"/>
        </w:numPr>
      </w:pPr>
      <w:r>
        <w:rPr>
          <w:lang w:val="pt-PT"/>
        </w:rPr>
        <w:t xml:space="preserve">separação do processamento por inquilino;</w:t>
      </w:r>
    </w:p>
    <w:p>
      <w:pPr>
        <w:pStyle w:val="Compact"/>
        <w:numPr>
          <w:ilvl w:val="0"/>
          <w:numId w:val="1002"/>
        </w:numPr>
      </w:pPr>
      <w:r>
        <w:rPr>
          <w:lang w:val="pt-PT"/>
        </w:rPr>
        <w:t xml:space="preserve">restrição de acesso a trabalhadores e saídas técnicas;</w:t>
      </w:r>
    </w:p>
    <w:p>
      <w:pPr>
        <w:pStyle w:val="Compact"/>
        <w:numPr>
          <w:ilvl w:val="0"/>
          <w:numId w:val="1002"/>
        </w:numPr>
      </w:pPr>
      <w:r>
        <w:rPr>
          <w:lang w:val="pt-PT"/>
        </w:rPr>
        <w:t xml:space="preserve">possibilidade de desativação da funcionalidade a pedido do Cliente ou por configuração contratual;</w:t>
      </w:r>
    </w:p>
    <w:p>
      <w:pPr>
        <w:pStyle w:val="Compact"/>
        <w:numPr>
          <w:ilvl w:val="0"/>
          <w:numId w:val="1002"/>
        </w:numPr>
      </w:pPr>
      <w:r>
        <w:rPr>
          <w:lang w:val="pt-PT"/>
        </w:rPr>
        <w:t xml:space="preserve">seleção de recursos de GPU localizados na União Europeia ou no Espaço Econômico Europeu quando necessário.</w:t>
      </w:r>
    </w:p>
    <w:bookmarkEnd w:id="48"/>
    <w:bookmarkStart w:id="49" w:name="X8d3f7f3be17794b9be1f1d0b8843374971aee37"/>
    <w:p>
      <w:pPr>
        <w:pStyle w:val="Heading3"/>
        <w:keepNext/>
        <w:keepLines/>
      </w:pPr>
      <w:r>
        <w:rPr>
          <w:color w:val="000000"/>
          <w:lang w:val="pt-PT"/>
        </w:rPr>
        <w:t xml:space="preserve">10. Treino e confidencialidade interna</w:t>
      </w:r>
    </w:p>
    <w:p>
      <w:pPr>
        <w:pStyle w:val="FirstParagraph"/>
      </w:pPr>
      <w:r>
        <w:rPr>
          <w:lang w:val="pt-PT"/>
        </w:rPr>
        <w:t xml:space="preserve">OHADJA sensibiliza as pessoas autorizadas a intervir no Serviço para as obrigações de confidencialidade, segurança, proteção de dados e cumprimento das instruções do Cliente.</w:t>
      </w:r>
    </w:p>
    <w:p>
      <w:pPr>
        <w:pStyle w:val="BodyText"/>
      </w:pPr>
      <w:r>
        <w:rPr>
          <w:lang w:val="pt-PT"/>
        </w:rPr>
        <w:t xml:space="preserve">As pessoas que têm acesso aos Dados estão sujeitas a uma obrigação contratual ou legal de confidencialidade.</w:t>
      </w:r>
    </w:p>
    <w:bookmarkEnd w:id="49"/>
    <w:bookmarkStart w:id="50" w:name="X408cde0b55e26358c4723208033e77fa9ba1b3e"/>
    <w:p>
      <w:pPr>
        <w:pStyle w:val="Heading3"/>
        <w:keepNext/>
        <w:keepLines/>
      </w:pPr>
      <w:r>
        <w:rPr>
          <w:color w:val="000000"/>
          <w:lang w:val="pt-PT"/>
        </w:rPr>
        <w:t xml:space="preserve">11. Teste, monitorização e melhoria dos OMPs</w:t>
      </w:r>
    </w:p>
    <w:p>
      <w:pPr>
        <w:pStyle w:val="FirstParagraph"/>
      </w:pPr>
      <w:r>
        <w:rPr>
          <w:lang w:val="pt-PT"/>
        </w:rPr>
        <w:t xml:space="preserve">OHADJA implementa um procedimento razoável para testar, analisar e avaliar regularmente a eficácia dos MTOs, de acordo com o Artigo 32.1.d de RGPD.</w:t>
      </w:r>
    </w:p>
    <w:p>
      <w:pPr>
        <w:pStyle w:val="BodyText"/>
      </w:pPr>
      <w:r>
        <w:rPr>
          <w:lang w:val="pt-PT"/>
        </w:rPr>
        <w:t xml:space="preserve">Este procedimento pode incluir revisões de configuração, controlos de acesso, rastreamento de erros, análise de incidentes, testes de recuperação, revisões de dependências, correções de vulnerabilidades e melhoria contínua das medidas de segurança.</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bookmarkEnd w:id="50"/>
    <w:bookmarkEnd w:id="51"/>
    <w:bookmarkEnd w:id="52"/>
    <w:p>
      <w:pPr>
        <w:pStyle w:val="Heading1"/>
        <w:pageBreakBefore/>
        <w:keepNext/>
        <w:keepLines/>
      </w:pPr>
      <w:r>
        <w:rPr>
          <w:lang w:val="pt-PT"/>
          <w:color w:val="000000"/>
        </w:rPr>
        <w:t xml:space="preserve">Anexo sobre as regras nacionais de implementação</w:t>
      </w:r>
    </w:p>
    <w:p>
      <w:pPr>
        <w:pStyle w:val="Heading2"/>
        <w:keepNext/>
        <w:keepLines/>
      </w:pPr>
      <w:r>
        <w:rPr>
          <w:lang w:val="pt-PT"/>
          <w:color w:val="000000"/>
        </w:rPr>
        <w:t xml:space="preserve">Âmbito deste anexo</w:t>
      </w:r>
    </w:p>
    <w:p>
      <w:pPr>
        <w:pStyle w:val="BodyText"/>
      </w:pPr>
      <w:r>
        <w:rPr>
          <w:lang w:val="pt-PT"/>
        </w:rPr>
        <w:t xml:space="preserve">Esta edição abrange a base do RGPD da União Europeia e os aspetos de implementação abaixo indicados para França, Irlanda, Países Baixos, Espanha e Portugal. Estas notas devem ser lidas em função do país e da utilização efetivos do Cliente, independentemente do idioma do documento. Complementam os documentos do projeto sem alterar automaticamente a identidade das partes, o direito francês escolhido ou os tribunais designados. Ficam ressalvadas as normas imperativas aplicáveis ao Cliente. As referências nacionais francesas do corpo do documento continuam identificadas como tal; não constituem uma equivalência estrangeira.</w:t>
      </w:r>
    </w:p>
    <w:p>
      <w:pPr>
        <w:pStyle w:val="Heading2"/>
        <w:keepNext/>
        <w:keepLines/>
      </w:pPr>
      <w:r>
        <w:rPr>
          <w:lang w:val="pt-PT"/>
          <w:color w:val="000000"/>
        </w:rPr>
        <w:t xml:space="preserve">Base europeia a documentar antes da entrada em serviço</w:t>
      </w:r>
    </w:p>
    <w:p>
      <w:pPr>
        <w:pStyle w:val="BodyText"/>
      </w:pPr>
      <w:r>
        <w:rPr>
          <w:lang w:val="pt-PT"/>
        </w:rPr>
        <w:t xml:space="preserve">O Cliente deve determinar a finalidade, a necessidade, a proporcionalidade e o fundamento de licitude de cada gravação e tratamento; informar as pessoas antes da recolha; definir os destinatários, os prazos e os meios de exercício dos direitos; e celebrar um acordo conforme com o artigo 28.º para as operações confiadas a um subcontratante. A informação, a consulta ou a validação humana não bastam para tornar um tratamento lícito. O consentimento dos trabalhadores deve ser examinado com prudência, tendo em conta o desequilíbrio face ao empregador.</w:t>
      </w:r>
    </w:p>
    <w:p>
      <w:pPr>
        <w:pStyle w:val="BodyText"/>
      </w:pPr>
      <w:r>
        <w:rPr>
          <w:lang w:val="pt-PT"/>
        </w:rPr>
        <w:t xml:space="preserve">Se forem tratadas categorias especiais de dados, deve ser identificada uma condição aplicável do artigo 9.º, além do fundamento do artigo 6.º. Uma comparação vocal que vise a identificação inequívoca deve ser analisada à luz da biometria, mesmo sem um modelo persistente. A avaliação de impacto deve ser realizada antes dos tratamentos suscetíveis de resultar num risco elevado e as regras de consulta prévia da autoridade continuam a aplicar-se quando estiverem reunidas as condições do artigo 36.º. Nem o alojamento local nem um aditamento dispensam esta análise.</w:t>
      </w:r>
    </w:p>
    <w:p>
      <w:pPr>
        <w:pStyle w:val="BodyText"/>
      </w:pPr>
      <w:r>
        <w:rPr>
          <w:lang w:val="pt-PT"/>
        </w:rPr>
        <w:t xml:space="preserve">A autoridade competente depende das regras do RGPD, nomeadamente em caso de tratamento transfronteiriço; não depende do idioma escolhido. O subcontratante alerta o Cliente sem demora injustificada. O responsável pelo tratamento notifica a autoridade competente nas condições do artigo 33.º, sempre que possível nas 72 horas após ter conhecimento de uma violação, salvo se esta não for suscetível de resultar num risco para os direitos e liberdades. A comunicação aos titulares dos dados está sujeita às condições do artigo 34.º.</w:t>
      </w:r>
    </w:p>
    <w:p>
      <w:pPr>
        <w:pStyle w:val="BodyText"/>
      </w:pPr>
      <w:r>
        <w:rPr>
          <w:lang w:val="pt-PT"/>
        </w:rPr>
        <w:t xml:space="preserve">Fontes europeias https://eur-lex.europa.eu/eli/reg/2016/679/oj e https://www.edpb.europa.eu/documents/guideline/guidelines-052020-on-consent-under-regulation-2016679_en</w:t>
      </w:r>
    </w:p>
    <w:p>
      <w:pPr>
        <w:pStyle w:val="Heading2"/>
        <w:keepNext/>
        <w:keepLines/>
      </w:pPr>
      <w:r>
        <w:rPr>
          <w:lang w:val="pt-PT"/>
          <w:color w:val="000000"/>
        </w:rPr>
        <w:t xml:space="preserve">França</w:t>
      </w:r>
    </w:p>
    <w:p>
      <w:pPr>
        <w:pStyle w:val="BodyText"/>
      </w:pPr>
      <w:r>
        <w:rPr>
          <w:lang w:val="pt-PT"/>
        </w:rPr>
        <w:t xml:space="preserve">Para uma implementação em França, determinar as obrigações de informação dos trabalhadores e de consulta prévia do CSE em função do dispositivo, do número de trabalhadores e do âmbito legal aplicável. O Code du travail francês abrange, nomeadamente, as técnicas que permitem controlar a atividade, mesmo que o produto seja apresentado como apoio à redação. A informação e a consulta não substituem a análise de licitude, necessidade e proporcionalidade, nem as regras específicas relativas às conversas privadas, aos dados sensíveis e à confidencialidade. A CNIL é a autoridade nacional, sem prejuízo das regras de competência do RGPD.</w:t>
      </w:r>
    </w:p>
    <w:p>
      <w:pPr>
        <w:pStyle w:val="BodyText"/>
      </w:pPr>
      <w:r>
        <w:rPr>
          <w:lang w:val="pt-PT"/>
        </w:rPr>
        <w:t xml:space="preserve">Fontes de França Code du travail, artigos L1222-4 e L2312-38 https://www.legifrance.gouv.fr/codes/article_lc/LEGIARTI000006900861 e https://www.legifrance.gouv.fr/codes/section_lc/LEGITEXT000006072050/LEGISCTA000035610273/</w:t>
      </w:r>
    </w:p>
    <w:p>
      <w:pPr>
        <w:pStyle w:val="Heading2"/>
        <w:keepNext/>
        <w:keepLines/>
      </w:pPr>
      <w:r>
        <w:rPr>
          <w:lang w:val="pt-PT"/>
          <w:color w:val="000000"/>
        </w:rPr>
        <w:t xml:space="preserve">Irlanda</w:t>
      </w:r>
    </w:p>
    <w:p>
      <w:pPr>
        <w:pStyle w:val="BodyText"/>
      </w:pPr>
      <w:r>
        <w:rPr>
          <w:lang w:val="pt-PT"/>
        </w:rPr>
        <w:t xml:space="preserve">Para uma implementação na Irlanda, aplicar o RGPD e o quadro nacional; documentar o fundamento de licitude e informar os participantes antes da gravação. Examinar as obrigações de informação e consulta dos trabalhadores em função do âmbito, do número de trabalhadores, dos acordos coletivos e dos mecanismos existentes. O regime irlandês não equivale ao CSE francês nem estabelece uma consulta idêntica para todos os empregadores. A Data Protection Commission é a autoridade nacional, sem prejuízo das regras de competência transfronteiriça.</w:t>
      </w:r>
    </w:p>
    <w:p>
      <w:pPr>
        <w:pStyle w:val="BodyText"/>
      </w:pPr>
      <w:r>
        <w:rPr>
          <w:lang w:val="pt-PT"/>
        </w:rPr>
        <w:t xml:space="preserve">Fontes da Irlanda https://www.dataprotection.ie/en/dpc-guidance/video-recording e Employees Provision of Information and Consultation Act 2006 https://www.irishstatutebook.ie/eli/2006/act/9/enacted/en/print</w:t>
      </w:r>
    </w:p>
    <w:p>
      <w:pPr>
        <w:pStyle w:val="Heading2"/>
        <w:keepNext/>
        <w:keepLines/>
      </w:pPr>
      <w:r>
        <w:rPr>
          <w:lang w:val="pt-PT"/>
          <w:color w:val="000000"/>
        </w:rPr>
        <w:t xml:space="preserve">Países Baixos</w:t>
      </w:r>
    </w:p>
    <w:p>
      <w:pPr>
        <w:pStyle w:val="BodyText"/>
      </w:pPr>
      <w:r>
        <w:rPr>
          <w:lang w:val="pt-PT"/>
        </w:rPr>
        <w:t xml:space="preserve">Para uma implementação nos Países Baixos, examinar as competências do ondernemingsraad ou OR. Um dispositivo que possa permitir acompanhar a presença, o comportamento ou o desempenho pode estar sujeito ao seu direito de aprovação prévia ao abrigo da Wet op de ondernemingsraden, mesmo que ainda não seja utilizado para esse fim. A aprovação do OR não substitui o fundamento de licitude do tratamento nem as condições aplicáveis à biometria e aos dados sensíveis. A Autoriteit Persoonsgegevens é a autoridade nacional, sem prejuízo das regras de competência do RGPD.</w:t>
      </w:r>
    </w:p>
    <w:p>
      <w:pPr>
        <w:pStyle w:val="BodyText"/>
      </w:pPr>
      <w:r>
        <w:rPr>
          <w:lang w:val="pt-PT"/>
        </w:rPr>
        <w:t xml:space="preserve">Fonte dos Países Baixos Autoriteit Persoonsgegevens https://autoriteitpersoonsgegevens.nl/en/themes/employment-and-benefits/works-council/the-works-council-and-staff-tracking-systems</w:t>
      </w:r>
    </w:p>
    <w:p>
      <w:pPr>
        <w:pStyle w:val="Heading2"/>
        <w:keepNext/>
        <w:keepLines/>
      </w:pPr>
      <w:r>
        <w:rPr>
          <w:lang w:val="pt-PT"/>
          <w:color w:val="000000"/>
        </w:rPr>
        <w:t xml:space="preserve">Espanha</w:t>
      </w:r>
    </w:p>
    <w:p>
      <w:pPr>
        <w:pStyle w:val="BodyText"/>
      </w:pPr>
      <w:r>
        <w:rPr>
          <w:lang w:val="pt-PT"/>
        </w:rPr>
        <w:t xml:space="preserve">Para uma implementação em Espanha, distinguir a transcrição de reuniões do recurso a dispositivos de vigilância sonora. No âmbito do artigo 89.º da Ley Orgánica 3/2018, a gravação de som no trabalho está estritamente limitada a determinados riscos de segurança, com proporcionalidade, intervenção mínima e garantias; os espaços de descanso são protegidos. Examinar os direitos de informação e consulta dos representantes e os acordos aplicáveis. Estas disposições não devem ser alargadas, sem análise, a qualquer reunião pontual, e o acordo dos participantes não constitui uma autorização geral. Identificar a AEPD ou a autoridade regional competente em função do tratamento.</w:t>
      </w:r>
    </w:p>
    <w:p>
      <w:pPr>
        <w:pStyle w:val="BodyText"/>
      </w:pPr>
      <w:r>
        <w:rPr>
          <w:lang w:val="pt-PT"/>
        </w:rPr>
        <w:t xml:space="preserve">Fontes de Espanha Ley Orgánica 3/2018, artigo 89.º https://www.boe.es/buscar/act.php?id=BOE-A-2018-16673#a89 e Estatuto de los Trabajadores, artigo 64.º https://www.boe.es/buscar/act.php?id=BOE-A-2015-11430#a64</w:t>
      </w:r>
    </w:p>
    <w:p>
      <w:pPr>
        <w:pStyle w:val="Heading2"/>
        <w:keepNext/>
        <w:keepLines/>
      </w:pPr>
      <w:r>
        <w:rPr>
          <w:lang w:val="pt-PT"/>
          <w:color w:val="000000"/>
        </w:rPr>
        <w:t xml:space="preserve">Portugal</w:t>
      </w:r>
    </w:p>
    <w:p>
      <w:pPr>
        <w:pStyle w:val="BodyText"/>
      </w:pPr>
      <w:r>
        <w:rPr>
          <w:lang w:val="pt-PT"/>
        </w:rPr>
        <w:t xml:space="preserve">Para uma implementação em Portugal, examinar o Código do Trabalho, a Lei 58/2019 e as regras aplicáveis ao dispositivo concreto. É proibida a vigilância à distância destinada ao controlo do desempenho profissional. A captação de som num dispositivo de videovigilância está sujeita a restrições específicas; esta regra não significa que todas as gravações de reuniões sejam proibidas nem que sejam sempre autorizadas. Determinar as obrigações perante os trabalhadores e os seus representantes antes da entrada em serviço. A Comissão Nacional de Proteção de Dados é a autoridade nacional, sem prejuízo das regras de competência do RGPD.</w:t>
      </w:r>
    </w:p>
    <w:p>
      <w:pPr>
        <w:pStyle w:val="BodyText"/>
      </w:pPr>
      <w:r>
        <w:rPr>
          <w:lang w:val="pt-PT"/>
        </w:rPr>
        <w:t xml:space="preserve">Fontes de Portugal Código do Trabalho, artigos 20.º e 21.º https://diariodarepublica.pt/dr/legislacao-consolidada/lei/2009-34546475-211441911 e CNPD https://www.cnpd.pt/organizacoes/areas-tematicas/videovigilancia/</w:t>
      </w:r>
    </w:p>
    <w:p>
      <w:pPr>
        <w:pStyle w:val="Heading2"/>
        <w:keepNext/>
        <w:keepLines/>
      </w:pPr>
      <w:r>
        <w:rPr>
          <w:lang w:val="pt-PT"/>
          <w:color w:val="000000"/>
        </w:rPr>
        <w:t xml:space="preserve">Quadros franceses e compromissos do projeto</w:t>
      </w:r>
    </w:p>
    <w:p>
      <w:pPr>
        <w:pStyle w:val="BodyText"/>
      </w:pPr>
      <w:r>
        <w:rPr>
          <w:lang w:val="pt-PT"/>
        </w:rPr>
        <w:t xml:space="preserve">Os termos CSE, CGCT, HDS, SecNumCloud, ANSSI e RGAA designam instituições, regras ou referenciais franceses. Não comprovam uma certificação da TranscribIA nem o cumprimento automático de um quadro estrangeiro. Os montantes e mecanismos de pagamento das condições gerais de venda, incluindo a remissão para o Code de commerce francês, devem ser articulados com o direito escolhido, a qualidade do Cliente e as normas imperativas aplicáveis; não devem ser apresentados como uma reprodução de cada direito nacional. As modalidades aplicáveis à contratação pública, aos consumidores e aos setores regulados devem ser especificadas separadamente quando estejam em causa.</w:t>
      </w:r>
    </w:p>
    <w:p>
      <w:pPr>
        <w:pStyle w:val="BodyText"/>
      </w:pPr>
      <w:r>
        <w:rPr>
          <w:lang w:val="pt-PT"/>
        </w:rPr>
        <w:t xml:space="preserve">Antes da assinatura, completar e verificar os anexos do projeto relativos às partes, à configuração SaaS ou local, aos locais de tratamento e de acesso, aos subcontratantes ulteriores, às transferências, às medidas de segurança efetivas, à conservação e aos níveis de serviço. Este anexo não atesta que uma medida técnica já esteja implementada nem substitui os compromissos particulares acordados. Os regimes britânicos, belgas e dos restantes países não são abrangidos por estas notas nacionais; exigem uma adaptação distinta.</w:t>
      </w:r>
    </w:p>
    <w:p>
      <w:pPr>
        <w:pStyle w:val="BodyText"/>
      </w:pPr>
      <w:r>
        <w:rPr>
          <w:lang w:val="pt-PT"/>
        </w:rPr>
        <w:t xml:space="preserve">As capturas de interface e os exemplos retirados da aplicação podem permanecer em francês. As explicações e as legendas documentais são traduzidas; os comandos, nomes de ficheiros, identificadores técnicos e referências documentais devem ser conservados exatamente.</w:t>
      </w:r>
    </w:p>
    <w:p>
      <w:pPr>
        <w:pStyle w:val="Heading1"/>
        <w:keepNext/>
        <w:keepLines/>
      </w:pPr>
      <w:r>
        <w:rPr>
          <w:lang w:val="pt-PT"/>
          <w:color w:val="000000"/>
        </w:rPr>
        <w:t>Histórico desta edição</w:t>
      </w:r>
    </w:p>
    <w:p>
      <w:pPr>
        <w:pStyle w:val="BodyText"/>
      </w:pPr>
      <w:r>
        <w:rPr>
          <w:lang w:val="pt-PT"/>
        </w:rPr>
        <w:t>1.2-draft — 2026-10-17</w:t>
      </w:r>
    </w:p>
    <w:p>
      <w:pPr>
        <w:pStyle w:val="BodyText"/>
      </w:pPr>
      <w:r>
        <w:rPr>
          <w:lang w:val="pt-PT"/>
        </w:rPr>
        <w:t>Edição multilingue e correções documentais. As versões anteriores e as respetivas datas são conservadas. O texto francês prevalece; as traduções facilitam a leitura e não alteram as partes nem a lei aplicável.</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pt-PT"/>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www.cnil.fr/fr/reglement-europeen-protection-donnees/chapitre4" TargetMode="External" /><Relationship Type="http://schemas.openxmlformats.org/officeDocument/2006/relationships/hyperlink" Id="rId10" Target="mailto:privacy@transcribia.eu" TargetMode="External" /></Relationships>
</file>

<file path=word/_rels/footnotes.xml.rels><?xml version="1.0" encoding="UTF-8"?><Relationships xmlns="http://schemas.openxmlformats.org/package/2006/relationships"><Relationship Type="http://schemas.openxmlformats.org/officeDocument/2006/relationships/hyperlink" Id="rId12" Target="https://www.cnil.fr/fr/reglement-europeen-protection-donnees/chapitre4" TargetMode="External" /><Relationship Type="http://schemas.openxmlformats.org/officeDocument/2006/relationships/hyperlink" Id="rId10" Target="mailto:privacy@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2026-07-25T09:45:12Z</dcterms:created>
  <dcterms:modified xsi:type="dcterms:W3CDTF">2026-07-25T09:45:12Z</dcterms:modified>
</cp:coreProperties>
</file>

<file path=docProps/custom.xml><?xml version="1.0" encoding="utf-8"?>
<Properties xmlns="http://schemas.openxmlformats.org/officeDocument/2006/custom-properties" xmlns:vt="http://schemas.openxmlformats.org/officeDocument/2006/docPropsVTypes"/>
</file>