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38.png" ContentType="image/png"/>
  <Override PartName="/word/media/rId13.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8724d3f19378515788fa81dd9ad66322581af1c"/>
    <w:p>
      <w:pPr>
        <w:pStyle w:val="Title"/>
        <w:keepNext/>
        <w:keepLines/>
      </w:pPr>
      <w:r>
        <w:rPr>
          <w:color w:val="000000"/>
          <w:lang w:val="pt-PT"/>
        </w:rPr>
        <w:t xml:space="preserve">TranscribIA — Arquivo de apresentação para consulta do Comitê Econômico e Social (CSE)</w:t>
      </w:r>
    </w:p>
    <w:p>
      <w:pPr>
        <w:pStyle w:val="BodyText"/>
      </w:pPr>
      <w:r>
        <w:rPr>
          <w:lang w:val="pt-PT"/>
        </w:rPr>
        <w:t xml:space="preserve">Edição localizada v1.1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CSE-TRANSCRIBIA-2026-01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w:t>
            </w:r>
          </w:p>
        </w:tc>
        <w:tc>
          <w:tcPr/>
          <w:p>
            <w:pPr>
              <w:pStyle w:val="Compact"/>
            </w:pPr>
            <w:r>
              <w:rPr>
                <w:lang w:val="pt-PT"/>
              </w:rPr>
              <w:t xml:space="preserve">OHADJA</w:t>
            </w:r>
          </w:p>
        </w:tc>
      </w:tr>
      <w:tr>
        <w:trPr>
          <w:cantSplit/>
        </w:trPr>
        <w:tc>
          <w:tcPr/>
          <w:p>
            <w:pPr>
              <w:pStyle w:val="Compact"/>
            </w:pPr>
            <w:r>
              <w:rPr>
                <w:b/>
                <w:bCs/>
                <w:lang w:val="pt-PT"/>
              </w:rPr>
              <w:t xml:space="preserve">Classificação</w:t>
            </w:r>
          </w:p>
        </w:tc>
        <w:tc>
          <w:tcPr/>
          <w:p>
            <w:pPr>
              <w:pStyle w:val="Compact"/>
            </w:pPr>
            <w:r>
              <w:rPr>
                <w:lang w:val="pt-PT"/>
              </w:rPr>
              <w:t xml:space="preserve">Público — documento padrão, adaptado por cada empregador</w:t>
            </w:r>
          </w:p>
        </w:tc>
      </w:tr>
    </w:tbl>
    <w:p>
      <w:r>
        <w:pict>
          <v:rect style="width:0;height:1.5pt" o:hralign="center" o:hrstd="t" o:hr="t"/>
        </w:pict>
      </w:r>
    </w:p>
    <w:bookmarkStart w:id="9" w:name="à-qui-sadresse-ce-document"/>
    <w:p>
      <w:pPr>
        <w:pStyle w:val="Heading2"/>
        <w:keepNext/>
        <w:keepLines/>
      </w:pPr>
      <w:r>
        <w:rPr>
          <w:color w:val="000000"/>
          <w:lang w:val="pt-PT"/>
        </w:rPr>
        <w:t xml:space="preserve">Para quem é este documento?</w:t>
      </w:r>
    </w:p>
    <w:p>
      <w:pPr>
        <w:pStyle w:val="FirstParagraph"/>
      </w:pPr>
      <w:r>
        <w:rPr>
          <w:lang w:val="pt-PT"/>
        </w:rPr>
        <w:t xml:space="preserve">Este documento apresenta a introdução da TranscribIA aos </w:t>
      </w:r>
      <w:r>
        <w:rPr>
          <w:lang w:val="pt-PT"/>
        </w:rPr>
        <w:t xml:space="preserve"/>
      </w:r>
      <w:r>
        <w:rPr>
          <w:b/>
          <w:bCs/>
          <w:lang w:val="pt-PT"/>
        </w:rPr>
        <w:t xml:space="preserve">representantes dos trabalhadores. As suas referências </w:t>
      </w:r>
      <w:r>
        <w:rPr>
          <w:lang w:val="pt-PT"/>
        </w:rPr>
        <w:t xml:space="preserve">ao </w:t>
      </w:r>
      <w:r>
        <w:rPr>
          <w:lang w:val="pt-PT"/>
        </w:rPr>
        <w:t xml:space="preserve">Comité social et économique (CSE) dizem respeito ao direito francês. Para outro país, devem ser identificadas as regras locais de representação, informação, consulta ou acordo prévio, em função das funcionalidades, utilizações, número de trabalhadores e acordos aplicáveis. Uma tradução não transpõe automaticamente as competências do CSE.</w:t>
      </w:r>
    </w:p>
    <w:p>
      <w:pPr>
        <w:pStyle w:val="BodyText"/>
      </w:pPr>
      <w:r>
        <w:rPr>
          <w:lang w:val="pt-PT"/>
        </w:rPr>
        <w:t xml:space="preserve">É deliberadamente escrito em linguagem acessível, sem pré-requisitos técnicos. O seu objetivo é dar-lhe uma visão clara e honesta do que a ferramenta faz, do que não faz e das suas possíveis consequências nas condições de trabalho.</w:t>
      </w:r>
    </w:p>
    <w:p>
      <w:pPr>
        <w:pStyle w:val="BodyText"/>
      </w:pPr>
      <w:r>
        <w:rPr>
          <w:b/>
          <w:bCs/>
          <w:lang w:val="pt-PT"/>
        </w:rPr>
        <w:t xml:space="preserve">Nota importante: </w:t>
      </w:r>
      <w:r>
        <w:rPr>
          <w:lang w:val="pt-PT"/>
        </w:rPr>
        <w:t xml:space="preserve"/>
      </w:r>
      <w:r>
        <w:rPr>
          <w:lang w:val="pt-PT"/>
        </w:rPr>
        <w:t xml:space="preserve">Este documento é uma mídia “pronta para uso” fornecida pelo editor. Descreve as possibilidades gerais da ferramenta. A forma como o seu empregador configura e realmente usa o TranscribIA é de sua responsabilidade e deve ser abordada nas informações que ele fornecer a você durante a consulta.</w:t>
      </w:r>
    </w:p>
    <w:p>
      <w:r>
        <w:pict>
          <v:rect style="width:0;height:1.5pt" o:hralign="center" o:hrstd="t" o:hr="t"/>
        </w:pict>
      </w:r>
    </w:p>
    <w:bookmarkEnd w:id="9"/>
    <w:bookmarkStart w:id="21" w:name="X9424de330a30cf003d097635c6b9a0163c2ec97"/>
    <w:p>
      <w:pPr>
        <w:pStyle w:val="Heading2"/>
        <w:keepNext/>
        <w:keepLines/>
      </w:pPr>
      <w:r>
        <w:rPr>
          <w:color w:val="000000"/>
          <w:lang w:val="pt-PT"/>
        </w:rPr>
        <w:t xml:space="preserve">1. Visão geral do produto</w:t>
      </w:r>
    </w:p>
    <w:bookmarkStart w:id="16" w:name="X695fe7e6cb6579d982341a87ac3dcc3463070d5"/>
    <w:p>
      <w:pPr>
        <w:pStyle w:val="Heading3"/>
        <w:keepNext/>
        <w:keepLines/>
      </w:pPr>
      <w:r>
        <w:rPr>
          <w:color w:val="000000"/>
          <w:lang w:val="pt-PT"/>
        </w:rPr>
        <w:t xml:space="preserve">1.1 O que TranscribIA faz</w:t>
      </w:r>
    </w:p>
    <w:p>
      <w:pPr>
        <w:pStyle w:val="FirstParagraph"/>
      </w:pPr>
      <w:r>
        <w:rPr>
          <w:lang w:val="pt-PT"/>
        </w:rPr>
        <w:t xml:space="preserve">TranscribIA é um software que ajuda a </w:t>
      </w:r>
      <w:r>
        <w:rPr>
          <w:lang w:val="pt-PT"/>
        </w:rPr>
        <w:t xml:space="preserve"/>
      </w:r>
      <w:r>
        <w:rPr>
          <w:b/>
          <w:bCs/>
          <w:lang w:val="pt-PT"/>
        </w:rPr>
        <w:t xml:space="preserve">transformar uma gravação de áudio em texto e, </w:t>
      </w:r>
      <w:r>
        <w:rPr>
          <w:lang w:val="pt-PT"/>
        </w:rPr>
        <w:t xml:space="preserve">em </w:t>
      </w:r>
      <w:r>
        <w:rPr>
          <w:lang w:val="pt-PT"/>
        </w:rPr>
        <w:t xml:space="preserve">seguida, produzir documentos utilizáveis. Concretamente, a partir de um ficheiro de áudio (por exemplo a gravação de uma reunião), a ferramenta:</w:t>
      </w:r>
    </w:p>
    <w:p>
      <w:pPr>
        <w:pStyle w:val="Compact"/>
        <w:numPr>
          <w:ilvl w:val="0"/>
          <w:numId w:val="1001"/>
        </w:numPr>
      </w:pPr>
      <w:r>
        <w:rPr>
          <w:b/>
          <w:bCs/>
          <w:lang w:val="pt-PT"/>
        </w:rPr>
        <w:t xml:space="preserve">transcreve </w:t>
      </w:r>
      <w:r>
        <w:rPr>
          <w:lang w:val="pt-PT"/>
        </w:rPr>
        <w:t xml:space="preserve"/>
      </w:r>
      <w:r>
        <w:rPr>
          <w:lang w:val="pt-PT"/>
        </w:rPr>
        <w:t xml:space="preserve">automaticamente a fala em texto escrito;</w:t>
      </w:r>
    </w:p>
    <w:p>
      <w:pPr>
        <w:pStyle w:val="Compact"/>
        <w:numPr>
          <w:ilvl w:val="0"/>
          <w:numId w:val="1001"/>
        </w:numPr>
      </w:pPr>
      <w:r>
        <w:rPr>
          <w:b/>
          <w:bCs/>
          <w:lang w:val="pt-PT"/>
        </w:rPr>
        <w:t xml:space="preserve">identifica mudanças de locutor </w:t>
      </w:r>
      <w:r>
        <w:rPr>
          <w:lang w:val="pt-PT"/>
        </w:rPr>
        <w:t xml:space="preserve"/>
      </w:r>
      <w:r>
        <w:rPr>
          <w:lang w:val="pt-PT"/>
        </w:rPr>
        <w:t xml:space="preserve">(distingue “uma primeira pessoa fala”, depois “uma segunda pessoa fala”), para estruturar o texto;</w:t>
      </w:r>
    </w:p>
    <w:p>
      <w:pPr>
        <w:pStyle w:val="Compact"/>
        <w:numPr>
          <w:ilvl w:val="0"/>
          <w:numId w:val="1001"/>
        </w:numPr>
      </w:pPr>
      <w:r>
        <w:rPr>
          <w:b/>
          <w:bCs/>
          <w:lang w:val="pt-PT"/>
        </w:rPr>
        <w:t xml:space="preserve">auxílio na </w:t>
      </w:r>
      <w:r>
        <w:rPr>
          <w:lang w:val="pt-PT"/>
        </w:rPr>
        <w:t xml:space="preserve">redação: </w:t>
      </w:r>
      <w:r>
        <w:rPr>
          <w:lang w:val="pt-PT"/>
        </w:rPr>
        <w:t xml:space="preserve">a pedido do utilizador, pode oferecer um resumo, um projeto de relatório ou ata, uma divisão em temas, uma correção da transcrição;</w:t>
      </w:r>
    </w:p>
    <w:p>
      <w:pPr>
        <w:pStyle w:val="Compact"/>
        <w:numPr>
          <w:ilvl w:val="0"/>
          <w:numId w:val="1001"/>
        </w:numPr>
      </w:pPr>
      <w:r>
        <w:rPr>
          <w:b/>
          <w:bCs/>
          <w:lang w:val="pt-PT"/>
        </w:rPr>
        <w:t xml:space="preserve">exporta </w:t>
      </w:r>
      <w:r>
        <w:rPr>
          <w:lang w:val="pt-PT"/>
        </w:rPr>
        <w:t xml:space="preserve"/>
      </w:r>
      <w:r>
        <w:rPr>
          <w:lang w:val="pt-PT"/>
        </w:rPr>
        <w:t xml:space="preserve">o resultado como documentos (por exemplo, em formato Word).</w:t>
      </w:r>
    </w:p>
    <w:p>
      <w:pPr>
        <w:pStyle w:val="FirstParagraph"/>
      </w:pPr>
      <w:r>
        <w:rPr>
          <w:lang w:val="pt-PT"/>
        </w:rPr>
        <w:t xml:space="preserve">Resumindo: </w:t>
      </w:r>
      <w:r>
        <w:rPr>
          <w:lang w:val="pt-PT"/>
        </w:rPr>
        <w:t xml:space="preserve"/>
      </w:r>
      <w:r>
        <w:rPr>
          <w:b/>
          <w:bCs/>
          <w:lang w:val="pt-PT"/>
        </w:rPr>
        <w:t xml:space="preserve">TranscribIA é uma ferramenta para ajudar a escrever </w:t>
      </w:r>
      <w:r>
        <w:rPr>
          <w:lang w:val="pt-PT"/>
        </w:rPr>
        <w:t xml:space="preserve">relatórios. Economiza tempo em uma tarefa tediosa – ouvir, transcrever, formatar.</w:t>
      </w:r>
    </w:p>
    <w:p>
      <w:pPr>
        <w:pStyle w:val="BodyText"/>
        <w:keepNext/>
      </w:pPr>
      <w:r>
        <w:drawing>
          <wp:inline>
            <wp:extent cx="5334000" cy="3333750"/>
            <wp:effectExtent b="0" l="0" r="0" t="0"/>
            <wp:docPr descr="Tableau de bord de TranscribIA : quota d'utilisateurs, statistiques et séances récentes" title="" id="11" name="Picture"/>
            <a:graphic>
              <a:graphicData uri="http://schemas.openxmlformats.org/drawingml/2006/picture">
                <pic:pic>
                  <pic:nvPicPr>
                    <pic:cNvPr descr="img/cse-02-dashboard.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pt-PT"/>
        </w:rPr>
        <w:t xml:space="preserve">Figura 1 — Dashboard: visão geral do espaço da organização (cota de utilizadores, estatísticas de uso, sessões recentes; conta demo “Olivier Démo”, dados de teste).</w:t>
      </w:r>
    </w:p>
    <w:p>
      <w:pPr>
        <w:pStyle w:val="BodyText"/>
        <w:keepNext/>
      </w:pPr>
      <w:r>
        <w:drawing>
          <wp:inline>
            <wp:extent cx="5334000" cy="3333750"/>
            <wp:effectExtent b="0" l="0" r="0" t="0"/>
            <wp:docPr descr="Fiche d'une séance : type, date, description et ordre du jour" title="" id="14" name="Picture"/>
            <a:graphic>
              <a:graphicData uri="http://schemas.openxmlformats.org/drawingml/2006/picture">
                <pic:pic>
                  <pic:nvPicPr>
                    <pic:cNvPr descr="img/cse-04-session-infos.png" id="15" name="Picture"/>
                    <pic:cNvPicPr>
                      <a:picLocks noChangeArrowheads="1" noChangeAspect="1"/>
                    </pic:cNvPicPr>
                  </pic:nvPicPr>
                  <pic:blipFill>
                    <a:blip r:embed="rId13"/>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pt-PT"/>
        </w:rPr>
        <w:t xml:space="preserve">Figura 2 — Ficha da sessão: informações de contexto (tipo, data, descrição, agenda) definidas pela organização antes da transcrição.</w:t>
      </w:r>
    </w:p>
    <w:bookmarkEnd w:id="16"/>
    <w:bookmarkStart w:id="20" w:name="Xd88f32384cb8e2387b2cd420bb01dd5f4d3a9bc"/>
    <w:p>
      <w:pPr>
        <w:pStyle w:val="Heading3"/>
        <w:keepNext/>
        <w:keepLines/>
      </w:pPr>
      <w:r>
        <w:rPr>
          <w:color w:val="000000"/>
          <w:lang w:val="pt-PT"/>
        </w:rPr>
        <w:t xml:space="preserve">1.2 O que TranscribIA não faz</w:t>
      </w:r>
    </w:p>
    <w:p>
      <w:pPr>
        <w:pStyle w:val="FirstParagraph"/>
      </w:pPr>
      <w:r>
        <w:rPr>
          <w:lang w:val="pt-PT"/>
        </w:rPr>
        <w:t xml:space="preserve">Para evitar dúvidas, aqui está o que a </w:t>
      </w:r>
      <w:r>
        <w:rPr>
          <w:lang w:val="pt-PT"/>
        </w:rPr>
        <w:t xml:space="preserve"/>
      </w:r>
      <w:r>
        <w:rPr>
          <w:b/>
          <w:bCs/>
          <w:lang w:val="pt-PT"/>
        </w:rPr>
        <w:t xml:space="preserve">ferramenta </w:t>
      </w:r>
      <w:r>
        <w:rPr>
          <w:lang w:val="pt-PT"/>
        </w:rPr>
        <w:t xml:space="preserve"/>
      </w:r>
      <w:r>
        <w:rPr>
          <w:lang w:val="pt-PT"/>
        </w:rPr>
        <w:t xml:space="preserve">não é e não </w:t>
      </w:r>
      <w:r>
        <w:rPr>
          <w:lang w:val="pt-PT"/>
        </w:rPr>
        <w:t xml:space="preserve"/>
      </w:r>
      <w:r>
        <w:rPr>
          <w:b/>
          <w:bCs/>
          <w:lang w:val="pt-PT"/>
        </w:rPr>
        <w:t xml:space="preserve"/>
      </w:r>
      <w:r>
        <w:rPr>
          <w:lang w:val="pt-PT"/>
        </w:rPr>
        <w:t xml:space="preserve"/>
      </w:r>
      <w:r>
        <w:rPr>
          <w:lang w:val="pt-PT"/>
        </w:rPr>
        <w:t xml:space="preserve">faz:</w:t>
      </w:r>
    </w:p>
    <w:p>
      <w:pPr>
        <w:pStyle w:val="Compact"/>
        <w:numPr>
          <w:ilvl w:val="0"/>
          <w:numId w:val="1002"/>
        </w:numPr>
      </w:pPr>
      <w:r>
        <w:rPr>
          <w:lang w:val="pt-PT"/>
        </w:rPr>
        <w:t xml:space="preserve">Não </w:t>
      </w:r>
      <w:r>
        <w:rPr>
          <w:lang w:val="pt-PT"/>
        </w:rPr>
        <w:t xml:space="preserve"/>
      </w:r>
      <w:r>
        <w:rPr>
          <w:b/>
          <w:bCs/>
          <w:lang w:val="pt-PT"/>
        </w:rPr>
        <w:t xml:space="preserve">é uma ferramenta de monitorização </w:t>
      </w:r>
      <w:r>
        <w:rPr>
          <w:lang w:val="pt-PT"/>
        </w:rPr>
        <w:t xml:space="preserve"/>
      </w:r>
      <w:r>
        <w:rPr>
          <w:lang w:val="pt-PT"/>
        </w:rPr>
        <w:t xml:space="preserve">de funcionários. Não “escuta” continuamente e não grava nada de si mesmo: apenas processa os ficheiros de áudio que o empregador decide confiar-lhe.</w:t>
      </w:r>
    </w:p>
    <w:p>
      <w:pPr>
        <w:pStyle w:val="Compact"/>
        <w:numPr>
          <w:ilvl w:val="0"/>
          <w:numId w:val="1002"/>
        </w:numPr>
      </w:pPr>
      <w:r>
        <w:rPr>
          <w:lang w:val="pt-PT"/>
        </w:rPr>
        <w:t xml:space="preserve">Não </w:t>
      </w:r>
      <w:r>
        <w:rPr>
          <w:lang w:val="pt-PT"/>
        </w:rPr>
        <w:t xml:space="preserve"/>
      </w:r>
      <w:r>
        <w:rPr>
          <w:b/>
          <w:bCs/>
          <w:lang w:val="pt-PT"/>
        </w:rPr>
        <w:t xml:space="preserve">é uma ferramenta de </w:t>
      </w:r>
      <w:r>
        <w:rPr>
          <w:lang w:val="pt-PT"/>
        </w:rPr>
        <w:t xml:space="preserve"/>
      </w:r>
      <w:r>
        <w:rPr>
          <w:lang w:val="pt-PT"/>
        </w:rPr>
        <w:t xml:space="preserve">avaliação de pessoal. Não mede desempenho, não avalia discursos, não compara pessoas entre si.</w:t>
      </w:r>
    </w:p>
    <w:p>
      <w:pPr>
        <w:pStyle w:val="Compact"/>
        <w:numPr>
          <w:ilvl w:val="0"/>
          <w:numId w:val="1002"/>
        </w:numPr>
      </w:pPr>
      <w:r>
        <w:rPr>
          <w:lang w:val="pt-PT"/>
        </w:rPr>
        <w:t xml:space="preserve">Não toma </w:t>
      </w:r>
      <w:r>
        <w:rPr>
          <w:lang w:val="pt-PT"/>
        </w:rPr>
        <w:t xml:space="preserve"/>
      </w:r>
      <w:r>
        <w:rPr>
          <w:b/>
          <w:bCs/>
          <w:lang w:val="pt-PT"/>
        </w:rPr>
        <w:t xml:space="preserve">nenhuma decisão automática em </w:t>
      </w:r>
      <w:r>
        <w:rPr>
          <w:lang w:val="pt-PT"/>
        </w:rPr>
        <w:t xml:space="preserve"/>
      </w:r>
      <w:r>
        <w:rPr>
          <w:lang w:val="pt-PT"/>
        </w:rPr>
        <w:t xml:space="preserve">relação a uma pessoa (nem sanção, nem avaliação, nem classificação).</w:t>
      </w:r>
    </w:p>
    <w:p>
      <w:pPr>
        <w:pStyle w:val="Compact"/>
        <w:numPr>
          <w:ilvl w:val="0"/>
          <w:numId w:val="1002"/>
        </w:numPr>
      </w:pPr>
      <w:r>
        <w:rPr>
          <w:lang w:val="pt-PT"/>
        </w:rPr>
        <w:t xml:space="preserve">Não “reconhece” vozes automaticamente para registar pessoas: as propostas que faz devem ser sempre validadas por um ser humano (ver secção 2).</w:t>
      </w:r>
    </w:p>
    <w:p>
      <w:pPr>
        <w:pStyle w:val="FirstParagraph"/>
      </w:pPr>
      <w:r>
        <w:rPr>
          <w:lang w:val="pt-PT"/>
        </w:rPr>
        <w:t xml:space="preserve">Enquanto um utilizador não tiver confirmado um nome, os locutores são apresentados sob etiquetas neutras como «Interveniente 1». Estas etiquetas não garantem o anonimato. Podem ser propostas sugestões automáticas de identificação consoante as funcionalidades ativadas; a sua validação humana não elimina as obrigações de proteção de dados aplicáveis.</w:t>
      </w:r>
    </w:p>
    <w:p>
      <w:pPr>
        <w:pStyle w:val="BodyText"/>
        <w:keepNext/>
      </w:pPr>
      <w:r>
        <w:drawing>
          <wp:inline>
            <wp:extent cx="5334000" cy="3333750"/>
            <wp:effectExtent b="0" l="0" r="0" t="0"/>
            <wp:docPr descr="Onglet Transcription : lecteur audio, segments attribués à « Intervenant 1 » et « Intervenant 2 », recherche et statistiques" title="" id="18" name="Picture"/>
            <a:graphic>
              <a:graphicData uri="http://schemas.openxmlformats.org/drawingml/2006/picture">
                <pic:pic>
                  <pic:nvPicPr>
                    <pic:cNvPr descr="img/cse-05-transcription.png" id="19" name="Picture"/>
                    <pic:cNvPicPr>
                      <a:picLocks noChangeArrowheads="1" noChangeAspect="1"/>
                    </pic:cNvPicPr>
                  </pic:nvPicPr>
                  <pic:blipFill>
                    <a:blip r:embed="rId17"/>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pt-PT"/>
        </w:rPr>
        <w:t xml:space="preserve">Figura 3 — Separador Transcrição: os locutores são apresentados sob etiquetas neutras enquanto uma pessoa não tiver confirmado o respetivo nome. Pode ocorrer uma comparação ou sugestão automatizada quando a funcionalidade correspondente estiver ativada; as etiquetas não garantem o anonimato.</w:t>
      </w:r>
    </w:p>
    <w:p>
      <w:r>
        <w:pict>
          <v:rect style="width:0;height:1.5pt" o:hralign="center" o:hrstd="t" o:hr="t"/>
        </w:pict>
      </w:r>
    </w:p>
    <w:bookmarkEnd w:id="20"/>
    <w:bookmarkEnd w:id="21"/>
    <w:bookmarkStart w:id="25" w:name="X4ce26f3ab9580fb50c1a708a1603b7d017904f7"/>
    <w:p>
      <w:pPr>
        <w:pStyle w:val="Heading2"/>
        <w:keepNext/>
        <w:keepLines/>
      </w:pPr>
      <w:r>
        <w:rPr>
          <w:color w:val="000000"/>
          <w:lang w:val="pt-PT"/>
        </w:rPr>
        <w:t xml:space="preserve">2. Impacto nas atividades e condições de trabalho</w:t>
      </w:r>
    </w:p>
    <w:bookmarkStart w:id="22" w:name="X06031bf601a0315d7eb88ac4209e676bcaf030b"/>
    <w:p>
      <w:pPr>
        <w:pStyle w:val="Heading3"/>
        <w:keepNext/>
        <w:keepLines/>
      </w:pPr>
      <w:r>
        <w:rPr>
          <w:color w:val="000000"/>
          <w:lang w:val="pt-PT"/>
        </w:rPr>
        <w:t xml:space="preserve">2.1 Uma ferramenta de ajuda, sem controlo</w:t>
      </w:r>
    </w:p>
    <w:p>
      <w:pPr>
        <w:pStyle w:val="FirstParagraph"/>
      </w:pPr>
      <w:r>
        <w:rPr>
          <w:lang w:val="pt-PT"/>
        </w:rPr>
        <w:t xml:space="preserve">O principal benefício do TranscribIA </w:t>
      </w:r>
      <w:r>
        <w:rPr>
          <w:lang w:val="pt-PT"/>
        </w:rPr>
        <w:t xml:space="preserve"/>
      </w:r>
      <w:r>
        <w:rPr>
          <w:b/>
          <w:bCs/>
          <w:lang w:val="pt-PT"/>
        </w:rPr>
        <w:t xml:space="preserve">é a </w:t>
      </w:r>
      <w:r>
        <w:rPr>
          <w:lang w:val="pt-PT"/>
        </w:rPr>
        <w:t xml:space="preserve">economia </w:t>
      </w:r>
      <w:r>
        <w:rPr>
          <w:lang w:val="pt-PT"/>
        </w:rPr>
        <w:t xml:space="preserve">de tempo na produção de atas de reuniões. A tarefa de transcrição, muitas vezes longa e pouco gratificante, é amplamente automatizada. Os responsáveis ​​pela redação focam na revisão, validação e formatação final.</w:t>
      </w:r>
    </w:p>
    <w:p>
      <w:pPr>
        <w:pStyle w:val="BodyText"/>
      </w:pPr>
      <w:r>
        <w:rPr>
          <w:lang w:val="pt-PT"/>
        </w:rPr>
        <w:t xml:space="preserve">TranscribIA </w:t>
      </w:r>
      <w:r>
        <w:rPr>
          <w:lang w:val="pt-PT"/>
        </w:rPr>
        <w:t xml:space="preserve"/>
      </w:r>
      <w:r>
        <w:rPr>
          <w:b/>
          <w:bCs/>
          <w:lang w:val="pt-PT"/>
        </w:rPr>
        <w:t xml:space="preserve">não introduz uma medida de produtividade individual. Não </w:t>
      </w:r>
      <w:r>
        <w:rPr>
          <w:lang w:val="pt-PT"/>
        </w:rPr>
        <w:t xml:space="preserve">produz nenhum indicador como “tempo de palavra por funcionário”, “número de intervenções” ou “classificação de contribuição” destinado a avaliar as pessoas.</w:t>
      </w:r>
    </w:p>
    <w:bookmarkEnd w:id="22"/>
    <w:bookmarkStart w:id="23" w:name="X2d5f7e7b85c702d1ce4e2291f72dc599100fa67"/>
    <w:p>
      <w:pPr>
        <w:pStyle w:val="Heading3"/>
        <w:keepNext/>
        <w:keepLines/>
      </w:pPr>
      <w:r>
        <w:rPr>
          <w:color w:val="000000"/>
          <w:lang w:val="pt-PT"/>
        </w:rPr>
        <w:t xml:space="preserve">2.2 O humano mantém a mão</w:t>
      </w:r>
    </w:p>
    <w:p>
      <w:pPr>
        <w:pStyle w:val="FirstParagraph"/>
      </w:pPr>
      <w:r>
        <w:rPr>
          <w:lang w:val="pt-PT"/>
        </w:rPr>
        <w:t xml:space="preserve">Uma característica essencial da ferramenta: </w:t>
      </w:r>
      <w:r>
        <w:rPr>
          <w:lang w:val="pt-PT"/>
        </w:rPr>
        <w:t xml:space="preserve"/>
      </w:r>
      <w:r>
        <w:rPr>
          <w:b/>
          <w:bCs/>
          <w:lang w:val="pt-PT"/>
        </w:rPr>
        <w:t xml:space="preserve">as sugestões produzidas pela inteligência artificial estão sempre sujeitas à validação humana.</w:t>
      </w:r>
    </w:p>
    <w:p>
      <w:pPr>
        <w:pStyle w:val="Compact"/>
        <w:numPr>
          <w:ilvl w:val="0"/>
          <w:numId w:val="1003"/>
        </w:numPr>
      </w:pPr>
      <w:r>
        <w:rPr>
          <w:lang w:val="pt-PT"/>
        </w:rPr>
        <w:t xml:space="preserve">Os resumos, relatórios e correções propostas pela IA são </w:t>
      </w:r>
      <w:r>
        <w:rPr>
          <w:lang w:val="pt-PT"/>
        </w:rPr>
        <w:t xml:space="preserve"/>
      </w:r>
      <w:r>
        <w:rPr>
          <w:b/>
          <w:bCs/>
          <w:lang w:val="pt-PT"/>
        </w:rPr>
        <w:t xml:space="preserve">rascunhos: </w:t>
      </w:r>
      <w:r>
        <w:rPr>
          <w:lang w:val="pt-PT"/>
        </w:rPr>
        <w:t xml:space="preserve">um </w:t>
      </w:r>
      <w:r>
        <w:rPr>
          <w:lang w:val="pt-PT"/>
        </w:rPr>
        <w:t xml:space="preserve">utilizador autorizado os relê e decide o que será retido.</w:t>
      </w:r>
    </w:p>
    <w:p>
      <w:pPr>
        <w:pStyle w:val="Compact"/>
        <w:numPr>
          <w:ilvl w:val="0"/>
          <w:numId w:val="1003"/>
        </w:numPr>
      </w:pPr>
      <w:r>
        <w:rPr>
          <w:lang w:val="pt-PT"/>
        </w:rPr>
        <w:t xml:space="preserve">Quando a ferramenta sugere associar um nome a uma voz (por exemplo “este trecho parece corresponder à senhora Fulana”), </w:t>
      </w:r>
      <w:r>
        <w:rPr>
          <w:lang w:val="pt-PT"/>
        </w:rPr>
        <w:t xml:space="preserve"/>
      </w:r>
      <w:r>
        <w:rPr>
          <w:b/>
          <w:bCs/>
          <w:lang w:val="pt-PT"/>
        </w:rPr>
        <w:t xml:space="preserve">a sugestão é </w:t>
      </w:r>
      <w:r>
        <w:rPr>
          <w:lang w:val="pt-PT"/>
        </w:rPr>
        <w:t xml:space="preserve"/>
      </w:r>
      <w:r>
        <w:rPr>
          <w:lang w:val="pt-PT"/>
        </w:rPr>
        <w:t xml:space="preserve">simples: nunca é mantida sem que alguém a tenha confirmado.</w:t>
      </w:r>
    </w:p>
    <w:p>
      <w:pPr>
        <w:pStyle w:val="FirstParagraph"/>
      </w:pPr>
      <w:r>
        <w:rPr>
          <w:lang w:val="pt-PT"/>
        </w:rPr>
        <w:t xml:space="preserve">Nenhuma decisão relativa a uma pessoa é, portanto, tomada “pela máquina”.</w:t>
      </w:r>
    </w:p>
    <w:bookmarkEnd w:id="23"/>
    <w:bookmarkStart w:id="24" w:name="X78bd822c658ac5b6bc70f85a6365417fd4c57e1"/>
    <w:p>
      <w:pPr>
        <w:pStyle w:val="Heading3"/>
        <w:keepNext/>
        <w:keepLines/>
      </w:pPr>
      <w:r>
        <w:rPr>
          <w:color w:val="000000"/>
          <w:lang w:val="pt-PT"/>
        </w:rPr>
        <w:t xml:space="preserve">2.3 O papel do empregador</w:t>
      </w:r>
    </w:p>
    <w:p>
      <w:pPr>
        <w:pStyle w:val="FirstParagraph"/>
      </w:pPr>
      <w:r>
        <w:rPr>
          <w:lang w:val="pt-PT"/>
        </w:rPr>
        <w:t xml:space="preserve">O empregador </w:t>
      </w:r>
      <w:r>
        <w:rPr>
          <w:lang w:val="pt-PT"/>
        </w:rPr>
        <w:t xml:space="preserve"/>
      </w:r>
      <w:r>
        <w:rPr>
          <w:b/>
          <w:bCs/>
          <w:lang w:val="pt-PT"/>
        </w:rPr>
        <w:t xml:space="preserve">permanece </w:t>
      </w:r>
      <w:r>
        <w:rPr>
          <w:lang w:val="pt-PT"/>
        </w:rPr>
        <w:t xml:space="preserve"/>
      </w:r>
      <w:r>
        <w:rPr>
          <w:lang w:val="pt-PT"/>
        </w:rPr>
        <w:t xml:space="preserve">responsável pela utilização da ferramenta. Em particular, pertence a ele:</w:t>
      </w:r>
    </w:p>
    <w:p>
      <w:pPr>
        <w:pStyle w:val="Compact"/>
        <w:numPr>
          <w:ilvl w:val="0"/>
          <w:numId w:val="1004"/>
        </w:numPr>
      </w:pPr>
      <w:r>
        <w:rPr>
          <w:lang w:val="pt-PT"/>
        </w:rPr>
        <w:t xml:space="preserve">decidir </w:t>
      </w:r>
      <w:r>
        <w:rPr>
          <w:lang w:val="pt-PT"/>
        </w:rPr>
        <w:t xml:space="preserve"/>
      </w:r>
      <w:r>
        <w:rPr>
          <w:b/>
          <w:bCs/>
          <w:lang w:val="pt-PT"/>
        </w:rPr>
        <w:t xml:space="preserve">quais reuniões </w:t>
      </w:r>
      <w:r>
        <w:rPr>
          <w:lang w:val="pt-PT"/>
        </w:rPr>
        <w:t xml:space="preserve"/>
      </w:r>
      <w:r>
        <w:rPr>
          <w:lang w:val="pt-PT"/>
        </w:rPr>
        <w:t xml:space="preserve">serão gravadas e transcritas;</w:t>
      </w:r>
    </w:p>
    <w:p>
      <w:pPr>
        <w:pStyle w:val="Compact"/>
        <w:numPr>
          <w:ilvl w:val="0"/>
          <w:numId w:val="1004"/>
        </w:numPr>
      </w:pPr>
      <w:r>
        <w:rPr>
          <w:lang w:val="pt-PT"/>
        </w:rPr>
        <w:t xml:space="preserve">informar </w:t>
      </w:r>
      <w:r>
        <w:rPr>
          <w:b/>
          <w:bCs/>
          <w:lang w:val="pt-PT"/>
        </w:rPr>
        <w:t xml:space="preserve">aos participantes </w:t>
      </w:r>
      <w:r>
        <w:rPr>
          <w:lang w:val="pt-PT"/>
        </w:rPr>
        <w:t xml:space="preserve"/>
      </w:r>
      <w:r>
        <w:rPr>
          <w:lang w:val="pt-PT"/>
        </w:rPr>
        <w:t xml:space="preserve">que está sendo feita uma gravação e que será transcrita por meio desta ferramenta;</w:t>
      </w:r>
    </w:p>
    <w:p>
      <w:pPr>
        <w:pStyle w:val="Compact"/>
        <w:numPr>
          <w:ilvl w:val="0"/>
          <w:numId w:val="1004"/>
        </w:numPr>
      </w:pPr>
      <w:r>
        <w:rPr>
          <w:lang w:val="pt-PT"/>
        </w:rPr>
        <w:t xml:space="preserve">definir </w:t>
      </w:r>
      <w:r>
        <w:rPr>
          <w:lang w:val="pt-PT"/>
        </w:rPr>
        <w:t xml:space="preserve"/>
      </w:r>
      <w:r>
        <w:rPr>
          <w:b/>
          <w:bCs/>
          <w:lang w:val="pt-PT"/>
        </w:rPr>
        <w:t xml:space="preserve">quem tem </w:t>
      </w:r>
      <w:r>
        <w:rPr>
          <w:lang w:val="pt-PT"/>
        </w:rPr>
        <w:t xml:space="preserve"/>
      </w:r>
      <w:r>
        <w:rPr>
          <w:lang w:val="pt-PT"/>
        </w:rPr>
        <w:t xml:space="preserve">acesso às gravações e transcrições dentro da organização;</w:t>
      </w:r>
    </w:p>
    <w:p>
      <w:pPr>
        <w:pStyle w:val="Compact"/>
        <w:numPr>
          <w:ilvl w:val="0"/>
          <w:numId w:val="1004"/>
        </w:numPr>
      </w:pPr>
      <w:r>
        <w:rPr>
          <w:lang w:val="pt-PT"/>
        </w:rPr>
        <w:t xml:space="preserve">definir </w:t>
      </w:r>
      <w:r>
        <w:rPr>
          <w:lang w:val="pt-PT"/>
        </w:rPr>
        <w:t xml:space="preserve"/>
      </w:r>
      <w:r>
        <w:rPr>
          <w:b/>
          <w:bCs/>
          <w:lang w:val="pt-PT"/>
        </w:rPr>
        <w:t xml:space="preserve">períodos de retenção </w:t>
      </w:r>
      <w:r>
        <w:rPr>
          <w:lang w:val="pt-PT"/>
        </w:rPr>
        <w:t xml:space="preserve"/>
      </w:r>
      <w:r>
        <w:rPr>
          <w:lang w:val="pt-PT"/>
        </w:rPr>
        <w:t xml:space="preserve">de dados;</w:t>
      </w:r>
    </w:p>
    <w:p>
      <w:pPr>
        <w:pStyle w:val="Compact"/>
        <w:numPr>
          <w:ilvl w:val="0"/>
          <w:numId w:val="1004"/>
        </w:numPr>
      </w:pPr>
      <w:r>
        <w:rPr>
          <w:lang w:val="pt-PT"/>
        </w:rPr>
        <w:t xml:space="preserve">garantir o cumprimento da regulamentação aplicável (protecção de dados, informação das pessoas, diálogo social).</w:t>
      </w:r>
    </w:p>
    <w:p>
      <w:pPr>
        <w:pStyle w:val="FirstParagraph"/>
      </w:pPr>
      <w:r>
        <w:rPr>
          <w:lang w:val="pt-PT"/>
        </w:rPr>
        <w:t xml:space="preserve">O editor (OHADJA) fornece a ferramenta e suas garantias técnicas; não tem conhecimento das reuniões em causa nem das pessoas registadas, o que só o empregador determina.</w:t>
      </w:r>
    </w:p>
    <w:p>
      <w:r>
        <w:pict>
          <v:rect style="width:0;height:1.5pt" o:hralign="center" o:hrstd="t" o:hr="t"/>
        </w:pict>
      </w:r>
    </w:p>
    <w:bookmarkEnd w:id="24"/>
    <w:bookmarkEnd w:id="25"/>
    <w:bookmarkStart w:id="31" w:name="X0e6826adafb72fcaa9d4d931886996a739a4350"/>
    <w:p>
      <w:pPr>
        <w:pStyle w:val="Heading2"/>
        <w:keepNext/>
        <w:keepLines/>
      </w:pPr>
      <w:r>
        <w:rPr>
          <w:color w:val="000000"/>
          <w:lang w:val="pt-PT"/>
        </w:rPr>
        <w:t xml:space="preserve">3. Dados tratados e garantias</w:t>
      </w:r>
    </w:p>
    <w:bookmarkStart w:id="26" w:name="Xce7aa4732ea2cf06e30bd7763d6c01c3596d879"/>
    <w:p>
      <w:pPr>
        <w:pStyle w:val="Heading3"/>
        <w:keepNext/>
        <w:keepLines/>
      </w:pPr>
      <w:r>
        <w:rPr>
          <w:color w:val="000000"/>
          <w:lang w:val="pt-PT"/>
        </w:rPr>
        <w:t xml:space="preserve">3.1 Quais dados são processados</w:t>
      </w:r>
    </w:p>
    <w:p>
      <w:pPr>
        <w:pStyle w:val="FirstParagraph"/>
      </w:pPr>
      <w:r>
        <w:rPr>
          <w:lang w:val="pt-PT"/>
        </w:rPr>
        <w:t xml:space="preserve">TranscribIA processa os dados que o empregador decide confiar-lhe, principalmente:</w:t>
      </w:r>
    </w:p>
    <w:p>
      <w:pPr>
        <w:pStyle w:val="Compact"/>
        <w:numPr>
          <w:ilvl w:val="0"/>
          <w:numId w:val="1005"/>
        </w:numPr>
      </w:pPr>
      <w:r>
        <w:rPr>
          <w:lang w:val="pt-PT"/>
        </w:rPr>
        <w:t xml:space="preserve">gravações </w:t>
      </w:r>
      <w:r>
        <w:rPr>
          <w:lang w:val="pt-PT"/>
        </w:rPr>
        <w:t xml:space="preserve"/>
      </w:r>
      <w:r>
        <w:rPr>
          <w:b/>
          <w:bCs/>
          <w:lang w:val="pt-PT"/>
        </w:rPr>
        <w:t xml:space="preserve">de áudio de </w:t>
      </w:r>
      <w:r>
        <w:rPr>
          <w:lang w:val="pt-PT"/>
        </w:rPr>
        <w:t xml:space="preserve"/>
      </w:r>
      <w:r>
        <w:rPr>
          <w:lang w:val="pt-PT"/>
        </w:rPr>
        <w:t xml:space="preserve">reuniões escolhidas pelo empregador;</w:t>
      </w:r>
    </w:p>
    <w:p>
      <w:pPr>
        <w:pStyle w:val="Compact"/>
        <w:numPr>
          <w:ilvl w:val="0"/>
          <w:numId w:val="1005"/>
        </w:numPr>
      </w:pPr>
      <w:r>
        <w:rPr>
          <w:lang w:val="pt-PT"/>
        </w:rPr>
        <w:t xml:space="preserve">as </w:t>
      </w:r>
      <w:r>
        <w:rPr>
          <w:lang w:val="pt-PT"/>
        </w:rPr>
        <w:t xml:space="preserve"/>
      </w:r>
      <w:r>
        <w:rPr>
          <w:b/>
          <w:bCs/>
          <w:lang w:val="pt-PT"/>
        </w:rPr>
        <w:t xml:space="preserve">transcrições </w:t>
      </w:r>
      <w:r>
        <w:rPr>
          <w:lang w:val="pt-PT"/>
        </w:rPr>
        <w:t xml:space="preserve"/>
      </w:r>
      <w:r>
        <w:rPr>
          <w:lang w:val="pt-PT"/>
        </w:rPr>
        <w:t xml:space="preserve">resultantes;</w:t>
      </w:r>
    </w:p>
    <w:p>
      <w:pPr>
        <w:pStyle w:val="Compact"/>
        <w:numPr>
          <w:ilvl w:val="0"/>
          <w:numId w:val="1005"/>
        </w:numPr>
      </w:pPr>
      <w:r>
        <w:rPr>
          <w:lang w:val="pt-PT"/>
        </w:rPr>
        <w:t xml:space="preserve">os </w:t>
      </w:r>
      <w:r>
        <w:rPr>
          <w:lang w:val="pt-PT"/>
        </w:rPr>
        <w:t xml:space="preserve"/>
      </w:r>
      <w:r>
        <w:rPr>
          <w:b/>
          <w:bCs/>
          <w:lang w:val="pt-PT"/>
        </w:rPr>
        <w:t xml:space="preserve">nomes dos palestrantes, </w:t>
      </w:r>
      <w:r>
        <w:rPr>
          <w:lang w:val="pt-PT"/>
        </w:rPr>
        <w:t xml:space="preserve">quando um utilizador os insere para tornar o relatório legível;</w:t>
      </w:r>
    </w:p>
    <w:p>
      <w:pPr>
        <w:pStyle w:val="Compact"/>
        <w:numPr>
          <w:ilvl w:val="0"/>
          <w:numId w:val="1005"/>
        </w:numPr>
      </w:pPr>
      <w:r>
        <w:rPr>
          <w:lang w:val="pt-PT"/>
        </w:rPr>
        <w:t xml:space="preserve">possíveis </w:t>
      </w:r>
      <w:r>
        <w:rPr>
          <w:lang w:val="pt-PT"/>
        </w:rPr>
        <w:t xml:space="preserve"/>
      </w:r>
      <w:r>
        <w:rPr>
          <w:b/>
          <w:bCs/>
          <w:lang w:val="pt-PT"/>
        </w:rPr>
        <w:t xml:space="preserve">documentos </w:t>
      </w:r>
      <w:r>
        <w:rPr>
          <w:lang w:val="pt-PT"/>
        </w:rPr>
        <w:t xml:space="preserve"/>
      </w:r>
      <w:r>
        <w:rPr>
          <w:lang w:val="pt-PT"/>
        </w:rPr>
        <w:t xml:space="preserve">preparatórios (agenda, notas);</w:t>
      </w:r>
    </w:p>
    <w:p>
      <w:pPr>
        <w:pStyle w:val="Compact"/>
        <w:numPr>
          <w:ilvl w:val="0"/>
          <w:numId w:val="1005"/>
        </w:numPr>
      </w:pPr>
      <w:r>
        <w:rPr>
          <w:lang w:val="pt-PT"/>
        </w:rPr>
        <w:t xml:space="preserve">dados técnicos operacionais (quem conectou, quando, quais ações foram realizadas).</w:t>
      </w:r>
    </w:p>
    <w:p>
      <w:pPr>
        <w:pStyle w:val="FirstParagraph"/>
      </w:pPr>
      <w:r>
        <w:rPr>
          <w:b/>
          <w:bCs/>
          <w:lang w:val="pt-PT"/>
        </w:rPr>
        <w:t xml:space="preserve">Apenas estão em causa reuniões decididas pelo </w:t>
      </w:r>
      <w:r>
        <w:rPr>
          <w:lang w:val="pt-PT"/>
        </w:rPr>
        <w:t xml:space="preserve"/>
      </w:r>
      <w:r>
        <w:rPr>
          <w:lang w:val="pt-PT"/>
        </w:rPr>
        <w:t xml:space="preserve">empregador. A ferramenta não captura nada fora deste perímetro.</w:t>
      </w:r>
    </w:p>
    <w:bookmarkEnd w:id="26"/>
    <w:bookmarkStart w:id="27" w:name="X26955d4dcff6a560646c67423bebebd47b71ebb"/>
    <w:p>
      <w:pPr>
        <w:pStyle w:val="Heading3"/>
        <w:keepNext/>
        <w:keepLines/>
      </w:pPr>
      <w:r>
        <w:rPr>
          <w:color w:val="000000"/>
          <w:lang w:val="pt-PT"/>
        </w:rPr>
        <w:t xml:space="preserve">3.2 Informações aos participantes</w:t>
      </w:r>
    </w:p>
    <w:p>
      <w:pPr>
        <w:pStyle w:val="FirstParagraph"/>
      </w:pPr>
      <w:r>
        <w:rPr>
          <w:lang w:val="pt-PT"/>
        </w:rPr>
        <w:t xml:space="preserve">Antes da gravação e transcrição, o empregador deve informar claramente os participantes e verificar a licitude, a necessidade, a </w:t>
      </w:r>
      <w:r>
        <w:rPr>
          <w:lang w:val="pt-PT"/>
        </w:rPr>
        <w:t xml:space="preserve">proporcionalidade, </w:t>
      </w:r>
      <w:r>
        <w:rPr>
          <w:b/>
          <w:bCs/>
          <w:lang w:val="pt-PT"/>
        </w:rPr>
        <w:t xml:space="preserve">o fundamento de licitude, as eventuais condições </w:t>
      </w:r>
      <w:r>
        <w:rPr>
          <w:lang w:val="pt-PT"/>
        </w:rPr>
        <w:t xml:space="preserve">relativas </w:t>
      </w:r>
      <w:r>
        <w:rPr>
          <w:lang w:val="pt-PT"/>
        </w:rPr>
        <w:t xml:space="preserve">a dados sensíveis e as regras nacionais de gravação. A simples informação, a aceitação do software ou a ausência de oposição não constituem uma autorização geral. Os direitos dos representantes dos trabalhadores e os acordos aplicáveis devem ser respeitados antes da implementação.</w:t>
      </w:r>
    </w:p>
    <w:bookmarkEnd w:id="27"/>
    <w:bookmarkStart w:id="28" w:name="X0e167efbd44f9dd9aeb107da1f48cc458259739"/>
    <w:p>
      <w:pPr>
        <w:pStyle w:val="Heading3"/>
        <w:keepNext/>
        <w:keepLines/>
      </w:pPr>
      <w:r>
        <w:rPr>
          <w:color w:val="000000"/>
          <w:lang w:val="pt-PT"/>
        </w:rPr>
        <w:t xml:space="preserve">3.3 Seus direitos (RGPD)</w:t>
      </w:r>
    </w:p>
    <w:p>
      <w:pPr>
        <w:pStyle w:val="FirstParagraph"/>
      </w:pPr>
      <w:r>
        <w:rPr>
          <w:lang w:val="pt-PT"/>
        </w:rPr>
        <w:t xml:space="preserve">As pessoas cujos dados são tratados dispõem dos direitos previstos no Regulamento Geral sobre a Proteção de Dados (RGPD), nomeadamente os direitos de acesso, </w:t>
      </w:r>
      <w:r>
        <w:rPr>
          <w:b/>
          <w:bCs/>
          <w:lang w:val="pt-PT"/>
        </w:rPr>
        <w:t xml:space="preserve"/>
      </w:r>
      <w:r>
        <w:rPr>
          <w:lang w:val="pt-PT"/>
        </w:rPr>
        <w:t xml:space="preserve">retificação, </w:t>
      </w:r>
      <w:r>
        <w:rPr>
          <w:lang w:val="pt-PT"/>
        </w:rPr>
        <w:t xml:space="preserve"/>
      </w:r>
      <w:r>
        <w:rPr>
          <w:b/>
          <w:bCs/>
          <w:lang w:val="pt-PT"/>
        </w:rPr>
        <w:t xml:space="preserve">apagamento, </w:t>
      </w:r>
      <w:r>
        <w:rPr>
          <w:lang w:val="pt-PT"/>
        </w:rPr>
        <w:t xml:space="preserve"/>
      </w:r>
      <w:r>
        <w:rPr>
          <w:b/>
          <w:bCs/>
          <w:lang w:val="pt-PT"/>
        </w:rPr>
        <w:t xml:space="preserve">limitação </w:t>
      </w:r>
      <w:r>
        <w:rPr>
          <w:lang w:val="pt-PT"/>
        </w:rPr>
        <w:t xml:space="preserve">e </w:t>
      </w:r>
      <w:r>
        <w:rPr>
          <w:lang w:val="pt-PT"/>
        </w:rPr>
        <w:t xml:space="preserve"/>
      </w:r>
      <w:r>
        <w:rPr>
          <w:b/>
          <w:bCs/>
          <w:lang w:val="pt-PT"/>
        </w:rPr>
        <w:t xml:space="preserve">oposição. </w:t>
      </w:r>
      <w:r>
        <w:rPr>
          <w:lang w:val="pt-PT"/>
        </w:rPr>
        <w:t xml:space="preserve">Estes </w:t>
      </w:r>
      <w:r>
        <w:rPr>
          <w:lang w:val="pt-PT"/>
        </w:rPr>
        <w:t xml:space="preserve"/>
      </w:r>
      <w:r>
        <w:rPr>
          <w:b/>
          <w:bCs/>
          <w:lang w:val="pt-PT"/>
        </w:rPr>
        <w:t xml:space="preserve">direitos são </w:t>
      </w:r>
      <w:r>
        <w:rPr>
          <w:lang w:val="pt-PT"/>
        </w:rPr>
        <w:t xml:space="preserve">exercidos junto do </w:t>
      </w:r>
      <w:r>
        <w:rPr>
          <w:lang w:val="pt-PT"/>
        </w:rPr>
        <w:t xml:space="preserve"/>
      </w:r>
      <w:r>
        <w:rPr>
          <w:b/>
          <w:bCs/>
          <w:lang w:val="pt-PT"/>
        </w:rPr>
        <w:t xml:space="preserve">empregador, que é o </w:t>
      </w:r>
      <w:r>
        <w:rPr>
          <w:lang w:val="pt-PT"/>
        </w:rPr>
        <w:t xml:space="preserve">responsável pelo tratamento. A ferramenta disponibiliza os meios técnicos que permitem ao empregador dar-lhes seguimento (pesquisa, exportação, eliminação e retificação das informações introduzidas).</w:t>
      </w:r>
    </w:p>
    <w:bookmarkEnd w:id="28"/>
    <w:bookmarkStart w:id="29" w:name="X5c4e7e7925b460e7f88ec7a8148b3f28d7c6688"/>
    <w:p>
      <w:pPr>
        <w:pStyle w:val="Heading3"/>
        <w:keepNext/>
        <w:keepLines/>
      </w:pPr>
      <w:r>
        <w:rPr>
          <w:color w:val="000000"/>
          <w:lang w:val="pt-PT"/>
        </w:rPr>
        <w:t xml:space="preserve">3.4 Períodos de armazenamento</w:t>
      </w:r>
    </w:p>
    <w:p>
      <w:pPr>
        <w:pStyle w:val="FirstParagraph"/>
      </w:pPr>
      <w:r>
        <w:rPr>
          <w:lang w:val="pt-PT"/>
        </w:rPr>
        <w:t xml:space="preserve">Os períodos de retenção de gravações, transcrições e documentos podem ser configurados </w:t>
      </w:r>
      <w:r>
        <w:rPr>
          <w:lang w:val="pt-PT"/>
        </w:rPr>
        <w:t xml:space="preserve"/>
      </w:r>
      <w:r>
        <w:rPr>
          <w:b/>
          <w:bCs/>
          <w:lang w:val="pt-PT"/>
        </w:rPr>
        <w:t xml:space="preserve">pela organização. É o </w:t>
      </w:r>
      <w:r>
        <w:rPr>
          <w:lang w:val="pt-PT"/>
        </w:rPr>
        <w:t xml:space="preserve">empregador quem os define, de acordo com as suas necessidades e a regulamentação. O CSE poderá solicitar informações sobre as durações escolhidas.</w:t>
      </w:r>
    </w:p>
    <w:bookmarkEnd w:id="29"/>
    <w:bookmarkStart w:id="30" w:name="Xf409ee1c4abafc8b8fee6413ca8104956d9a949"/>
    <w:p>
      <w:pPr>
        <w:pStyle w:val="Heading3"/>
        <w:keepNext/>
        <w:keepLines/>
      </w:pPr>
      <w:r>
        <w:rPr>
          <w:color w:val="000000"/>
          <w:lang w:val="pt-PT"/>
        </w:rPr>
        <w:t xml:space="preserve">3.5 Reconhecimento de palestrante: o que você precisa entender</w:t>
      </w:r>
    </w:p>
    <w:p>
      <w:pPr>
        <w:pStyle w:val="FirstParagraph"/>
      </w:pPr>
      <w:r>
        <w:rPr>
          <w:lang w:val="pt-PT"/>
        </w:rPr>
        <w:t xml:space="preserve">Este é um ponto que muitas vezes é fonte de preocupação; aqui está a realidade técnica, apresentada honestamente.</w:t>
      </w:r>
    </w:p>
    <w:p>
      <w:pPr>
        <w:numPr>
          <w:ilvl w:val="0"/>
          <w:numId w:val="1006"/>
        </w:numPr>
      </w:pPr>
      <w:r>
        <w:rPr>
          <w:b/>
          <w:bCs/>
          <w:lang w:val="pt-PT"/>
        </w:rPr>
        <w:t xml:space="preserve">Distinção de locutores (diarização): a </w:t>
      </w:r>
      <w:r>
        <w:rPr>
          <w:lang w:val="pt-PT"/>
        </w:rPr>
        <w:t xml:space="preserve"/>
      </w:r>
      <w:r>
        <w:rPr>
          <w:lang w:val="pt-PT"/>
        </w:rPr>
        <w:t xml:space="preserve">ferramenta separa os excertos sob etiquetas como «Locutor 1», «Locutor 2». </w:t>
      </w:r>
      <w:r>
        <w:rPr>
          <w:lang w:val="pt-PT"/>
        </w:rPr>
        <w:t xml:space="preserve"/>
      </w:r>
      <w:r>
        <w:rPr>
          <w:b/>
          <w:bCs/>
          <w:lang w:val="pt-PT"/>
        </w:rPr>
        <w:t xml:space="preserve">Estas etiquetas continuam </w:t>
      </w:r>
      <w:r>
        <w:rPr>
          <w:lang w:val="pt-PT"/>
        </w:rPr>
        <w:t xml:space="preserve"/>
      </w:r>
      <w:r>
        <w:rPr>
          <w:lang w:val="pt-PT"/>
        </w:rPr>
        <w:t xml:space="preserve">a ser dados pessoais quando um participante é identificável através do áudio ou do contexto. A ausência de conservação </w:t>
      </w:r>
      <w:r>
        <w:rPr>
          <w:lang w:val="pt-PT"/>
        </w:rPr>
        <w:t xml:space="preserve"/>
      </w:r>
      <w:r>
        <w:rPr>
          <w:b/>
          <w:bCs/>
          <w:lang w:val="pt-PT"/>
        </w:rPr>
        <w:t xml:space="preserve">de uma impressão </w:t>
      </w:r>
      <w:r>
        <w:rPr>
          <w:lang w:val="pt-PT"/>
        </w:rPr>
        <w:t xml:space="preserve">vocal é uma garantia de minimização, mas não basta para excluir a qualificação </w:t>
      </w:r>
      <w:r>
        <w:rPr>
          <w:lang w:val="pt-PT"/>
        </w:rPr>
        <w:t xml:space="preserve"/>
      </w:r>
      <w:r>
        <w:rPr>
          <w:b/>
          <w:bCs/>
          <w:lang w:val="pt-PT"/>
        </w:rPr>
        <w:t xml:space="preserve">biométrica. Esta depende </w:t>
      </w:r>
      <w:r>
        <w:rPr>
          <w:lang w:val="pt-PT"/>
        </w:rPr>
        <w:t xml:space="preserve"/>
      </w:r>
      <w:r>
        <w:rPr>
          <w:lang w:val="pt-PT"/>
        </w:rPr>
        <w:t xml:space="preserve">dos meios técnicos e da finalidade de identificação inequívoca. Um utilizador pode depois atribuir um nome às etiquetas.</w:t>
      </w:r>
    </w:p>
    <w:p>
      <w:pPr>
        <w:numPr>
          <w:ilvl w:val="0"/>
          <w:numId w:val="1006"/>
        </w:numPr>
      </w:pPr>
      <w:r>
        <w:rPr>
          <w:b/>
          <w:bCs/>
          <w:lang w:val="pt-PT"/>
        </w:rPr>
        <w:t xml:space="preserve">Correlação vocal (funcionalidade opcional): a </w:t>
      </w:r>
      <w:r>
        <w:rPr>
          <w:lang w:val="pt-PT"/>
        </w:rPr>
        <w:t xml:space="preserve"/>
      </w:r>
      <w:r>
        <w:rPr>
          <w:lang w:val="pt-PT"/>
        </w:rPr>
        <w:t xml:space="preserve">ferramenta pode comparar características vocais entre reuniões para sugerir associações com nomes, com validação </w:t>
      </w:r>
      <w:r>
        <w:rPr>
          <w:lang w:val="pt-PT"/>
        </w:rPr>
        <w:t xml:space="preserve"/>
      </w:r>
      <w:r>
        <w:rPr>
          <w:b/>
          <w:bCs/>
          <w:lang w:val="pt-PT"/>
        </w:rPr>
        <w:t xml:space="preserve">humana. Esta </w:t>
      </w:r>
      <w:r>
        <w:rPr>
          <w:lang w:val="pt-PT"/>
        </w:rPr>
        <w:t xml:space="preserve"/>
      </w:r>
      <w:r>
        <w:rPr>
          <w:lang w:val="pt-PT"/>
        </w:rPr>
        <w:t xml:space="preserve">funcionalidade está desativada por defeito. </w:t>
      </w:r>
      <w:r>
        <w:rPr>
          <w:lang w:val="pt-PT"/>
        </w:rPr>
        <w:t xml:space="preserve"/>
      </w:r>
      <w:r>
        <w:rPr>
          <w:b/>
          <w:bCs/>
          <w:lang w:val="pt-PT"/>
        </w:rPr>
        <w:t xml:space="preserve">Antes da ativação, o </w:t>
      </w:r>
      <w:r>
        <w:rPr>
          <w:lang w:val="pt-PT"/>
        </w:rPr>
        <w:t xml:space="preserve">empregador deve estabelecer a sua necessidade, o seu fundamento de licitude, uma condição aplicável do artigo 9.º quando se vise a identificação inequívoca e os requisitos nacionais relativos </w:t>
      </w:r>
      <w:r>
        <w:rPr>
          <w:lang w:val="pt-PT"/>
        </w:rPr>
        <w:t xml:space="preserve">ao </w:t>
      </w:r>
      <w:r>
        <w:rPr>
          <w:b/>
          <w:bCs/>
          <w:lang w:val="pt-PT"/>
        </w:rPr>
        <w:t xml:space="preserve">trabalho e à </w:t>
      </w:r>
      <w:r>
        <w:rPr>
          <w:lang w:val="pt-PT"/>
        </w:rPr>
        <w:t xml:space="preserve"/>
      </w:r>
      <w:r>
        <w:rPr>
          <w:lang w:val="pt-PT"/>
        </w:rPr>
        <w:t xml:space="preserve">biometria. A AIPD e o aditamento contratual específicos são obrigatórios, mas não autorizam, por si só, o tratamento. As representações temporárias são eliminadas após o processamento, segundo o âmbito técnico documentado.</w:t>
      </w:r>
    </w:p>
    <w:p>
      <w:pPr>
        <w:pStyle w:val="FirstParagraph"/>
      </w:pPr>
      <w:r>
        <w:rPr>
          <w:lang w:val="pt-PT"/>
        </w:rPr>
        <w:t xml:space="preserve">A editora compromete-se </w:t>
      </w:r>
      <w:r>
        <w:rPr>
          <w:lang w:val="pt-PT"/>
        </w:rPr>
        <w:t xml:space="preserve"/>
      </w:r>
      <w:r>
        <w:rPr>
          <w:b/>
          <w:bCs/>
          <w:lang w:val="pt-PT"/>
        </w:rPr>
        <w:t xml:space="preserve">a nunca introduzir o reconhecimento automático de voz permanente </w:t>
      </w:r>
      <w:r>
        <w:rPr>
          <w:lang w:val="pt-PT"/>
        </w:rPr>
        <w:t xml:space="preserve"/>
      </w:r>
      <w:r>
        <w:rPr>
          <w:lang w:val="pt-PT"/>
        </w:rPr>
        <w:t xml:space="preserve">(criação de uma base de dados de impressões vocais) sem uma atualização contratual explícita e aceite antecipadamente pela organização, com pelo menos 60 dias de antecedência.</w:t>
      </w:r>
    </w:p>
    <w:p>
      <w:r>
        <w:pict>
          <v:rect style="width:0;height:1.5pt" o:hralign="center" o:hrstd="t" o:hr="t"/>
        </w:pict>
      </w:r>
    </w:p>
    <w:bookmarkEnd w:id="30"/>
    <w:bookmarkEnd w:id="31"/>
    <w:bookmarkStart w:id="32" w:name="X2960f3bcb66a9173a56539de7d9ebf476a2cd0c"/>
    <w:p>
      <w:pPr>
        <w:pStyle w:val="Heading2"/>
        <w:keepNext/>
        <w:keepLines/>
      </w:pPr>
      <w:r>
        <w:rPr>
          <w:color w:val="000000"/>
          <w:lang w:val="pt-PT"/>
        </w:rPr>
        <w:t xml:space="preserve">4. Condições de segurança (resumo acessível)</w:t>
      </w:r>
    </w:p>
    <w:p>
      <w:pPr>
        <w:pStyle w:val="FirstParagraph"/>
      </w:pPr>
      <w:r>
        <w:rPr>
          <w:lang w:val="pt-PT"/>
        </w:rPr>
        <w:t xml:space="preserve">Sem entrar em detalhes técnicos, aqui estão as principais garantias de segurança que envolvem a ferramenta:</w:t>
      </w:r>
    </w:p>
    <w:p>
      <w:pPr>
        <w:pStyle w:val="Compact"/>
        <w:numPr>
          <w:ilvl w:val="0"/>
          <w:numId w:val="1007"/>
        </w:numPr>
      </w:pPr>
      <w:r>
        <w:rPr>
          <w:b/>
          <w:bCs/>
          <w:lang w:val="pt-PT"/>
        </w:rPr>
        <w:t xml:space="preserve">Alojamento em França ou em casa: </w:t>
      </w:r>
      <w:r>
        <w:rPr>
          <w:lang w:val="pt-PT"/>
        </w:rPr>
        <w:t xml:space="preserve"/>
      </w:r>
      <w:r>
        <w:rPr>
          <w:lang w:val="pt-PT"/>
        </w:rPr>
        <w:t xml:space="preserve">em modo de serviço, os dados são alojados num servidor localizado em França, com backups mantidos na União Europeia. Uma variante “on-premises” permite que tudo seja hospedado na infraestrutura da sua organização, sem dependência de um serviço externo.</w:t>
      </w:r>
    </w:p>
    <w:p>
      <w:pPr>
        <w:pStyle w:val="Compact"/>
        <w:numPr>
          <w:ilvl w:val="0"/>
          <w:numId w:val="1007"/>
        </w:numPr>
      </w:pPr>
      <w:r>
        <w:rPr>
          <w:b/>
          <w:bCs/>
          <w:lang w:val="pt-PT"/>
        </w:rPr>
        <w:t xml:space="preserve">Cifragem: </w:t>
      </w:r>
      <w:r>
        <w:rPr>
          <w:lang w:val="pt-PT"/>
        </w:rPr>
        <w:t xml:space="preserve"/>
      </w:r>
      <w:r>
        <w:rPr>
          <w:lang w:val="pt-PT"/>
        </w:rPr>
        <w:t xml:space="preserve">as trocas são cifradas (protocolo HTTPS) e os backups são cifrados antes de serem terceirizados.</w:t>
      </w:r>
    </w:p>
    <w:p>
      <w:pPr>
        <w:pStyle w:val="Compact"/>
        <w:numPr>
          <w:ilvl w:val="0"/>
          <w:numId w:val="1007"/>
        </w:numPr>
      </w:pPr>
      <w:r>
        <w:rPr>
          <w:b/>
          <w:bCs/>
          <w:lang w:val="pt-PT"/>
        </w:rPr>
        <w:t xml:space="preserve">Controlo de </w:t>
      </w:r>
      <w:r>
        <w:rPr>
          <w:lang w:val="pt-PT"/>
        </w:rPr>
        <w:t xml:space="preserve">acesso: </w:t>
      </w:r>
      <w:r>
        <w:rPr>
          <w:lang w:val="pt-PT"/>
        </w:rPr>
        <w:t xml:space="preserve">cada utilizador tem uma função e direitos limitados ao que lhe é necessário; autenticação aprimorada (fator duplo) pode ser necessária; Transações confidenciais requerem confirmação adicional.</w:t>
      </w:r>
    </w:p>
    <w:p>
      <w:pPr>
        <w:pStyle w:val="Compact"/>
        <w:numPr>
          <w:ilvl w:val="0"/>
          <w:numId w:val="1007"/>
        </w:numPr>
      </w:pPr>
      <w:r>
        <w:rPr>
          <w:b/>
          <w:bCs/>
          <w:lang w:val="pt-PT"/>
        </w:rPr>
        <w:t xml:space="preserve">Registo: são </w:t>
      </w:r>
      <w:r>
        <w:rPr>
          <w:lang w:val="pt-PT"/>
        </w:rPr>
        <w:t xml:space="preserve"/>
      </w:r>
      <w:r>
        <w:rPr>
          <w:lang w:val="pt-PT"/>
        </w:rPr>
        <w:t xml:space="preserve">rastreadas ações importantes (conexões, criações, modificações, exclusões, exportações), o que permite saber quem fez o quê e detectar possíveis abusos.</w:t>
      </w:r>
    </w:p>
    <w:p>
      <w:pPr>
        <w:pStyle w:val="Compact"/>
        <w:numPr>
          <w:ilvl w:val="0"/>
          <w:numId w:val="1007"/>
        </w:numPr>
      </w:pPr>
      <w:r>
        <w:rPr>
          <w:b/>
          <w:bCs/>
          <w:lang w:val="pt-PT"/>
        </w:rPr>
        <w:t xml:space="preserve">Controlo antivírus </w:t>
      </w:r>
      <w:r>
        <w:rPr>
          <w:lang w:val="pt-PT"/>
        </w:rPr>
        <w:t xml:space="preserve"/>
      </w:r>
      <w:r>
        <w:rPr>
          <w:lang w:val="pt-PT"/>
        </w:rPr>
        <w:t xml:space="preserve">de ficheiros enviados </w:t>
      </w:r>
      <w:r>
        <w:rPr>
          <w:lang w:val="pt-PT"/>
        </w:rPr>
        <w:t xml:space="preserve"/>
      </w:r>
      <w:r>
        <w:rPr>
          <w:b/>
          <w:bCs/>
          <w:lang w:val="pt-PT"/>
        </w:rPr>
        <w:t xml:space="preserve">e isolamento </w:t>
      </w:r>
      <w:r>
        <w:rPr>
          <w:lang w:val="pt-PT"/>
        </w:rPr>
        <w:t xml:space="preserve"/>
      </w:r>
      <w:r>
        <w:rPr>
          <w:lang w:val="pt-PT"/>
        </w:rPr>
        <w:t xml:space="preserve">de dados entre organizações clientes.</w:t>
      </w:r>
    </w:p>
    <w:p>
      <w:pPr>
        <w:pStyle w:val="FirstParagraph"/>
      </w:pPr>
      <w:r>
        <w:rPr>
          <w:lang w:val="pt-PT"/>
        </w:rPr>
        <w:t xml:space="preserve">Em caso de violação de dados pessoais, a OHADJA informa o empregador sem demora injustificada. Este avalia a notificação à autoridade de controlo competente, sempre que possível nas 72 horas após ter conhecimento, quando exigida, e a comunicação aos titulares dos dados em caso de risco elevado, nos termos dos artigos 33.º e 34.º. A CNIL é a autoridade francesa; a autoridade aplicável não depende do idioma deste documento.</w:t>
      </w:r>
    </w:p>
    <w:p>
      <w:r>
        <w:pict>
          <v:rect style="width:0;height:1.5pt" o:hralign="center" o:hrstd="t" o:hr="t"/>
        </w:pict>
      </w:r>
    </w:p>
    <w:bookmarkEnd w:id="32"/>
    <w:bookmarkStart w:id="33" w:name="X46726e04b9f9ea124d1c8bda7af71372285c7d6"/>
    <w:p>
      <w:pPr>
        <w:pStyle w:val="Heading2"/>
        <w:keepNext/>
        <w:keepLines/>
      </w:pPr>
      <w:r>
        <w:rPr>
          <w:color w:val="000000"/>
          <w:lang w:val="pt-PT"/>
        </w:rPr>
        <w:t xml:space="preserve">5. Pontos de vigilância recomendados ao CSE e boas práticas</w:t>
      </w:r>
    </w:p>
    <w:p>
      <w:pPr>
        <w:pStyle w:val="FirstParagraph"/>
      </w:pPr>
      <w:r>
        <w:rPr>
          <w:lang w:val="pt-PT"/>
        </w:rPr>
        <w:t xml:space="preserve">O CSE pode concentrar a sua atenção nos seguintes pontos, relacionados com a implementação pelo empregador:</w:t>
      </w:r>
    </w:p>
    <w:p>
      <w:pPr>
        <w:pStyle w:val="Compact"/>
        <w:numPr>
          <w:ilvl w:val="0"/>
          <w:numId w:val="1008"/>
        </w:numPr>
      </w:pPr>
      <w:r>
        <w:rPr>
          <w:b/>
          <w:bCs/>
          <w:lang w:val="pt-PT"/>
        </w:rPr>
        <w:t xml:space="preserve">Carta de </w:t>
      </w:r>
      <w:r>
        <w:rPr>
          <w:lang w:val="pt-PT"/>
        </w:rPr>
        <w:t xml:space="preserve"/>
      </w:r>
      <w:r>
        <w:rPr>
          <w:lang w:val="pt-PT"/>
        </w:rPr>
        <w:t xml:space="preserve">utilização: recomendar o estabelecimento de uma carta que rege o uso da ferramenta (quais reuniões, com que finalidade, quem acessa os relatórios, prazos de retenção).</w:t>
      </w:r>
    </w:p>
    <w:p>
      <w:pPr>
        <w:pStyle w:val="Compact"/>
        <w:numPr>
          <w:ilvl w:val="0"/>
          <w:numId w:val="1008"/>
        </w:numPr>
      </w:pPr>
      <w:r>
        <w:rPr>
          <w:b/>
          <w:bCs/>
          <w:lang w:val="pt-PT"/>
        </w:rPr>
        <w:t xml:space="preserve">Informação prévia dos participantes: </w:t>
      </w:r>
      <w:r>
        <w:rPr>
          <w:lang w:val="pt-PT"/>
        </w:rPr>
        <w:t xml:space="preserve"/>
      </w:r>
      <w:r>
        <w:rPr>
          <w:lang w:val="pt-PT"/>
        </w:rPr>
        <w:t xml:space="preserve">garantir que qualquer pessoa cadastrada seja claramente informada com antecedência sobre a inscrição e seu processamento pela ferramenta.</w:t>
      </w:r>
    </w:p>
    <w:p>
      <w:pPr>
        <w:pStyle w:val="Compact"/>
        <w:numPr>
          <w:ilvl w:val="0"/>
          <w:numId w:val="1008"/>
        </w:numPr>
      </w:pPr>
      <w:r>
        <w:rPr>
          <w:b/>
          <w:bCs/>
          <w:lang w:val="pt-PT"/>
        </w:rPr>
        <w:t xml:space="preserve">Finalidade limitada: </w:t>
      </w:r>
      <w:r>
        <w:rPr>
          <w:lang w:val="pt-PT"/>
        </w:rPr>
        <w:t xml:space="preserve"/>
      </w:r>
      <w:r>
        <w:rPr>
          <w:lang w:val="pt-PT"/>
        </w:rPr>
        <w:t xml:space="preserve">garantir que a ferramenta seja utilizada para elaboração de relatórios e não para monitorização ou avaliação de colaboradores.</w:t>
      </w:r>
    </w:p>
    <w:p>
      <w:pPr>
        <w:pStyle w:val="Compact"/>
        <w:numPr>
          <w:ilvl w:val="0"/>
          <w:numId w:val="1008"/>
        </w:numPr>
      </w:pPr>
      <w:r>
        <w:rPr>
          <w:b/>
          <w:bCs/>
          <w:lang w:val="pt-PT"/>
        </w:rPr>
        <w:t xml:space="preserve">Caso de visitantes externos: </w:t>
      </w:r>
      <w:r>
        <w:rPr>
          <w:lang w:val="pt-PT"/>
        </w:rPr>
        <w:t xml:space="preserve"/>
      </w:r>
      <w:r>
        <w:rPr>
          <w:lang w:val="pt-PT"/>
        </w:rPr>
        <w:t xml:space="preserve">preste especial atenção às pessoas externas presentes na reunião (palestrantes, prestadores de serviço, utilizadores), que também devem ser informadas.</w:t>
      </w:r>
    </w:p>
    <w:p>
      <w:pPr>
        <w:pStyle w:val="Compact"/>
        <w:numPr>
          <w:ilvl w:val="0"/>
          <w:numId w:val="1008"/>
        </w:numPr>
      </w:pPr>
      <w:r>
        <w:rPr>
          <w:b/>
          <w:bCs/>
          <w:lang w:val="pt-PT"/>
        </w:rPr>
        <w:t xml:space="preserve">Reuniões sensíveis: </w:t>
      </w:r>
      <w:r>
        <w:rPr>
          <w:lang w:val="pt-PT"/>
        </w:rPr>
        <w:t xml:space="preserve"/>
      </w:r>
      <w:r>
        <w:rPr>
          <w:lang w:val="pt-PT"/>
        </w:rPr>
        <w:t xml:space="preserve">considerar excluir determinadas reuniões (representação de funcionários, situações individuais, assuntos confidenciais) do âmbito da ferramenta.</w:t>
      </w:r>
    </w:p>
    <w:p>
      <w:pPr>
        <w:pStyle w:val="Compact"/>
        <w:numPr>
          <w:ilvl w:val="0"/>
          <w:numId w:val="1008"/>
        </w:numPr>
      </w:pPr>
      <w:r>
        <w:rPr>
          <w:b/>
          <w:bCs/>
          <w:lang w:val="pt-PT"/>
        </w:rPr>
        <w:t xml:space="preserve">Direitos dos indivíduos: </w:t>
      </w:r>
      <w:r>
        <w:rPr>
          <w:lang w:val="pt-PT"/>
        </w:rPr>
        <w:t xml:space="preserve"/>
      </w:r>
      <w:r>
        <w:rPr>
          <w:lang w:val="pt-PT"/>
        </w:rPr>
        <w:t xml:space="preserve">garantir que os métodos de exercício dos direitos (acesso, retificação, apagamento) sejam conhecidos e eficazes.</w:t>
      </w:r>
    </w:p>
    <w:p>
      <w:pPr>
        <w:pStyle w:val="Compact"/>
        <w:numPr>
          <w:ilvl w:val="0"/>
          <w:numId w:val="1008"/>
        </w:numPr>
      </w:pPr>
      <w:r>
        <w:rPr>
          <w:b/>
          <w:bCs/>
          <w:lang w:val="pt-PT"/>
        </w:rPr>
        <w:t xml:space="preserve">Prazo de conservação: </w:t>
      </w:r>
      <w:r>
        <w:rPr>
          <w:lang w:val="pt-PT"/>
        </w:rPr>
        <w:t xml:space="preserve"/>
      </w:r>
      <w:r>
        <w:rPr>
          <w:lang w:val="pt-PT"/>
        </w:rPr>
        <w:t xml:space="preserve">solicite os prazos escolhidos e verifique se são proporcionais.</w:t>
      </w:r>
    </w:p>
    <w:p>
      <w:r>
        <w:pict>
          <v:rect style="width:0;height:1.5pt" o:hralign="center" o:hrstd="t" o:hr="t"/>
        </w:pict>
      </w:r>
    </w:p>
    <w:bookmarkEnd w:id="33"/>
    <w:bookmarkStart w:id="34" w:name="X21114ae48a14abb8819e22d9cc36ae6b4859b22"/>
    <w:p>
      <w:pPr>
        <w:pStyle w:val="Heading2"/>
        <w:keepNext/>
        <w:keepLines/>
      </w:pPr>
      <w:r>
        <w:rPr>
          <w:color w:val="000000"/>
          <w:lang w:val="pt-PT"/>
        </w:rPr>
        <w:t xml:space="preserve">6. Perguntas frequentes (FAQ)</w:t>
      </w:r>
    </w:p>
    <w:p>
      <w:pPr>
        <w:pStyle w:val="FirstParagraph"/>
      </w:pPr>
      <w:r>
        <w:rPr>
          <w:b/>
          <w:bCs/>
          <w:lang w:val="pt-PT"/>
        </w:rPr>
        <w:t xml:space="preserve">1. Minha voz é armazenada permanentemente? </w:t>
      </w:r>
      <w:r>
        <w:rPr>
          <w:lang w:val="pt-PT"/>
        </w:rPr>
        <w:t xml:space="preserve"/>
      </w:r>
      <w:r>
        <w:rPr>
          <w:lang w:val="pt-PT"/>
        </w:rPr>
        <w:t xml:space="preserve">A transcrição funciona no ficheiro de áudio da reunião, guardado pelo tempo determinado pelo empregador. Por outro lado, a ferramenta não constitui uma “impressão de voz” permanente: os cálculos utilizados para distinguir os falantes são temporários e apagados ao final do processamento.</w:t>
      </w:r>
    </w:p>
    <w:p>
      <w:pPr>
        <w:pStyle w:val="BodyText"/>
      </w:pPr>
      <w:r>
        <w:rPr>
          <w:b/>
          <w:bCs/>
          <w:lang w:val="pt-PT"/>
        </w:rPr>
        <w:t xml:space="preserve">2. Posso ser identificado automaticamente pela minha voz? A correlação </w:t>
      </w:r>
      <w:r>
        <w:rPr>
          <w:lang w:val="pt-PT"/>
        </w:rPr>
        <w:t xml:space="preserve"/>
      </w:r>
      <w:r>
        <w:rPr>
          <w:lang w:val="pt-PT"/>
        </w:rPr>
        <w:t xml:space="preserve">vocal está desativada por predefinição. A diarização utiliza etiquetas neutras («Interveniente 1, 2, 3»), que não garantem o anonimato quando a pessoa é identificável na gravação. Uma pessoa pode atribuir os nomes. A comparação vocal opcional apenas produz sugestões sujeitas a validação e exige uma análise prévia de licitude, incluindo os artigos 6.º e 9.º quando esteja em causa identificação biométrica.</w:t>
      </w:r>
    </w:p>
    <w:p>
      <w:pPr>
        <w:pStyle w:val="BodyText"/>
      </w:pPr>
      <w:r>
        <w:rPr>
          <w:b/>
          <w:bCs/>
          <w:lang w:val="pt-PT"/>
        </w:rPr>
        <w:t xml:space="preserve">3. O meu responsável pode avaliar as minhas intervenções através da ferramenta? O produto </w:t>
      </w:r>
      <w:r>
        <w:rPr>
          <w:lang w:val="pt-PT"/>
        </w:rPr>
        <w:t xml:space="preserve">é </w:t>
      </w:r>
      <w:r>
        <w:rPr>
          <w:lang w:val="pt-PT"/>
        </w:rPr>
        <w:t xml:space="preserve">apresentado como apoio à redação, não para avaliação individual. Uma gravação ou transcrição pode, no entanto, permitir um acompanhamento; o empregador deve prevenir desvios de finalidade. Qualquer projeto de acompanhamento exige uma análise jurídica distinta e o respeito pelos direitos dos representantes; determinadas utilizações são proibidas pelo direito nacional, mesmo com informação ou acordo.</w:t>
      </w:r>
    </w:p>
    <w:p>
      <w:pPr>
        <w:pStyle w:val="BodyText"/>
      </w:pPr>
      <w:r>
        <w:rPr>
          <w:b/>
          <w:bCs/>
          <w:lang w:val="pt-PT"/>
        </w:rPr>
        <w:t xml:space="preserve">4. A ferramenta registra reuniões constantemente? Não. </w:t>
      </w:r>
      <w:r>
        <w:rPr>
          <w:lang w:val="pt-PT"/>
        </w:rPr>
        <w:t xml:space="preserve"/>
      </w:r>
      <w:r>
        <w:rPr>
          <w:lang w:val="pt-PT"/>
        </w:rPr>
        <w:t xml:space="preserve">Ele não captura nada sobre si mesmo. Processa apenas os ficheiros de áudio que o empregador decida confiar-lhe, para as reuniões que escolher.</w:t>
      </w:r>
    </w:p>
    <w:p>
      <w:pPr>
        <w:pStyle w:val="BodyText"/>
      </w:pPr>
      <w:r>
        <w:rPr>
          <w:b/>
          <w:bCs/>
          <w:lang w:val="pt-PT"/>
        </w:rPr>
        <w:t xml:space="preserve">5. A inteligência artificial decide alguma coisa sobre mim? </w:t>
      </w:r>
      <w:r>
        <w:rPr>
          <w:lang w:val="pt-PT"/>
        </w:rPr>
        <w:t xml:space="preserve"/>
      </w:r>
      <w:r>
        <w:rPr>
          <w:lang w:val="pt-PT"/>
        </w:rPr>
        <w:t xml:space="preserve">Não. As produções de IA (resumos, relatórios, sugestões de identificação) são propostas. Alguém os relê e valida. Nenhuma decisão automática é tomada sobre indivíduos.</w:t>
      </w:r>
    </w:p>
    <w:p>
      <w:pPr>
        <w:pStyle w:val="BodyText"/>
      </w:pPr>
      <w:r>
        <w:rPr>
          <w:b/>
          <w:bCs/>
          <w:lang w:val="pt-PT"/>
        </w:rPr>
        <w:t xml:space="preserve">6. Quem tem acesso às minhas gravações e transcrições? O </w:t>
      </w:r>
      <w:r>
        <w:rPr>
          <w:lang w:val="pt-PT"/>
        </w:rPr>
        <w:t xml:space="preserve"/>
      </w:r>
      <w:r>
        <w:rPr>
          <w:lang w:val="pt-PT"/>
        </w:rPr>
        <w:t xml:space="preserve">acesso é definido pelo empregador, com base em funções e direitos limitados. O editor da ferramenta não tem acesso ao conteúdo da reunião da sua organização como parte da operação normal.</w:t>
      </w:r>
    </w:p>
    <w:p>
      <w:pPr>
        <w:pStyle w:val="BodyText"/>
      </w:pPr>
      <w:r>
        <w:rPr>
          <w:b/>
          <w:bCs/>
          <w:lang w:val="pt-PT"/>
        </w:rPr>
        <w:t xml:space="preserve">7. Os meus dados podem ser enviados </w:t>
      </w:r>
      <w:r>
        <w:rPr>
          <w:lang w:val="pt-PT"/>
        </w:rPr>
        <w:t xml:space="preserve">para </w:t>
      </w:r>
      <w:r>
        <w:rPr>
          <w:lang w:val="pt-PT"/>
        </w:rPr>
        <w:t xml:space="preserve">o estrangeiro? A localização depende da modalidade e das opções efetivamente ativadas. O SaaS prevê alojamento em França e cópias de segurança em França/UE, mas algumas vias de recurso de IA ou recursos GPU podem implicar um tratamento fora do EEE, consoante a configuração. O empregador deve verificar o mapa de fluxos, os subcontratantes ulteriores e um mecanismo válido antes de qualquer transferência; o perfil «UE estrita» deve ser confirmado e ativado se for exigida a ausência de transferências para fora do EEE. A instalação local só exclui os fluxos externos dentro do seu âmbito isolado documentado.</w:t>
      </w:r>
    </w:p>
    <w:p>
      <w:pPr>
        <w:pStyle w:val="BodyText"/>
      </w:pPr>
      <w:r>
        <w:rPr>
          <w:b/>
          <w:bCs/>
          <w:lang w:val="pt-PT"/>
        </w:rPr>
        <w:t xml:space="preserve">8. Durante quanto tempo são conservados os meus dados? </w:t>
      </w:r>
      <w:r>
        <w:rPr>
          <w:lang w:val="pt-PT"/>
        </w:rPr>
        <w:t xml:space="preserve"/>
      </w:r>
      <w:r>
        <w:rPr>
          <w:lang w:val="pt-PT"/>
        </w:rPr>
        <w:t xml:space="preserve">As durações são configuráveis ​​e definidas pelo empregador. O CSE pode solicitar detalhes.</w:t>
      </w:r>
    </w:p>
    <w:p>
      <w:pPr>
        <w:pStyle w:val="BodyText"/>
      </w:pPr>
      <w:r>
        <w:rPr>
          <w:b/>
          <w:bCs/>
          <w:lang w:val="pt-PT"/>
        </w:rPr>
        <w:t xml:space="preserve">9. Posso solicitar o apagamento dos meus dados? </w:t>
      </w:r>
      <w:r>
        <w:rPr>
          <w:lang w:val="pt-PT"/>
        </w:rPr>
        <w:t xml:space="preserve"/>
      </w:r>
      <w:r>
        <w:rPr>
          <w:lang w:val="pt-PT"/>
        </w:rPr>
        <w:t xml:space="preserve">Sim, exercendo seus direitos junto ao empregador (responsável pelo tratamento). A ferramenta fornece os meios técnicos para pesquisar, exportar e eliminar os dados em causa e para estabelecer a prova da eliminação.</w:t>
      </w:r>
    </w:p>
    <w:p>
      <w:pPr>
        <w:pStyle w:val="BodyText"/>
      </w:pPr>
      <w:r>
        <w:rPr>
          <w:b/>
          <w:bCs/>
          <w:lang w:val="pt-PT"/>
        </w:rPr>
        <w:t xml:space="preserve">10. O que acontece em caso de fuga de dados? A OHADJA alerta o </w:t>
      </w:r>
      <w:r>
        <w:rPr>
          <w:lang w:val="pt-PT"/>
        </w:rPr>
        <w:t xml:space="preserve"/>
      </w:r>
      <w:r>
        <w:rPr>
          <w:lang w:val="pt-PT"/>
        </w:rPr>
        <w:t xml:space="preserve">empregador sem demora injustificada após ter conhecimento de uma violação. O empregador avalia as notificações legalmente exigidas à autoridade de controlo competente e, em caso de risco elevado, aos titulares dos dados. A CNIL é a autoridade francesa, não sendo automaticamente competente para todos os clientes.</w:t>
      </w:r>
    </w:p>
    <w:p>
      <w:r>
        <w:pict>
          <v:rect style="width:0;height:1.5pt" o:hralign="center" o:hrstd="t" o:hr="t"/>
        </w:pict>
      </w:r>
    </w:p>
    <w:bookmarkEnd w:id="34"/>
    <w:bookmarkStart w:id="41" w:name="annexe--aperçu-de-linterface"/>
    <w:p>
      <w:pPr>
        <w:pStyle w:val="Heading2"/>
        <w:keepNext/>
        <w:keepLines/>
      </w:pPr>
      <w:r>
        <w:rPr>
          <w:color w:val="000000"/>
          <w:lang w:val="pt-PT"/>
        </w:rPr>
        <w:t xml:space="preserve">Apêndice — Visão Geral da Interface</w:t>
      </w:r>
    </w:p>
    <w:p>
      <w:pPr>
        <w:pStyle w:val="FirstParagraph"/>
      </w:pPr>
      <w:r>
        <w:rPr>
          <w:lang w:val="pt-PT"/>
        </w:rPr>
        <w:t xml:space="preserve">As capturas abaixo vêm de uma conta demo (“Olivier Démo”) fornecida com dados de teste inócuos.</w:t>
      </w:r>
    </w:p>
    <w:p>
      <w:pPr>
        <w:pStyle w:val="BodyText"/>
        <w:keepNext/>
      </w:pPr>
      <w:r>
        <w:drawing>
          <wp:inline>
            <wp:extent cx="5334000" cy="3333750"/>
            <wp:effectExtent b="0" l="0" r="0" t="0"/>
            <wp:docPr descr="Écran de connexion de TranscribIA" title="" id="36" name="Picture"/>
            <a:graphic>
              <a:graphicData uri="http://schemas.openxmlformats.org/drawingml/2006/picture">
                <pic:pic>
                  <pic:nvPicPr>
                    <pic:cNvPr descr="img/cse-01-login.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pt-PT"/>
        </w:rPr>
        <w:t xml:space="preserve">Figura 4 — Tela de login: o acesso é pessoal e protegido por senha (pode ser necessária autenticação aprimorada de duplo fator).</w:t>
      </w:r>
    </w:p>
    <w:p>
      <w:pPr>
        <w:pStyle w:val="BodyText"/>
        <w:keepNext/>
      </w:pPr>
      <w:r>
        <w:drawing>
          <wp:inline>
            <wp:extent cx="5334000" cy="3333750"/>
            <wp:effectExtent b="0" l="0" r="0" t="0"/>
            <wp:docPr descr="Liste des séances : recherche, filtres par statut, corbeille, partage et compteur de mots" title="" id="39" name="Picture"/>
            <a:graphic>
              <a:graphicData uri="http://schemas.openxmlformats.org/drawingml/2006/picture">
                <pic:pic>
                  <pic:nvPicPr>
                    <pic:cNvPr descr="img/cse-03-sessions.png" id="40" name="Picture"/>
                    <pic:cNvPicPr>
                      <a:picLocks noChangeArrowheads="1" noChangeAspect="1"/>
                    </pic:cNvPicPr>
                  </pic:nvPicPr>
                  <pic:blipFill>
                    <a:blip r:embed="rId38"/>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pt-PT"/>
        </w:rPr>
        <w:t xml:space="preserve">Figura 5 — Lista de sessões: busca, filtros por status, lixeira e compartilhamento; apenas as reuniões que a organização decidiu processar são mostradas.</w:t>
      </w:r>
    </w:p>
    <w:p>
      <w:r>
        <w:pict>
          <v:rect style="width:0;height:1.5pt" o:hralign="center" o:hrstd="t" o:hr="t"/>
        </w:pict>
      </w:r>
    </w:p>
    <w:p>
      <w:pPr>
        <w:pStyle w:val="FirstParagraph"/>
      </w:pPr>
      <w:r>
        <w:rPr>
          <w:i/>
          <w:iCs/>
          <w:lang w:val="pt-PT"/>
        </w:rPr>
        <w:t xml:space="preserve">Este documento é um meio de informação “pronto para uso” preparado por OHADJA. Não substitui as informações que o seu empregador deve comunicar no âmbito da consulta CSE, nem um parecer jurídico. As disposições concretas de implementação cabem ao empregador, responsável pelo tratamento.</w:t>
      </w:r>
    </w:p>
    <w:bookmarkEnd w:id="41"/>
    <w:bookmarkEnd w:id="42"/>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1.1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38" Target="media/rId38.png" /><Relationship Type="http://schemas.openxmlformats.org/officeDocument/2006/relationships/image" Id="rId13" Target="media/rId13.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