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d016d8dcf8a6157758ba28e359e61c058e847f"/>
    <w:p>
      <w:pPr>
        <w:pStyle w:val="Title"/>
        <w:keepNext/>
        <w:keepLines/>
      </w:pPr>
      <w:r>
        <w:rPr>
          <w:color w:val="000000"/>
          <w:lang w:val="pt-PT"/>
        </w:rPr>
        <w:t xml:space="preserve">TranscribIA — Compêndio RGPD e proteção de dados</w:t>
      </w:r>
    </w:p>
    <w:p>
      <w:pPr>
        <w:pStyle w:val="BodyText"/>
      </w:pPr>
      <w:r>
        <w:rPr>
          <w:lang w:val="pt-PT"/>
        </w:rPr>
        <w:t xml:space="preserve">Edição localizada v1.1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p>
      <w:pPr>
        <w:pStyle w:val="FirstParagraph"/>
      </w:pPr>
      <w:r>
        <w:rPr>
          <w:b/>
          <w:bCs/>
          <w:lang w:val="pt-PT"/>
        </w:rPr>
        <w:t xml:space="preserve">Editor: OHADJA </w:t>
      </w:r>
      <w:r>
        <w:rPr>
          <w:lang w:val="pt-PT"/>
        </w:rPr>
        <w:t xml:space="preserve"/>
      </w:r>
      <w:r>
        <w:rPr>
          <w:lang w:val="pt-PT"/>
        </w:rPr>
        <w:t xml:space="preserve">- SAS, 992 146 480 RCS Paris, 60 rue François Ier, 75008 Paris · Contacto de proteção de dados: </w:t>
      </w:r>
      <w:r>
        <w:rPr>
          <w:lang w:val="pt-PT"/>
        </w:rPr>
        <w:t xml:space="preserve"/>
      </w:r>
      <w:hyperlink r:id="rId9">
        <w:r>
          <w:rPr>
            <w:rStyle w:val="Hyperlink"/>
            <w:lang w:val="pt-PT"/>
          </w:rPr>
          <w:t xml:space="preserve">privacy@transcribia.eu</w:t>
        </w:r>
      </w:hyperlink>
    </w:p>
    <w:p>
      <w:pPr>
        <w:pStyle w:val="BodyText"/>
      </w:pPr>
      <w:r>
        <w:rPr>
          <w:i/>
          <w:iCs/>
          <w:lang w:val="pt-PT"/>
        </w:rPr>
        <w:t xml:space="preserve">Versão 1.0 da coleção de 25/07/2026 — Pública. Cada capítulo também está disponível como um documento separado mediante solicitação.</w:t>
      </w:r>
    </w:p>
    <w:p>
      <w:r>
        <w:br w:type="page"/>
      </w:r>
    </w:p>
    <w:bookmarkEnd w:id="10"/>
    <w:bookmarkStart w:id="26" w:name="fiche-de-conformité-rgpd--transcribia"/>
    <w:p>
      <w:pPr>
        <w:pStyle w:val="Heading1"/>
        <w:keepNext/>
        <w:keepLines/>
      </w:pPr>
      <w:r>
        <w:rPr>
          <w:color w:val="000000"/>
          <w:lang w:val="pt-PT"/>
        </w:rPr>
        <w:t xml:space="preserve">Ficha de conformidade RGPD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TRB-CONF-01.01</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1" w:name="Xc917c513d777cae8fbc2f368313a6eca76788e1"/>
    <w:p>
      <w:pPr>
        <w:pStyle w:val="Heading2"/>
        <w:keepNext/>
        <w:keepLines/>
      </w:pPr>
      <w:r>
        <w:rPr>
          <w:color w:val="000000"/>
          <w:lang w:val="pt-PT"/>
        </w:rPr>
        <w:t xml:space="preserve">1. Objetivo e âmbito do documento</w:t>
      </w:r>
    </w:p>
    <w:p>
      <w:pPr>
        <w:pStyle w:val="FirstParagraph"/>
      </w:pPr>
      <w:r>
        <w:rPr>
          <w:lang w:val="pt-PT"/>
        </w:rPr>
        <w:t xml:space="preserve">Esta ficha descreve como a solução TranscribIA, publicada e operada por OHADJA, foi projetada para permitir que sua organização utilize um serviço inteligente de transcrição de áudio em conformidade com o Regulamento (UE) 2016/679 (doravante “RGPD”) e a Lei nº 78-17 de 6 de janeiro de 1978 modificada.</w:t>
      </w:r>
    </w:p>
    <w:p>
      <w:pPr>
        <w:pStyle w:val="BodyText"/>
      </w:pPr>
      <w:r>
        <w:rPr>
          <w:lang w:val="pt-PT"/>
        </w:rPr>
        <w:t xml:space="preserve">Resume, para uso dos seus departamentos de negócios, departamento de TI, CISO e sua pessoa de contacto para proteção de dados, os elementos de conformidade úteis para a análise antes da contratualização: papéis das partes, dados processados, bases legais, exercício de direitos individuais, medidas de segurança, uso de subcontratantes ulteriores, localização de dados e gestão de violações.</w:t>
      </w:r>
    </w:p>
    <w:p>
      <w:pPr>
        <w:pStyle w:val="BodyText"/>
      </w:pPr>
      <w:r>
        <w:rPr>
          <w:lang w:val="pt-PT"/>
        </w:rPr>
        <w:t xml:space="preserve">Não substitui documentos contratuais. Os compromissos legalmente exigíveis constam do Acordo de subcontratação de dados na aceção do artigo 28 do RGPD (doravante o “DPA”), reproduzido no documento TRB-CONF-01.02, cujos anexos são autênticos para a descrição detalhada do processamento, a lista de subcontratantes ulteriores e as medidas técnicas e organizacionais.</w:t>
      </w:r>
    </w:p>
    <w:bookmarkEnd w:id="11"/>
    <w:bookmarkStart w:id="12" w:name="X7385a4187a8980a6e5daf7ab4330baa13b2ad55"/>
    <w:p>
      <w:pPr>
        <w:pStyle w:val="Heading2"/>
        <w:keepNext/>
        <w:keepLines/>
      </w:pPr>
      <w:r>
        <w:rPr>
          <w:color w:val="000000"/>
          <w:lang w:val="pt-PT"/>
        </w:rPr>
        <w:t xml:space="preserve">2. Identidade de subcontratante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Denominação</w:t>
            </w:r>
          </w:p>
        </w:tc>
        <w:tc>
          <w:tcPr/>
          <w:p>
            <w:pPr>
              <w:pStyle w:val="Compact"/>
            </w:pPr>
            <w:r>
              <w:rPr>
                <w:lang w:val="pt-PT"/>
              </w:rPr>
              <w:t xml:space="preserve">OHADJA</w:t>
            </w:r>
          </w:p>
        </w:tc>
      </w:tr>
      <w:tr>
        <w:trPr>
          <w:cantSplit/>
        </w:trPr>
        <w:tc>
          <w:tcPr/>
          <w:p>
            <w:pPr>
              <w:pStyle w:val="Compact"/>
            </w:pPr>
            <w:r>
              <w:rPr>
                <w:lang w:val="pt-PT"/>
              </w:rPr>
              <w:t xml:space="preserve">Forma jurídica</w:t>
            </w:r>
          </w:p>
        </w:tc>
        <w:tc>
          <w:tcPr/>
          <w:p>
            <w:pPr>
              <w:pStyle w:val="Compact"/>
            </w:pPr>
            <w:r>
              <w:rPr>
                <w:lang w:val="pt-PT"/>
              </w:rPr>
              <w:t xml:space="preserve">Société par actions simplifiée (SAS), forma jurídica francesa</w:t>
            </w:r>
          </w:p>
        </w:tc>
      </w:tr>
      <w:tr>
        <w:trPr>
          <w:cantSplit/>
        </w:trPr>
        <w:tc>
          <w:tcPr/>
          <w:p>
            <w:pPr>
              <w:pStyle w:val="Compact"/>
            </w:pPr>
            <w:r>
              <w:rPr>
                <w:lang w:val="pt-PT"/>
              </w:rPr>
              <w:t xml:space="preserve">Número de IVA intracomunitário</w:t>
            </w:r>
          </w:p>
        </w:tc>
        <w:tc>
          <w:tcPr/>
          <w:p>
            <w:pPr>
              <w:pStyle w:val="Compact"/>
            </w:pPr>
            <w:r>
              <w:rPr>
                <w:lang w:val="pt-PT"/>
              </w:rPr>
              <w:t xml:space="preserve">FR78992146480</w:t>
            </w:r>
          </w:p>
        </w:tc>
      </w:tr>
      <w:tr>
        <w:trPr>
          <w:cantSplit/>
        </w:trPr>
        <w:tc>
          <w:tcPr/>
          <w:p>
            <w:pPr>
              <w:pStyle w:val="Compact"/>
            </w:pPr>
            <w:r>
              <w:rPr>
                <w:lang w:val="pt-PT"/>
              </w:rPr>
              <w:t xml:space="preserve">Cadastro</w:t>
            </w:r>
          </w:p>
        </w:tc>
        <w:tc>
          <w:tcPr/>
          <w:p>
            <w:pPr>
              <w:pStyle w:val="Compact"/>
            </w:pPr>
            <w:r>
              <w:rPr>
                <w:lang w:val="pt-PT"/>
              </w:rPr>
              <w:t xml:space="preserve">992 146 480 R.C.S. Paris — SIRET da sede: 992 146 480 00015</w:t>
            </w:r>
          </w:p>
        </w:tc>
      </w:tr>
      <w:tr>
        <w:trPr>
          <w:cantSplit/>
        </w:trPr>
        <w:tc>
          <w:tcPr/>
          <w:p>
            <w:pPr>
              <w:pStyle w:val="Compact"/>
            </w:pPr>
            <w:r>
              <w:rPr>
                <w:lang w:val="pt-PT"/>
              </w:rPr>
              <w:t xml:space="preserve">Sede</w:t>
            </w:r>
          </w:p>
        </w:tc>
        <w:tc>
          <w:tcPr/>
          <w:p>
            <w:pPr>
              <w:pStyle w:val="Compact"/>
            </w:pPr>
            <w:r>
              <w:rPr>
                <w:lang w:val="pt-PT"/>
              </w:rPr>
              <w:t xml:space="preserve">60 rue François 1er, 75008 Paris, França</w:t>
            </w:r>
          </w:p>
        </w:tc>
      </w:tr>
      <w:tr>
        <w:trPr>
          <w:cantSplit/>
        </w:trPr>
        <w:tc>
          <w:tcPr/>
          <w:p>
            <w:pPr>
              <w:pStyle w:val="Compact"/>
            </w:pPr>
            <w:r>
              <w:rPr>
                <w:lang w:val="pt-PT"/>
              </w:rPr>
              <w:t xml:space="preserve">Representante legal</w:t>
            </w:r>
          </w:p>
        </w:tc>
        <w:tc>
          <w:tcPr/>
          <w:p>
            <w:pPr>
              <w:pStyle w:val="Compact"/>
            </w:pPr>
            <w:r>
              <w:rPr>
                <w:lang w:val="pt-PT"/>
              </w:rPr>
              <w:t xml:space="preserve">Olivier Dupont, presidente</w:t>
            </w:r>
          </w:p>
        </w:tc>
      </w:tr>
      <w:tr>
        <w:trPr>
          <w:cantSplit/>
        </w:trPr>
        <w:tc>
          <w:tcPr/>
          <w:p>
            <w:pPr>
              <w:pStyle w:val="Compact"/>
            </w:pPr>
            <w:r>
              <w:rPr>
                <w:lang w:val="pt-PT"/>
              </w:rPr>
              <w:t xml:space="preserve">Função</w:t>
            </w:r>
          </w:p>
        </w:tc>
        <w:tc>
          <w:tcPr/>
          <w:p>
            <w:pPr>
              <w:pStyle w:val="Compact"/>
            </w:pPr>
            <w:r>
              <w:rPr>
                <w:lang w:val="pt-PT"/>
              </w:rPr>
              <w:t xml:space="preserve">Editor e desenvolvedor do software TranscribIA e subcontratante na aceção do artigo 28 de RGPD para operação, suporte e manutenção SaaS</w:t>
            </w:r>
          </w:p>
        </w:tc>
      </w:tr>
      <w:tr>
        <w:trPr>
          <w:cantSplit/>
        </w:trPr>
        <w:tc>
          <w:tcPr/>
          <w:p>
            <w:pPr>
              <w:pStyle w:val="Compact"/>
            </w:pPr>
            <w:r>
              <w:rPr>
                <w:lang w:val="pt-PT"/>
              </w:rPr>
              <w:t xml:space="preserve">Pessoa de contacto para proteção de dados</w:t>
            </w:r>
          </w:p>
        </w:tc>
        <w:tc>
          <w:tcPr/>
          <w:p>
            <w:pPr>
              <w:pStyle w:val="Compact"/>
            </w:pPr>
            <w:r>
              <w:rPr>
                <w:lang w:val="pt-PT"/>
              </w:rPr>
              <w:t xml:space="preserve">Olivier Dupont, presidente </w:t>
            </w:r>
            <w:r>
              <w:rPr>
                <w:lang w:val="pt-PT"/>
              </w:rPr>
              <w:t xml:space="preserve">— </w:t>
            </w:r>
            <w:hyperlink r:id="rId9">
              <w:r>
                <w:rPr>
                  <w:rStyle w:val="Hyperlink"/>
                  <w:lang w:val="pt-PT"/>
                </w:rPr>
                <w:t xml:space="preserve">privacy@transcribia.eu</w:t>
              </w:r>
            </w:hyperlink>
          </w:p>
        </w:tc>
      </w:tr>
      <w:tr>
        <w:trPr>
          <w:cantSplit/>
        </w:trPr>
        <w:tc>
          <w:tcPr/>
          <w:p>
            <w:pPr>
              <w:pStyle w:val="Compact"/>
            </w:pPr>
            <w:r>
              <w:rPr>
                <w:lang w:val="pt-PT"/>
              </w:rPr>
              <w:t xml:space="preserve">Contacto de conformidade e proteção de dados</w:t>
            </w:r>
          </w:p>
        </w:tc>
        <w:tc>
          <w:tcPr/>
          <w:p>
            <w:pPr>
              <w:pStyle w:val="Compact"/>
            </w:pPr>
            <w:hyperlink r:id="rId9">
              <w:r>
                <w:rPr>
                  <w:rStyle w:val="Hyperlink"/>
                  <w:lang w:val="pt-PT"/>
                </w:rPr>
                <w:t xml:space="preserve">privacy@transcribia.eu</w:t>
              </w:r>
            </w:hyperlink>
          </w:p>
        </w:tc>
      </w:tr>
    </w:tbl>
    <w:p>
      <w:pPr>
        <w:pStyle w:val="BodyText"/>
      </w:pPr>
      <w:r>
        <w:rPr>
          <w:b/>
          <w:bCs/>
          <w:lang w:val="pt-PT"/>
        </w:rPr>
        <w:t xml:space="preserve">Papel da AMBASSADIA </w:t>
      </w:r>
      <w:r>
        <w:rPr>
          <w:lang w:val="pt-PT"/>
        </w:rPr>
        <w:t xml:space="preserve"/>
      </w:r>
      <w:r>
        <w:rPr>
          <w:lang w:val="pt-PT"/>
        </w:rPr>
        <w:t xml:space="preserve">SARL. A AMBASSADIA SARL (SARL com um capital de 50 000 €, gerente Olivier Dupont) intervém na </w:t>
      </w:r>
      <w:r>
        <w:rPr>
          <w:lang w:val="pt-PT"/>
        </w:rPr>
        <w:t xml:space="preserve"/>
      </w:r>
      <w:r>
        <w:rPr>
          <w:b/>
          <w:bCs/>
          <w:lang w:val="pt-PT"/>
        </w:rPr>
        <w:t xml:space="preserve">qualidade de revendedor e distribuidor </w:t>
      </w:r>
      <w:r>
        <w:rPr>
          <w:lang w:val="pt-PT"/>
        </w:rPr>
        <w:t xml:space="preserve"/>
      </w:r>
      <w:r>
        <w:rPr>
          <w:lang w:val="pt-PT"/>
        </w:rPr>
        <w:t xml:space="preserve">comercial da TranscribIA (Mónaco e França). O seu papel é exclusivamente </w:t>
      </w:r>
      <w:r>
        <w:rPr>
          <w:lang w:val="pt-PT"/>
        </w:rPr>
        <w:t xml:space="preserve"/>
      </w:r>
      <w:r>
        <w:rPr>
          <w:b/>
          <w:bCs/>
          <w:lang w:val="pt-PT"/>
        </w:rPr>
        <w:t xml:space="preserve">comercial: não realiza qualquer tratamento de dados de </w:t>
      </w:r>
      <w:r>
        <w:rPr>
          <w:lang w:val="pt-PT"/>
        </w:rPr>
        <w:t xml:space="preserve"/>
      </w:r>
      <w:r>
        <w:rPr>
          <w:lang w:val="pt-PT"/>
        </w:rPr>
        <w:t xml:space="preserve">produção por conta dos clientes [âmbito exato a confirmar]. O domínio de produção </w:t>
      </w:r>
      <w:r>
        <w:rPr>
          <w:lang w:val="pt-PT"/>
        </w:rPr>
        <w:t xml:space="preserve"/>
      </w:r>
      <w:r>
        <w:rPr>
          <w:rStyle w:val="VerbatimChar"/>
          <w:lang w:val="pt-PT"/>
        </w:rPr>
        <w:t xml:space="preserve">client.transcribia.eu</w:t>
      </w:r>
      <w:r>
        <w:rPr>
          <w:lang w:val="pt-PT"/>
        </w:rPr>
        <w:t xml:space="preserve"> </w:t>
      </w:r>
      <w:r>
        <w:rPr>
          <w:lang w:val="pt-PT"/>
        </w:rPr>
        <w:t xml:space="preserve">continua a ser um elemento operacional válido da exploração SaaS assegurada pela OHADJA.</w:t>
      </w:r>
    </w:p>
    <w:p>
      <w:pPr>
        <w:pStyle w:val="BodyText"/>
      </w:pPr>
      <w:r>
        <w:rPr>
          <w:lang w:val="pt-PT"/>
        </w:rPr>
        <w:t xml:space="preserve">TranscribIA também é comercializado e integrado pela Televic Conference France, como distribuidor e integrador. A Televic não acessa os dados de produção da sua organização, exceto para uma conta de serviço que você mesmo criou explicitamente. A função de administração da Televic existe apenas no ambiente de demonstração, nunca na produção, e em nenhum caso dá acesso ao conteúdo das organizações (transcrições, áudio): limita-se à criação de estruturas e contas.</w:t>
      </w:r>
    </w:p>
    <w:bookmarkEnd w:id="12"/>
    <w:bookmarkStart w:id="13" w:name="X74f8a4f59682b637b8dd717c26f0614ac951509"/>
    <w:p>
      <w:pPr>
        <w:pStyle w:val="Heading2"/>
        <w:keepNext/>
        <w:keepLines/>
      </w:pPr>
      <w:r>
        <w:rPr>
          <w:color w:val="000000"/>
          <w:lang w:val="pt-PT"/>
        </w:rPr>
        <w:t xml:space="preserve">3. Posição das partes: responsável pelo tratamento e subcontratante</w:t>
      </w:r>
    </w:p>
    <w:p>
      <w:pPr>
        <w:pStyle w:val="FirstParagraph"/>
      </w:pPr>
      <w:r>
        <w:rPr>
          <w:lang w:val="pt-PT"/>
        </w:rPr>
        <w:t xml:space="preserve">A sua organização atua na qualidade </w:t>
      </w:r>
      <w:r>
        <w:rPr>
          <w:lang w:val="pt-PT"/>
        </w:rPr>
        <w:t xml:space="preserve">de </w:t>
      </w:r>
      <w:r>
        <w:rPr>
          <w:b/>
          <w:bCs/>
          <w:lang w:val="pt-PT"/>
        </w:rPr>
        <w:t xml:space="preserve">responsável pelo tratamento </w:t>
      </w:r>
      <w:r>
        <w:rPr>
          <w:lang w:val="pt-PT"/>
        </w:rPr>
        <w:t xml:space="preserve"/>
      </w:r>
      <w:r>
        <w:rPr>
          <w:lang w:val="pt-PT"/>
        </w:rPr>
        <w:t xml:space="preserve">na aceção do artigo 4.º, n.º 7, do RGPD. Nessa qualidade, cabe-lhe determinar as finalidades e os meios essenciais dos tratamentos realizados através da TranscribIA, definir o fundamento de licitude de cada tratamento, informar os titulares dos dados, fixar os prazos de conservação aplicáveis aos seus conteúdos e manter o registo previsto no artigo 30.º, n.º 1.</w:t>
      </w:r>
    </w:p>
    <w:p>
      <w:pPr>
        <w:pStyle w:val="BodyText"/>
      </w:pPr>
      <w:r>
        <w:rPr>
          <w:lang w:val="pt-PT"/>
        </w:rPr>
        <w:t xml:space="preserve">A OHADJA atua na qualidade </w:t>
      </w:r>
      <w:r>
        <w:rPr>
          <w:lang w:val="pt-PT"/>
        </w:rPr>
        <w:t xml:space="preserve"/>
      </w:r>
      <w:r>
        <w:rPr>
          <w:b/>
          <w:bCs/>
          <w:lang w:val="pt-PT"/>
        </w:rPr>
        <w:t xml:space="preserve">de subcontratante </w:t>
      </w:r>
      <w:r>
        <w:rPr>
          <w:lang w:val="pt-PT"/>
        </w:rPr>
        <w:t xml:space="preserve"/>
      </w:r>
      <w:r>
        <w:rPr>
          <w:lang w:val="pt-PT"/>
        </w:rPr>
        <w:t xml:space="preserve">na aceção do artigo 4.º, n.º 8, do RGPD. Trata os dados pessoais exclusivamente por sua conta, com base nas suas instruções documentadas, dentro dos limites do contrato principal e do DPA. Não determina as finalidades nem o fundamento de licitude dos tratamentos que realiza através do serviço.</w:t>
      </w:r>
    </w:p>
    <w:p>
      <w:pPr>
        <w:pStyle w:val="BodyText"/>
      </w:pPr>
      <w:r>
        <w:rPr>
          <w:lang w:val="pt-PT"/>
        </w:rPr>
        <w:t xml:space="preserve">Estão previstos dois modos de fornecimento, dos quais surge o âmbito exato das responsabilidades:</w:t>
      </w:r>
    </w:p>
    <w:p>
      <w:pPr>
        <w:pStyle w:val="Compact"/>
        <w:numPr>
          <w:ilvl w:val="0"/>
          <w:numId w:val="1001"/>
        </w:numPr>
      </w:pPr>
      <w:r>
        <w:rPr>
          <w:b/>
          <w:bCs/>
          <w:lang w:val="pt-PT"/>
        </w:rPr>
        <w:t xml:space="preserve">Opção A — SaaS soberano: </w:t>
      </w:r>
      <w:r>
        <w:rPr>
          <w:lang w:val="pt-PT"/>
        </w:rPr>
        <w:t xml:space="preserve"/>
      </w:r>
      <w:r>
        <w:rPr>
          <w:lang w:val="pt-PT"/>
        </w:rPr>
        <w:t xml:space="preserve">o serviço é hospedado e operado por OHADJA em uma infraestrutura localizada na França. OHADJA fornece alojamento, operação de aplicativos, manutenção, supervisão, backups técnicos, atualizações e segurança operacional.</w:t>
      </w:r>
    </w:p>
    <w:p>
      <w:pPr>
        <w:pStyle w:val="Compact"/>
        <w:numPr>
          <w:ilvl w:val="0"/>
          <w:numId w:val="1001"/>
        </w:numPr>
      </w:pPr>
      <w:r>
        <w:rPr>
          <w:b/>
          <w:bCs/>
          <w:lang w:val="pt-PT"/>
        </w:rPr>
        <w:t xml:space="preserve">Opção B — On-premise: </w:t>
      </w:r>
      <w:r>
        <w:rPr>
          <w:lang w:val="pt-PT"/>
        </w:rPr>
        <w:t xml:space="preserve"/>
      </w:r>
      <w:r>
        <w:rPr>
          <w:lang w:val="pt-PT"/>
        </w:rPr>
        <w:t xml:space="preserve">a solução é implantada em sua própria infraestrutura usando contêineres Docker. Você então garante alojamento, administração de sistema, segurança de rede, backups e supervisão; OHADJA permanece subcontratante apenas para as operações que efetivamente realiza em seu nome (suporte, manutenção, atualizações de aplicativos, acesso remoto autorizado).</w:t>
      </w:r>
    </w:p>
    <w:p>
      <w:pPr>
        <w:pStyle w:val="FirstParagraph"/>
      </w:pPr>
      <w:r>
        <w:rPr>
          <w:lang w:val="pt-PT"/>
        </w:rPr>
        <w:t xml:space="preserve">A modalidade selecionada é verificada no Anexo 1 do DPA.</w:t>
      </w:r>
    </w:p>
    <w:bookmarkEnd w:id="13"/>
    <w:bookmarkStart w:id="14" w:name="X82c4d7b633db3a6681ea8d47fe4dc1e19a1c925"/>
    <w:p>
      <w:pPr>
        <w:pStyle w:val="Heading2"/>
        <w:keepNext/>
        <w:keepLines/>
      </w:pPr>
      <w:r>
        <w:rPr>
          <w:color w:val="000000"/>
          <w:lang w:val="pt-PT"/>
        </w:rPr>
        <w:t xml:space="preserve">4. O atendimento e tratamentos realizados</w:t>
      </w:r>
    </w:p>
    <w:p>
      <w:pPr>
        <w:pStyle w:val="FirstParagraph"/>
      </w:pPr>
      <w:r>
        <w:rPr>
          <w:lang w:val="pt-PT"/>
        </w:rPr>
        <w:t xml:space="preserve">TranscribIA é uma plataforma inteligente de transcrição de áudio. O fluxo funcional típico é o seguinte: upload de um ficheiro de áudio, transcrição e diarização automáticas (separação de locutores), depois exploração assistida por inteligência artificial (correção, resumo, atas, capítulos, sugestão de identificação de locutores) e exportações em formato Word.</w:t>
      </w:r>
    </w:p>
    <w:p>
      <w:pPr>
        <w:pStyle w:val="BodyText"/>
      </w:pPr>
      <w:r>
        <w:rPr>
          <w:lang w:val="pt-PT"/>
        </w:rPr>
        <w:t xml:space="preserve">A descrição detalhada do tratamento (objeto, natureza, finalidades, operações por etapa do fluxo de trabalho) consta no documento TRB-CONF-01.03 e no Anexo 1 do DPA.</w:t>
      </w:r>
    </w:p>
    <w:bookmarkEnd w:id="14"/>
    <w:bookmarkStart w:id="15" w:name="X196c226cd9710d8500b96808658c6e9d758e146"/>
    <w:p>
      <w:pPr>
        <w:pStyle w:val="Heading2"/>
        <w:keepNext/>
        <w:keepLines/>
      </w:pPr>
      <w:r>
        <w:rPr>
          <w:color w:val="000000"/>
          <w:lang w:val="pt-PT"/>
        </w:rPr>
        <w:t xml:space="preserve">5. Categorias de dados e titulares de dados</w:t>
      </w:r>
    </w:p>
    <w:p>
      <w:pPr>
        <w:pStyle w:val="FirstParagraph"/>
      </w:pPr>
      <w:r>
        <w:rPr>
          <w:lang w:val="pt-PT"/>
        </w:rPr>
        <w:t xml:space="preserve">As categorias de dados pessoais que provavelmente serão processadas, dependendo de seus usos e dos ficheiros que você carrega, são as seguintes: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Exemplos</w:t>
            </w:r>
          </w:p>
        </w:tc>
      </w:tr>
      <w:tr>
        <w:trPr>
          <w:cantSplit/>
        </w:trPr>
        <w:tc>
          <w:tcPr/>
          <w:p>
            <w:pPr>
              <w:pStyle w:val="Compact"/>
            </w:pPr>
            <w:r>
              <w:rPr>
                <w:lang w:val="pt-PT"/>
              </w:rPr>
              <w:t xml:space="preserve">Gravações de áudio e vídeo</w:t>
            </w:r>
          </w:p>
        </w:tc>
        <w:tc>
          <w:tcPr/>
          <w:p>
            <w:pPr>
              <w:pStyle w:val="Compact"/>
            </w:pPr>
            <w:r>
              <w:rPr>
                <w:lang w:val="pt-PT"/>
              </w:rPr>
              <w:t xml:space="preserve">Ficheiros MP3, wav, ogg, m4a, flac, webm, mp4, avi, mkv, mov, wmv enviados por seus utilizadores</w:t>
            </w:r>
          </w:p>
        </w:tc>
      </w:tr>
      <w:tr>
        <w:trPr>
          <w:cantSplit/>
        </w:trPr>
        <w:tc>
          <w:tcPr/>
          <w:p>
            <w:pPr>
              <w:pStyle w:val="Compact"/>
            </w:pPr>
            <w:r>
              <w:rPr>
                <w:lang w:val="pt-PT"/>
              </w:rPr>
              <w:t xml:space="preserve">Transcrições</w:t>
            </w:r>
          </w:p>
        </w:tc>
        <w:tc>
          <w:tcPr/>
          <w:p>
            <w:pPr>
              <w:pStyle w:val="Compact"/>
            </w:pPr>
            <w:r>
              <w:rPr>
                <w:lang w:val="pt-PT"/>
              </w:rPr>
              <w:t xml:space="preserve">Segmentos, carimbos de data e hora, literalmente, versões, correções, capítulos, diarização</w:t>
            </w:r>
          </w:p>
        </w:tc>
      </w:tr>
      <w:tr>
        <w:trPr>
          <w:cantSplit/>
        </w:trPr>
        <w:tc>
          <w:tcPr/>
          <w:p>
            <w:pPr>
              <w:pStyle w:val="Compact"/>
            </w:pPr>
            <w:r>
              <w:rPr>
                <w:lang w:val="pt-PT"/>
              </w:rPr>
              <w:t xml:space="preserve">Dados do interveniente</w:t>
            </w:r>
          </w:p>
        </w:tc>
        <w:tc>
          <w:tcPr/>
          <w:p>
            <w:pPr>
              <w:pStyle w:val="Compact"/>
            </w:pPr>
            <w:r>
              <w:rPr>
                <w:lang w:val="pt-PT"/>
              </w:rPr>
              <w:t xml:space="preserve">Nomes inseridos por seus utilizadores, rótulos de intervenientes, correspondências propostas e validadas</w:t>
            </w:r>
          </w:p>
        </w:tc>
      </w:tr>
      <w:tr>
        <w:trPr>
          <w:cantSplit/>
        </w:trPr>
        <w:tc>
          <w:tcPr/>
          <w:p>
            <w:pPr>
              <w:pStyle w:val="Compact"/>
            </w:pPr>
            <w:r>
              <w:rPr>
                <w:lang w:val="pt-PT"/>
              </w:rPr>
              <w:t xml:space="preserve">Documentos preparatórios</w:t>
            </w:r>
          </w:p>
        </w:tc>
        <w:tc>
          <w:tcPr/>
          <w:p>
            <w:pPr>
              <w:pStyle w:val="Compact"/>
            </w:pPr>
            <w:r>
              <w:rPr>
                <w:lang w:val="pt-PT"/>
              </w:rPr>
              <w:t xml:space="preserve">Agendas, atas anteriores, notas, PDF/DOCX, extrair texto</w:t>
            </w:r>
          </w:p>
        </w:tc>
      </w:tr>
      <w:tr>
        <w:trPr>
          <w:cantSplit/>
        </w:trPr>
        <w:tc>
          <w:tcPr/>
          <w:p>
            <w:pPr>
              <w:pStyle w:val="Compact"/>
            </w:pPr>
            <w:r>
              <w:rPr>
                <w:lang w:val="pt-PT"/>
              </w:rPr>
              <w:t xml:space="preserve">Metadados da sessão</w:t>
            </w:r>
          </w:p>
        </w:tc>
        <w:tc>
          <w:tcPr/>
          <w:p>
            <w:pPr>
              <w:pStyle w:val="Compact"/>
            </w:pPr>
            <w:r>
              <w:rPr>
                <w:lang w:val="pt-PT"/>
              </w:rPr>
              <w:t xml:space="preserve">Título, data, local, tipo de sessão, status, agenda, equipa, organização</w:t>
            </w:r>
          </w:p>
        </w:tc>
      </w:tr>
      <w:tr>
        <w:trPr>
          <w:cantSplit/>
        </w:trPr>
        <w:tc>
          <w:tcPr/>
          <w:p>
            <w:pPr>
              <w:pStyle w:val="Compact"/>
            </w:pPr>
            <w:r>
              <w:rPr>
                <w:lang w:val="pt-PT"/>
              </w:rPr>
              <w:t xml:space="preserve">Contas de utilizador</w:t>
            </w:r>
          </w:p>
        </w:tc>
        <w:tc>
          <w:tcPr/>
          <w:p>
            <w:pPr>
              <w:pStyle w:val="Compact"/>
            </w:pPr>
            <w:r>
              <w:rPr>
                <w:lang w:val="pt-PT"/>
              </w:rPr>
              <w:t xml:space="preserve">Sobrenome, nome, se aplicável, endereço de e-mail, função, organização, equipa, tokens de acesso, datas de conexão</w:t>
            </w:r>
          </w:p>
        </w:tc>
      </w:tr>
      <w:tr>
        <w:trPr>
          <w:cantSplit/>
        </w:trPr>
        <w:tc>
          <w:tcPr/>
          <w:p>
            <w:pPr>
              <w:pStyle w:val="Compact"/>
            </w:pPr>
            <w:r>
              <w:rPr>
                <w:lang w:val="pt-PT"/>
              </w:rPr>
              <w:t xml:space="preserve">Registos de auditoria e rastreamentos técnicos</w:t>
            </w:r>
          </w:p>
        </w:tc>
        <w:tc>
          <w:tcPr/>
          <w:p>
            <w:pPr>
              <w:pStyle w:val="Compact"/>
            </w:pPr>
            <w:r>
              <w:rPr>
                <w:lang w:val="pt-PT"/>
              </w:rPr>
              <w:t xml:space="preserve">Identificadores de utilizadores, ações, datas, endereços IP quando coletados, eventos de aplicativos</w:t>
            </w:r>
          </w:p>
        </w:tc>
      </w:tr>
      <w:tr>
        <w:trPr>
          <w:cantSplit/>
        </w:trPr>
        <w:tc>
          <w:tcPr/>
          <w:p>
            <w:pPr>
              <w:pStyle w:val="Compact"/>
            </w:pPr>
            <w:r>
              <w:rPr>
                <w:lang w:val="pt-PT"/>
              </w:rPr>
              <w:t xml:space="preserve">Gerações de IA</w:t>
            </w:r>
          </w:p>
        </w:tc>
        <w:tc>
          <w:tcPr/>
          <w:p>
            <w:pPr>
              <w:pStyle w:val="Compact"/>
            </w:pPr>
            <w:r>
              <w:rPr>
                <w:lang w:val="pt-PT"/>
              </w:rPr>
              <w:t xml:space="preserve">Prompts, fontes selecionadas, respostas geradas, resumos, análises, atas</w:t>
            </w:r>
          </w:p>
        </w:tc>
      </w:tr>
      <w:tr>
        <w:trPr>
          <w:cantSplit/>
        </w:trPr>
        <w:tc>
          <w:tcPr/>
          <w:p>
            <w:pPr>
              <w:pStyle w:val="Compact"/>
            </w:pPr>
            <w:r>
              <w:rPr>
                <w:lang w:val="pt-PT"/>
              </w:rPr>
              <w:t xml:space="preserve">Dados de votação ou participação, se habilitado</w:t>
            </w:r>
          </w:p>
        </w:tc>
        <w:tc>
          <w:tcPr/>
          <w:p>
            <w:pPr>
              <w:pStyle w:val="Compact"/>
            </w:pPr>
            <w:r>
              <w:rPr>
                <w:lang w:val="pt-PT"/>
              </w:rPr>
              <w:t xml:space="preserve">Presenças, ausências, procurações, resultados de votação, qualidade dos participantes</w:t>
            </w:r>
          </w:p>
        </w:tc>
      </w:tr>
      <w:tr>
        <w:trPr>
          <w:cantSplit/>
        </w:trPr>
        <w:tc>
          <w:tcPr/>
          <w:p>
            <w:pPr>
              <w:pStyle w:val="Compact"/>
            </w:pPr>
            <w:r>
              <w:rPr>
                <w:lang w:val="pt-PT"/>
              </w:rPr>
              <w:t xml:space="preserve">Representações vocais temporárias</w:t>
            </w:r>
          </w:p>
        </w:tc>
        <w:tc>
          <w:tcPr/>
          <w:p>
            <w:pPr>
              <w:pStyle w:val="Compact"/>
            </w:pPr>
            <w:r>
              <w:rPr>
                <w:lang w:val="pt-PT"/>
              </w:rPr>
              <w:t xml:space="preserve">Características de fala calculadas em RAM para correlação de fala, destruídas ao final da solicitação</w:t>
            </w:r>
          </w:p>
        </w:tc>
      </w:tr>
    </w:tbl>
    <w:p>
      <w:pPr>
        <w:pStyle w:val="BodyText"/>
      </w:pPr>
      <w:r>
        <w:rPr>
          <w:lang w:val="pt-PT"/>
        </w:rPr>
        <w:t xml:space="preserve">As categorias de pessoas abrangidas incluem, nomeadamente, os seus utilizadores (agentes, funcionários, eleitos, profissionais, advogados, notários, professores, jornalistas), os oradores cuja voz é captada nos ficheiros carregados, as pessoas mencionadas nas reuniões, transcrições ou documentos, bem como os contactos institucionais convidados.</w:t>
      </w:r>
    </w:p>
    <w:p>
      <w:pPr>
        <w:pStyle w:val="BodyText"/>
      </w:pPr>
      <w:r>
        <w:rPr>
          <w:b/>
          <w:bCs/>
          <w:lang w:val="pt-PT"/>
        </w:rPr>
        <w:t xml:space="preserve">Ponto de atenção — dados sensíveis e diarização. </w:t>
      </w:r>
      <w:r>
        <w:rPr>
          <w:lang w:val="pt-PT"/>
        </w:rPr>
        <w:t xml:space="preserve"/>
      </w:r>
      <w:r>
        <w:rPr>
          <w:lang w:val="pt-PT"/>
        </w:rPr>
        <w:t xml:space="preserve">A diarização posicional produz etiquetas como «Speaker 1», «Speaker 2»; estas continuam a ser dados pessoais quando podem ser associadas a uma pessoa na gravação ou através de outras informações. A ausência de conservação de um modelo não permite, por si só, excluir a biometria. A finalidade e os meios técnicos devem ser examinados à luz dos artigos 4.º, n.º 14, e 9.º. A correlação vocal opcional é descrita na secção 12. O Cliente deve também avaliar as categorias especiais presentes no conteúdo, nomeadamente dados de saúde, opiniões políticas e filiação sindical.</w:t>
      </w:r>
    </w:p>
    <w:bookmarkEnd w:id="15"/>
    <w:bookmarkStart w:id="16" w:name="X4246085d3a0efd15658df0498ecbe9d34ede845"/>
    <w:p>
      <w:pPr>
        <w:pStyle w:val="Heading2"/>
        <w:keepNext/>
        <w:keepLines/>
      </w:pPr>
      <w:r>
        <w:rPr>
          <w:color w:val="000000"/>
          <w:lang w:val="pt-PT"/>
        </w:rPr>
        <w:t xml:space="preserve">6. Bases jurídicas</w:t>
      </w:r>
    </w:p>
    <w:p>
      <w:pPr>
        <w:pStyle w:val="FirstParagraph"/>
      </w:pPr>
      <w:r>
        <w:rPr>
          <w:lang w:val="pt-PT"/>
        </w:rPr>
        <w:t xml:space="preserve">O fundamento de licitude de cada tratamento realizado através da TranscribIA </w:t>
      </w:r>
      <w:r>
        <w:rPr>
          <w:lang w:val="pt-PT"/>
        </w:rPr>
        <w:t xml:space="preserve"/>
      </w:r>
      <w:r>
        <w:rPr>
          <w:b/>
          <w:bCs/>
          <w:lang w:val="pt-PT"/>
        </w:rPr>
        <w:t xml:space="preserve">é determinado pela sua organização, </w:t>
      </w:r>
      <w:r>
        <w:rPr>
          <w:lang w:val="pt-PT"/>
        </w:rPr>
        <w:t xml:space="preserve">na qualidade de responsável pelo tratamento, em função do seu contexto de atividade e do seu registo de atividades de tratamento. Consoante o caso, poderá enquadrar-se no artigo 6.º, n.º 1, do RGPD (missão de interesse público ou exercício da autoridade pública para uma autarquia, obrigação jurídica, execução de um contrato, interesse legítimo ou consentimento).</w:t>
      </w:r>
    </w:p>
    <w:p>
      <w:pPr>
        <w:pStyle w:val="BodyText"/>
      </w:pPr>
      <w:r>
        <w:rPr>
          <w:lang w:val="pt-PT"/>
        </w:rPr>
        <w:t xml:space="preserve">A OHADJA não determina qualquer fundamento de licitude nem realiza tratamentos por conta própria a partir dos seus dados. Cabe-lhe igualmente informar os titulares dos dados e, quando aplicável, obter o seu consentimento.</w:t>
      </w:r>
    </w:p>
    <w:bookmarkEnd w:id="16"/>
    <w:bookmarkStart w:id="17" w:name="Xad34d28697945ad9da85f5bf29d3fa8a4f6e563"/>
    <w:p>
      <w:pPr>
        <w:pStyle w:val="Heading2"/>
        <w:keepNext/>
        <w:keepLines/>
      </w:pPr>
      <w:r>
        <w:rPr>
          <w:color w:val="000000"/>
          <w:lang w:val="pt-PT"/>
        </w:rPr>
        <w:t xml:space="preserve">7. Direitos dos indivíduos e termos concretos do produto</w:t>
      </w:r>
    </w:p>
    <w:p>
      <w:pPr>
        <w:pStyle w:val="FirstParagraph"/>
      </w:pPr>
      <w:r>
        <w:rPr>
          <w:lang w:val="pt-PT"/>
        </w:rPr>
        <w:t xml:space="preserve">Você permanece responsável pelo tratamento dos pedidos de exercício de direitos (artigos 12 a 22 de RGPD). TranscribIA oferece funcionalidades que permitem acompanhar de forma concreta:</w:t>
      </w:r>
    </w:p>
    <w:p>
      <w:pPr>
        <w:pStyle w:val="Compact"/>
        <w:numPr>
          <w:ilvl w:val="0"/>
          <w:numId w:val="1002"/>
        </w:numPr>
      </w:pPr>
      <w:r>
        <w:rPr>
          <w:b/>
          <w:bCs/>
          <w:lang w:val="pt-PT"/>
        </w:rPr>
        <w:t xml:space="preserve">Direito de acesso e retificação (art. 15 e </w:t>
      </w:r>
      <w:r>
        <w:rPr>
          <w:lang w:val="pt-PT"/>
        </w:rPr>
        <w:t xml:space="preserve">16): </w:t>
      </w:r>
      <w:r>
        <w:rPr>
          <w:lang w:val="pt-PT"/>
        </w:rPr>
        <w:t xml:space="preserve">transcrições, metadados e informações do orador podem ser consultados e modificados por edição direta no aplicativo pelos seus utilizadores autorizados.</w:t>
      </w:r>
    </w:p>
    <w:p>
      <w:pPr>
        <w:pStyle w:val="Compact"/>
        <w:numPr>
          <w:ilvl w:val="0"/>
          <w:numId w:val="1002"/>
        </w:numPr>
      </w:pPr>
      <w:r>
        <w:rPr>
          <w:b/>
          <w:bCs/>
          <w:lang w:val="pt-PT"/>
        </w:rPr>
        <w:t xml:space="preserve">Direito à portabilidade (art. </w:t>
      </w:r>
      <w:r>
        <w:rPr>
          <w:lang w:val="pt-PT"/>
        </w:rPr>
        <w:t xml:space="preserve">20): </w:t>
      </w:r>
      <w:r>
        <w:rPr>
          <w:lang w:val="pt-PT"/>
        </w:rPr>
        <w:t xml:space="preserve">a exportação completa por organização está disponível </w:t>
      </w:r>
      <w:r>
        <w:rPr>
          <w:lang w:val="pt-PT"/>
        </w:rPr>
        <w:t xml:space="preserve"/>
      </w:r>
      <w:r>
        <w:rPr>
          <w:b/>
          <w:bCs/>
          <w:lang w:val="pt-PT"/>
        </w:rPr>
        <w:t xml:space="preserve">em autoatendimento </w:t>
      </w:r>
      <w:r>
        <w:rPr>
          <w:lang w:val="pt-PT"/>
        </w:rPr>
        <w:t xml:space="preserve"/>
      </w:r>
      <w:r>
        <w:rPr>
          <w:lang w:val="pt-PT"/>
        </w:rPr>
        <w:t xml:space="preserve">no menu Configurações → Portabilidade. Produz um arquivo </w:t>
      </w:r>
      <w:r>
        <w:rPr>
          <w:lang w:val="pt-PT"/>
        </w:rPr>
        <w:t xml:space="preserve"/>
      </w:r>
      <w:r>
        <w:rPr>
          <w:rStyle w:val="VerbatimChar"/>
          <w:lang w:val="pt-PT"/>
        </w:rPr>
        <w:t xml:space="preserve">.tar.gz</w:t>
      </w:r>
      <w:r>
        <w:rPr>
          <w:lang w:val="pt-PT"/>
        </w:rPr>
        <w:t xml:space="preserve"> </w:t>
      </w:r>
      <w:r>
        <w:rPr>
          <w:lang w:val="pt-PT"/>
        </w:rPr>
        <w:t xml:space="preserve">assinado em SHA-256 contendo todo o esquema da sua organização (sessões, áudio, transcrições, gerações de IA, votos, presença, dicionário, registo de atividades, utilizadores).</w:t>
      </w:r>
    </w:p>
    <w:p>
      <w:pPr>
        <w:pStyle w:val="Compact"/>
        <w:numPr>
          <w:ilvl w:val="0"/>
          <w:numId w:val="1002"/>
        </w:numPr>
      </w:pPr>
      <w:r>
        <w:rPr>
          <w:b/>
          <w:bCs/>
          <w:lang w:val="pt-PT"/>
        </w:rPr>
        <w:t xml:space="preserve">Direito ao apagamento (art. 17): </w:t>
      </w:r>
      <w:r>
        <w:rPr>
          <w:lang w:val="pt-PT"/>
        </w:rPr>
        <w:t xml:space="preserve"/>
      </w:r>
      <w:r>
        <w:rPr>
          <w:lang w:val="pt-PT"/>
        </w:rPr>
        <w:t xml:space="preserve">o apagamento certificado está disponível na mesma página. A solicitação é rastreada nos logs de auditoria, executada dentro do prazo legal por meio de um fluxo de trabalho de eliminação e resulta na emissão de </w:t>
      </w:r>
      <w:r>
        <w:rPr>
          <w:lang w:val="pt-PT"/>
        </w:rPr>
        <w:t xml:space="preserve"/>
      </w:r>
      <w:r>
        <w:rPr>
          <w:b/>
          <w:bCs/>
          <w:lang w:val="pt-PT"/>
        </w:rPr>
        <w:t xml:space="preserve">um certificado de </w:t>
      </w:r>
      <w:r>
        <w:rPr>
          <w:lang w:val="pt-PT"/>
        </w:rPr>
        <w:t xml:space="preserve">exclusão.</w:t>
      </w:r>
    </w:p>
    <w:p>
      <w:pPr>
        <w:pStyle w:val="Compact"/>
        <w:numPr>
          <w:ilvl w:val="0"/>
          <w:numId w:val="1002"/>
        </w:numPr>
      </w:pPr>
      <w:r>
        <w:rPr>
          <w:b/>
          <w:bCs/>
          <w:lang w:val="pt-PT"/>
        </w:rPr>
        <w:t xml:space="preserve">Direitos de limitação, oposição e relativos à decisão automatizada: </w:t>
      </w:r>
      <w:r>
        <w:rPr>
          <w:lang w:val="pt-PT"/>
        </w:rPr>
        <w:t xml:space="preserve"/>
      </w:r>
      <w:r>
        <w:rPr>
          <w:lang w:val="pt-PT"/>
        </w:rPr>
        <w:t xml:space="preserve">OHADJA auxilia-o tecnicamente no prazo de sete (7) dias úteis a partir de um pedido completo por escrito, de acordo com o artigo 9 do DPA.</w:t>
      </w:r>
    </w:p>
    <w:p>
      <w:pPr>
        <w:pStyle w:val="FirstParagraph"/>
      </w:pPr>
      <w:r>
        <w:rPr>
          <w:lang w:val="pt-PT"/>
        </w:rPr>
        <w:t xml:space="preserve">Se OHADJA receber diretamente uma solicitação de um titular de dados relacionada aos seus dados, ela a transmitirá a você o mais rápido possível e se absterá de responder a ela em substância, a menos que você tenha instruções documentadas ou seja exigido por lei.</w:t>
      </w:r>
    </w:p>
    <w:bookmarkEnd w:id="17"/>
    <w:bookmarkStart w:id="18" w:name="Xafbd96c4622a4e63c8dcca79de62f511187ddba"/>
    <w:p>
      <w:pPr>
        <w:pStyle w:val="Heading2"/>
        <w:keepNext/>
        <w:keepLines/>
      </w:pPr>
      <w:r>
        <w:rPr>
          <w:color w:val="000000"/>
          <w:lang w:val="pt-PT"/>
        </w:rPr>
        <w:t xml:space="preserve">8. Medidas de segurança (artigo 32 do RGPD) — resumo</w:t>
      </w:r>
    </w:p>
    <w:p>
      <w:pPr>
        <w:pStyle w:val="FirstParagraph"/>
      </w:pPr>
      <w:r>
        <w:rPr>
          <w:lang w:val="pt-PT"/>
        </w:rPr>
        <w:t xml:space="preserve">OHADJA implementa medidas técnicas e organizacionais adequadas, detalhadas no Anexo 3 do DPA e no documento TRB-CONF-01.06. Em resumo:</w:t>
      </w:r>
    </w:p>
    <w:p>
      <w:pPr>
        <w:pStyle w:val="Compact"/>
        <w:numPr>
          <w:ilvl w:val="0"/>
          <w:numId w:val="1003"/>
        </w:numPr>
      </w:pPr>
      <w:r>
        <w:rPr>
          <w:b/>
          <w:bCs/>
          <w:lang w:val="pt-PT"/>
        </w:rPr>
        <w:t xml:space="preserve">Confidencialidade e cifragem: </w:t>
      </w:r>
      <w:r>
        <w:rPr>
          <w:lang w:val="pt-PT"/>
        </w:rPr>
        <w:t xml:space="preserve"/>
      </w:r>
      <w:r>
        <w:rPr>
          <w:lang w:val="pt-PT"/>
        </w:rPr>
        <w:t xml:space="preserve">TLS 1.2 ou superior necessário para todos os acessos; cifragem de backups antes da terceirização (age, X25519 + ChaCha20-Poly1305); segredos de autenticação de dois fatores protegidos em AES-256-CBC; URLs assinados temporários (30 minutos) para streaming de áudio.</w:t>
      </w:r>
    </w:p>
    <w:p>
      <w:pPr>
        <w:pStyle w:val="Compact"/>
        <w:numPr>
          <w:ilvl w:val="0"/>
          <w:numId w:val="1003"/>
        </w:numPr>
      </w:pPr>
      <w:r>
        <w:rPr>
          <w:b/>
          <w:bCs/>
          <w:lang w:val="pt-PT"/>
        </w:rPr>
        <w:t xml:space="preserve">Controlo de </w:t>
      </w:r>
      <w:r>
        <w:rPr>
          <w:lang w:val="pt-PT"/>
        </w:rPr>
        <w:t xml:space="preserve"/>
      </w:r>
      <w:r>
        <w:rPr>
          <w:lang w:val="pt-PT"/>
        </w:rPr>
        <w:t xml:space="preserve">acesso: autenticação por tokens Sanctum com hash SHA-256; senhas em bcrypt (custo 12); Autenticação dupla TOTP (RFC 6238) configurável por função; controlo de acesso baseado em função de cinco níveis; confirmação de senha (step-up) em ações destrutivas.</w:t>
      </w:r>
    </w:p>
    <w:p>
      <w:pPr>
        <w:pStyle w:val="Compact"/>
        <w:numPr>
          <w:ilvl w:val="0"/>
          <w:numId w:val="1003"/>
        </w:numPr>
      </w:pPr>
      <w:r>
        <w:rPr>
          <w:b/>
          <w:bCs/>
          <w:lang w:val="pt-PT"/>
        </w:rPr>
        <w:t xml:space="preserve">Isolamento: </w:t>
      </w:r>
      <w:r>
        <w:rPr>
          <w:lang w:val="pt-PT"/>
        </w:rPr>
        <w:t xml:space="preserve"/>
      </w:r>
      <w:r>
        <w:rPr>
          <w:lang w:val="pt-PT"/>
        </w:rPr>
        <w:t xml:space="preserve">arquitetura multilocatário com esquema PostgreSQL dedicado por organização.</w:t>
      </w:r>
    </w:p>
    <w:p>
      <w:pPr>
        <w:pStyle w:val="Compact"/>
        <w:numPr>
          <w:ilvl w:val="0"/>
          <w:numId w:val="1003"/>
        </w:numPr>
      </w:pPr>
      <w:r>
        <w:rPr>
          <w:b/>
          <w:bCs/>
          <w:lang w:val="pt-PT"/>
        </w:rPr>
        <w:t xml:space="preserve">Integridade: </w:t>
      </w:r>
      <w:r>
        <w:rPr>
          <w:lang w:val="pt-PT"/>
        </w:rPr>
        <w:t xml:space="preserve"/>
      </w:r>
      <w:r>
        <w:rPr>
          <w:lang w:val="pt-PT"/>
        </w:rPr>
        <w:t xml:space="preserve">análise sistemática do antivírus ClamAV em cada upload; logs de auditoria por organização e em nível de plataforma, exportáveis ​​em CSV/JSON; política de segurança de conteúdo (CSP) e CORS estrito.</w:t>
      </w:r>
    </w:p>
    <w:p>
      <w:pPr>
        <w:pStyle w:val="Compact"/>
        <w:numPr>
          <w:ilvl w:val="0"/>
          <w:numId w:val="1003"/>
        </w:numPr>
      </w:pPr>
      <w:r>
        <w:rPr>
          <w:b/>
          <w:bCs/>
          <w:lang w:val="pt-PT"/>
        </w:rPr>
        <w:t xml:space="preserve">Disponibilidade e resiliência: </w:t>
      </w:r>
      <w:r>
        <w:rPr>
          <w:lang w:val="pt-PT"/>
        </w:rPr>
        <w:t xml:space="preserve"/>
      </w:r>
      <w:r>
        <w:rPr>
          <w:lang w:val="pt-PT"/>
        </w:rPr>
        <w:t xml:space="preserve">backups diários cifrados, supervisão 24 horas por dia, 7 dias por semana, retomada automática de processamento bloqueado.</w:t>
      </w:r>
    </w:p>
    <w:bookmarkEnd w:id="18"/>
    <w:bookmarkStart w:id="19" w:name="X6544f44c0f7dbf53f7cb952b155c92fb5415a60"/>
    <w:p>
      <w:pPr>
        <w:pStyle w:val="Heading2"/>
        <w:keepNext/>
        <w:keepLines/>
      </w:pPr>
      <w:r>
        <w:rPr>
          <w:color w:val="000000"/>
          <w:lang w:val="pt-PT"/>
        </w:rPr>
        <w:t xml:space="preserve">9.Subcontratantes ulteriores</w:t>
      </w:r>
    </w:p>
    <w:p>
      <w:pPr>
        <w:pStyle w:val="FirstParagraph"/>
      </w:pPr>
      <w:r>
        <w:rPr>
          <w:lang w:val="pt-PT"/>
        </w:rPr>
        <w:t xml:space="preserve">Na </w:t>
      </w:r>
      <w:r>
        <w:rPr>
          <w:lang w:val="pt-PT"/>
        </w:rPr>
        <w:t xml:space="preserve"/>
      </w:r>
      <w:r>
        <w:rPr>
          <w:b/>
          <w:bCs/>
          <w:lang w:val="pt-PT"/>
        </w:rPr>
        <w:t xml:space="preserve">Opção A (SaaS), </w:t>
      </w:r>
      <w:r>
        <w:rPr>
          <w:lang w:val="pt-PT"/>
        </w:rPr>
        <w:t xml:space="preserve">OHADJA utiliza subcontratantes ulteriores autorizado cuja lista, finalidades, localização e base contratual aparecem no Anexo 2 do DPA </w:t>
      </w:r>
      <w:r>
        <w:rPr>
          <w:b/>
          <w:bCs/>
          <w:lang w:val="pt-PT"/>
        </w:rPr>
        <w:t xml:space="preserve">(documento </w:t>
      </w:r>
      <w:r>
        <w:rPr>
          <w:lang w:val="pt-PT"/>
        </w:rPr>
        <w:t xml:space="preserve"/>
      </w:r>
      <w:r>
        <w:rPr>
          <w:lang w:val="pt-PT"/>
        </w:rPr>
        <w:t xml:space="preserve">TRB-CONF-01.02). Incluem, em particular, o anfitrião (Hostinger, centro de dados em França) e o armazenamento de backups encriptados (Scaleway, França). As funções de inteligência artificial são executadas por padrão em uma infraestrutura de inferência controlada por OHADJA na Europa (canal primário, vLLM open-weights); O gateway OpenRouter e seus provedores de modelo são usados ​​apenas como failover e podem ser desativados pela organização. Os recursos de GPU de transcrição completam esta lista.</w:t>
      </w:r>
    </w:p>
    <w:p>
      <w:pPr>
        <w:pStyle w:val="BodyText"/>
      </w:pPr>
      <w:r>
        <w:rPr>
          <w:lang w:val="pt-PT"/>
        </w:rPr>
        <w:t xml:space="preserve">Na </w:t>
      </w:r>
      <w:r>
        <w:rPr>
          <w:lang w:val="pt-PT"/>
        </w:rPr>
        <w:t xml:space="preserve"/>
      </w:r>
      <w:r>
        <w:rPr>
          <w:b/>
          <w:bCs/>
          <w:lang w:val="pt-PT"/>
        </w:rPr>
        <w:t xml:space="preserve">Opção B local isolada, </w:t>
      </w:r>
      <w:r>
        <w:rPr>
          <w:lang w:val="pt-PT"/>
        </w:rPr>
        <w:t xml:space="preserve">nenhum subcontratante ulterior ou OHADJA está envolvido no processamento de seus dados: todos os componentes são executados em sua infraestrutura.</w:t>
      </w:r>
    </w:p>
    <w:p>
      <w:pPr>
        <w:pStyle w:val="BodyText"/>
      </w:pPr>
      <w:r>
        <w:rPr>
          <w:lang w:val="pt-PT"/>
        </w:rPr>
        <w:t xml:space="preserve">Qualquer adição ou substituição de subcontratante ulterior ser-lhe-á notificada com pelo </w:t>
      </w:r>
      <w:r>
        <w:rPr>
          <w:lang w:val="pt-PT"/>
        </w:rPr>
        <w:t xml:space="preserve"/>
      </w:r>
      <w:r>
        <w:rPr>
          <w:b/>
          <w:bCs/>
          <w:lang w:val="pt-PT"/>
        </w:rPr>
        <w:t xml:space="preserve">menos trinta (30) dias </w:t>
      </w:r>
      <w:r>
        <w:rPr>
          <w:lang w:val="pt-PT"/>
        </w:rPr>
        <w:t xml:space="preserve"/>
      </w:r>
      <w:r>
        <w:rPr>
          <w:lang w:val="pt-PT"/>
        </w:rPr>
        <w:t xml:space="preserve">de calendário de antecedência, com direito a oposição fundamentada (artigo 6.º do DPA).</w:t>
      </w:r>
    </w:p>
    <w:bookmarkEnd w:id="19"/>
    <w:bookmarkStart w:id="20" w:name="Xe28e49365d38b643d833898626eccc572f6e84e"/>
    <w:p>
      <w:pPr>
        <w:pStyle w:val="Heading2"/>
        <w:keepNext/>
        <w:keepLines/>
      </w:pPr>
      <w:r>
        <w:rPr>
          <w:color w:val="000000"/>
          <w:lang w:val="pt-PT"/>
        </w:rPr>
        <w:t xml:space="preserve">10. Localização e transferências de dados fora do EEE</w:t>
      </w:r>
    </w:p>
    <w:p>
      <w:pPr>
        <w:pStyle w:val="FirstParagraph"/>
      </w:pPr>
      <w:r>
        <w:rPr>
          <w:lang w:val="pt-PT"/>
        </w:rPr>
        <w:t xml:space="preserve">Na Opção A, os dados de produção são hospedados em França (datacenter de Estrasburgo) e os backups são encriptados e depois armazenados na União Europeia. A localização detalhada por categoria de dados aparece no documento TRB-CONF-01.04.</w:t>
      </w:r>
    </w:p>
    <w:p>
      <w:pPr>
        <w:pStyle w:val="BodyText"/>
      </w:pPr>
      <w:r>
        <w:rPr>
          <w:b/>
          <w:bCs/>
          <w:lang w:val="pt-PT"/>
        </w:rPr>
        <w:t xml:space="preserve">Divulgação justa sobre transferências fora do EEE (Opção A). </w:t>
      </w:r>
      <w:r>
        <w:rPr>
          <w:lang w:val="pt-PT"/>
        </w:rPr>
        <w:t xml:space="preserve"/>
      </w:r>
      <w:r>
        <w:rPr>
          <w:lang w:val="pt-PT"/>
        </w:rPr>
        <w:t xml:space="preserve">Por defeito, as funções de inteligência artificial são executadas numa infraestrutura de inferência controlada por OHADJA, alojada na Europa (vLLM open-weights): esta rota primária não envolve qualquer transferência fora do EEE. Uma transferência para fora do Espaço Económico Europeu só é possível de forma residual, quando o backup do OpenRouter é solicitado (indisponibilidade da rota primária) e não foi desativado, podendo este último utilizar fornecedores modelo estabelecidos nos Estados Unidos (por exemplo Anthropic ou OpenAI). Da mesma forma, a utilização ocasional de recursos de transcrição GPU através de um mercado pode, dependendo da configuração, envolver processamento fora do EEE. Estas transferências residuais regem-se pelos mecanismos do Capítulo V do RGPD (cláusulas contratuais padrão, quando aplicável Data Privacy Framework) e por medidas adicionais (TLS, minimização, ausência de formação sobre os seus dados, ausência de armazenamento duradouro).</w:t>
      </w:r>
    </w:p>
    <w:p>
      <w:pPr>
        <w:pStyle w:val="BodyText"/>
      </w:pPr>
      <w:r>
        <w:rPr>
          <w:lang w:val="pt-PT"/>
        </w:rPr>
        <w:t xml:space="preserve">Para organizações que exigem a ausência de qualquer transferência fora do </w:t>
      </w:r>
      <w:r>
        <w:rPr>
          <w:lang w:val="pt-PT"/>
        </w:rPr>
        <w:t xml:space="preserve">EEE, </w:t>
      </w:r>
      <w:r>
        <w:rPr>
          <w:b/>
          <w:bCs/>
          <w:lang w:val="pt-PT"/>
        </w:rPr>
        <w:t xml:space="preserve">um perfil “estrito </w:t>
      </w:r>
      <w:r>
        <w:rPr>
          <w:lang w:val="pt-PT"/>
        </w:rPr>
        <w:t xml:space="preserve"/>
      </w:r>
      <w:r>
        <w:rPr>
          <w:lang w:val="pt-PT"/>
        </w:rPr>
        <w:t xml:space="preserve">da UE” é configurável por organização desde a versão 1.7.0 (canal UE vLLM primário ou modelo auto-hospedado, fallback OpenRouter desativado, recursos GPU na UE). A Opção </w:t>
      </w:r>
      <w:r>
        <w:rPr>
          <w:b/>
          <w:bCs/>
          <w:lang w:val="pt-PT"/>
        </w:rPr>
        <w:t xml:space="preserve">B isolada no local exclui </w:t>
      </w:r>
      <w:r>
        <w:rPr>
          <w:lang w:val="pt-PT"/>
        </w:rPr>
        <w:t xml:space="preserve">por </w:t>
      </w:r>
      <w:r>
        <w:rPr>
          <w:lang w:val="pt-PT"/>
        </w:rPr>
        <w:t xml:space="preserve">construção qualquer fluxo de saída e qualquer transferência fora do EEE.</w:t>
      </w:r>
    </w:p>
    <w:p>
      <w:pPr>
        <w:pStyle w:val="BodyText"/>
      </w:pPr>
      <w:r>
        <w:rPr>
          <w:b/>
          <w:bCs/>
          <w:lang w:val="pt-PT"/>
        </w:rPr>
        <w:t xml:space="preserve">Administração e apoio da França/UE. OHADJA </w:t>
      </w:r>
      <w:r>
        <w:rPr>
          <w:lang w:val="pt-PT"/>
        </w:rPr>
        <w:t xml:space="preserve">compromete-se </w:t>
      </w:r>
      <w:r>
        <w:rPr>
          <w:lang w:val="pt-PT"/>
        </w:rPr>
        <w:t xml:space="preserve">contratualmente a realizar a administração e suporte da solução exclusivamente a partir </w:t>
      </w:r>
      <w:r>
        <w:rPr>
          <w:lang w:val="pt-PT"/>
        </w:rPr>
        <w:t xml:space="preserve"/>
      </w:r>
      <w:r>
        <w:rPr>
          <w:b/>
          <w:bCs/>
          <w:lang w:val="pt-PT"/>
        </w:rPr>
        <w:t xml:space="preserve">de França ou da União Europeia. Nenhum acesso </w:t>
      </w:r>
      <w:r>
        <w:rPr>
          <w:lang w:val="pt-PT"/>
        </w:rPr>
        <w:t xml:space="preserve">administrativo aos dados de produção é feito a partir de um país terceiro. Estes acessos são nominativos, realizados por ligação encriptada (SSH por chave, dupla autenticação, TLS), registados, sem cópia local dos dados de produção e a partir de um posto de trabalho encriptado. Consulte o documento TRB-CONF-01.04 para obter detalhes.</w:t>
      </w:r>
    </w:p>
    <w:bookmarkEnd w:id="20"/>
    <w:bookmarkStart w:id="21" w:name="X1b934251d3bed64bb585d5086874bcd6a2a0f9f"/>
    <w:p>
      <w:pPr>
        <w:pStyle w:val="Heading2"/>
        <w:keepNext/>
        <w:keepLines/>
      </w:pPr>
      <w:r>
        <w:rPr>
          <w:color w:val="000000"/>
          <w:lang w:val="pt-PT"/>
        </w:rPr>
        <w:t xml:space="preserve">11. Violações de dados</w:t>
      </w:r>
    </w:p>
    <w:p>
      <w:pPr>
        <w:pStyle w:val="FirstParagraph"/>
      </w:pPr>
      <w:r>
        <w:rPr>
          <w:lang w:val="pt-PT"/>
        </w:rPr>
        <w:t xml:space="preserve">Em caso de violação de dados pessoais relativa aos seus dados, a OHADJA informa-o sem demora injustificada </w:t>
      </w:r>
      <w:r>
        <w:rPr>
          <w:lang w:val="pt-PT"/>
        </w:rPr>
        <w:t xml:space="preserve"/>
      </w:r>
      <w:r>
        <w:rPr>
          <w:b/>
          <w:bCs/>
          <w:lang w:val="pt-PT"/>
        </w:rPr>
        <w:t xml:space="preserve">após ter conhecimento da violação, incluindo fora dos </w:t>
      </w:r>
      <w:r>
        <w:rPr>
          <w:lang w:val="pt-PT"/>
        </w:rPr>
        <w:t xml:space="preserve"/>
      </w:r>
      <w:r>
        <w:rPr>
          <w:lang w:val="pt-PT"/>
        </w:rPr>
        <w:t xml:space="preserve">dias úteis (artigo 8.º do DPA). O alerta contém as informações disponíveis sobre a natureza, os dados e as pessoas afetadas, as consequências e as medidas; é completado sem demora injustificada, sem aguardar o fim da investigação.</w:t>
      </w:r>
    </w:p>
    <w:p>
      <w:pPr>
        <w:pStyle w:val="BodyText"/>
      </w:pPr>
      <w:r>
        <w:rPr>
          <w:lang w:val="pt-PT"/>
        </w:rPr>
        <w:t xml:space="preserve">O Cliente, responsável pelo tratamento, avalia se é exigida uma notificação à autoridade de controlo competente nos termos do artigo 33.º do RGPD; quando exigida, realiza-a sem demora injustificada </w:t>
      </w:r>
      <w:r>
        <w:rPr>
          <w:lang w:val="pt-PT"/>
        </w:rPr>
        <w:t xml:space="preserve">e, </w:t>
      </w:r>
      <w:r>
        <w:rPr>
          <w:b/>
          <w:bCs/>
          <w:lang w:val="pt-PT"/>
        </w:rPr>
        <w:t xml:space="preserve">sempre que possível, nas 72 horas após </w:t>
      </w:r>
      <w:r>
        <w:rPr>
          <w:lang w:val="pt-PT"/>
        </w:rPr>
        <w:t xml:space="preserve">ter </w:t>
      </w:r>
      <w:r>
        <w:rPr>
          <w:lang w:val="pt-PT"/>
        </w:rPr>
        <w:t xml:space="preserve">conhecimento da violação. A autoridade não é determinada pelo idioma do documento; a CNIL é a autoridade francesa. Avalia separadamente a comunicação aos titulares dos dados quando o risco for elevado, nas condições do artigo 34.º.</w:t>
      </w:r>
    </w:p>
    <w:p>
      <w:pPr>
        <w:pStyle w:val="BodyText"/>
      </w:pPr>
      <w:r>
        <w:rPr>
          <w:lang w:val="pt-PT"/>
        </w:rPr>
        <w:t xml:space="preserve">Contacto para reporte e monitorização de incidente: </w:t>
      </w:r>
      <w:r>
        <w:rPr>
          <w:lang w:val="pt-PT"/>
        </w:rPr>
        <w:t xml:space="preserve"/>
      </w:r>
      <w:hyperlink r:id="rId9">
        <w:r>
          <w:rPr>
            <w:rStyle w:val="Hyperlink"/>
            <w:lang w:val="pt-PT"/>
          </w:rPr>
          <w:t xml:space="preserve">privacy@transcribia.eu</w:t>
        </w:r>
      </w:hyperlink>
      <w:r>
        <w:rPr>
          <w:lang w:val="pt-PT"/>
        </w:rPr>
        <w:t xml:space="preserve">.</w:t>
      </w:r>
    </w:p>
    <w:bookmarkEnd w:id="21"/>
    <w:bookmarkStart w:id="22" w:name="X748abbc0e9c3c7d10f73fc5df8bd4ed0eace36e"/>
    <w:p>
      <w:pPr>
        <w:pStyle w:val="Heading2"/>
        <w:keepNext/>
        <w:keepLines/>
      </w:pPr>
      <w:r>
        <w:rPr>
          <w:color w:val="000000"/>
          <w:lang w:val="pt-PT"/>
        </w:rPr>
        <w:t xml:space="preserve">12. Correlação vocal — supervisão específica</w:t>
      </w:r>
    </w:p>
    <w:p>
      <w:pPr>
        <w:pStyle w:val="FirstParagraph"/>
      </w:pPr>
      <w:r>
        <w:rPr>
          <w:lang w:val="pt-PT"/>
        </w:rPr>
        <w:t xml:space="preserve">A funcionalidade de correlação de voz, entregue em 18 de maio de 2026, permite, dentro de uma mesma organização, uma comparação efêmera de vozes a fim de propor uma aproximação entre os stakeholders. Ele está </w:t>
      </w:r>
      <w:r>
        <w:rPr>
          <w:lang w:val="pt-PT"/>
        </w:rPr>
        <w:t xml:space="preserve"/>
      </w:r>
      <w:r>
        <w:rPr>
          <w:b/>
          <w:bCs/>
          <w:lang w:val="pt-PT"/>
        </w:rPr>
        <w:t xml:space="preserve">desabilitado por padrão </w:t>
      </w:r>
      <w:r>
        <w:rPr>
          <w:lang w:val="pt-PT"/>
        </w:rPr>
        <w:t xml:space="preserve"/>
      </w:r>
      <w:r>
        <w:rPr>
          <w:lang w:val="pt-PT"/>
        </w:rPr>
        <w:t xml:space="preserve">e estritamente opcional. A sua ativação exige a assinatura prévia de uma alteração específica do DPA e a realização de uma análise de impacto relativa à proteção de dados (AIPD, artigo 35.º). As representações de voz são calculadas temporariamente na RAM, não dão origem a nenhum modelo biométrico persistente, nunca são utilizadas para treinar modelos e são destruídas no final da solicitação. As sugestões produzidas estão sujeitas a validação humana obrigatória.</w:t>
      </w:r>
    </w:p>
    <w:p>
      <w:pPr>
        <w:pStyle w:val="BodyText"/>
      </w:pPr>
      <w:r>
        <w:rPr>
          <w:lang w:val="pt-PT"/>
        </w:rPr>
        <w:t xml:space="preserve">A OHADJA compromete-se a nunca introduzir um tratamento biométrico automático persistente sem uma atualização explícita do DPA sujeita à sua aceitação prévia, com um pré-aviso mínimo de sessenta (60) dias.</w:t>
      </w:r>
    </w:p>
    <w:bookmarkEnd w:id="22"/>
    <w:bookmarkStart w:id="23" w:name="X20465f27dd06acc5a702225313327e4138f83ef"/>
    <w:p>
      <w:pPr>
        <w:pStyle w:val="Heading2"/>
        <w:keepNext/>
        <w:keepLines/>
      </w:pPr>
      <w:r>
        <w:rPr>
          <w:color w:val="000000"/>
          <w:lang w:val="pt-PT"/>
        </w:rPr>
        <w:t xml:space="preserve">13. Prazo de conservação</w:t>
      </w:r>
    </w:p>
    <w:p>
      <w:pPr>
        <w:pStyle w:val="FirstParagraph"/>
      </w:pPr>
      <w:r>
        <w:rPr>
          <w:lang w:val="pt-PT"/>
        </w:rPr>
        <w:t xml:space="preserve">Os períodos de retenção podem </w:t>
      </w:r>
      <w:r>
        <w:rPr>
          <w:lang w:val="pt-PT"/>
        </w:rPr>
        <w:t xml:space="preserve">ser </w:t>
      </w:r>
      <w:r>
        <w:rPr>
          <w:b/>
          <w:bCs/>
          <w:lang w:val="pt-PT"/>
        </w:rPr>
        <w:t xml:space="preserve">configurados por organização. </w:t>
      </w:r>
      <w:r>
        <w:rPr>
          <w:lang w:val="pt-PT"/>
        </w:rPr>
        <w:t xml:space="preserve">Se nenhuma configuração for feita, os valores padrão serão os seguintes: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Duração padrão</w:t>
            </w:r>
          </w:p>
        </w:tc>
      </w:tr>
      <w:tr>
        <w:trPr>
          <w:cantSplit/>
        </w:trPr>
        <w:tc>
          <w:tcPr/>
          <w:p>
            <w:pPr>
              <w:pStyle w:val="Compact"/>
            </w:pPr>
            <w:r>
              <w:rPr>
                <w:lang w:val="pt-PT"/>
              </w:rPr>
              <w:t xml:space="preserve">Ficheiros de áudio, transcrições, documentos, gerações de IA</w:t>
            </w:r>
          </w:p>
        </w:tc>
        <w:tc>
          <w:tcPr/>
          <w:p>
            <w:pPr>
              <w:pStyle w:val="Compact"/>
            </w:pPr>
            <w:r>
              <w:rPr>
                <w:lang w:val="pt-PT"/>
              </w:rPr>
              <w:t xml:space="preserve">Duração do contrato, exceto duração configurada por você</w:t>
            </w:r>
          </w:p>
        </w:tc>
      </w:tr>
      <w:tr>
        <w:trPr>
          <w:cantSplit/>
        </w:trPr>
        <w:tc>
          <w:tcPr/>
          <w:p>
            <w:pPr>
              <w:pStyle w:val="Compact"/>
            </w:pPr>
            <w:r>
              <w:rPr>
                <w:lang w:val="pt-PT"/>
              </w:rPr>
              <w:t xml:space="preserve">Logs de auditoria de aplicativos</w:t>
            </w:r>
          </w:p>
        </w:tc>
        <w:tc>
          <w:tcPr/>
          <w:p>
            <w:pPr>
              <w:pStyle w:val="Compact"/>
            </w:pPr>
            <w:r>
              <w:rPr>
                <w:lang w:val="pt-PT"/>
              </w:rPr>
              <w:t xml:space="preserve">No máximo 12 (doze) meses, salvo instrução ou exigência em contrário</w:t>
            </w:r>
          </w:p>
        </w:tc>
      </w:tr>
      <w:tr>
        <w:trPr>
          <w:cantSplit/>
        </w:trPr>
        <w:tc>
          <w:tcPr/>
          <w:p>
            <w:pPr>
              <w:pStyle w:val="Compact"/>
            </w:pPr>
            <w:r>
              <w:rPr>
                <w:lang w:val="pt-PT"/>
              </w:rPr>
              <w:t xml:space="preserve">Registos técnicos</w:t>
            </w:r>
          </w:p>
        </w:tc>
        <w:tc>
          <w:tcPr/>
          <w:p>
            <w:pPr>
              <w:pStyle w:val="Compact"/>
            </w:pPr>
            <w:r>
              <w:rPr>
                <w:lang w:val="pt-PT"/>
              </w:rPr>
              <w:t xml:space="preserve">Aproximadamente noventa (90) dias</w:t>
            </w:r>
          </w:p>
        </w:tc>
      </w:tr>
      <w:tr>
        <w:trPr>
          <w:cantSplit/>
        </w:trPr>
        <w:tc>
          <w:tcPr/>
          <w:p>
            <w:pPr>
              <w:pStyle w:val="Compact"/>
            </w:pPr>
            <w:r>
              <w:rPr>
                <w:lang w:val="pt-PT"/>
              </w:rPr>
              <w:t xml:space="preserve">Cópias de segurança</w:t>
            </w:r>
          </w:p>
        </w:tc>
        <w:tc>
          <w:tcPr/>
          <w:p>
            <w:pPr>
              <w:pStyle w:val="Compact"/>
            </w:pPr>
            <w:r>
              <w:rPr>
                <w:lang w:val="pt-PT"/>
              </w:rPr>
              <w:t xml:space="preserve">Noventa (90) dias no máximo</w:t>
            </w:r>
          </w:p>
        </w:tc>
      </w:tr>
      <w:tr>
        <w:trPr>
          <w:cantSplit/>
        </w:trPr>
        <w:tc>
          <w:tcPr/>
          <w:p>
            <w:pPr>
              <w:pStyle w:val="Compact"/>
            </w:pPr>
            <w:r>
              <w:rPr>
                <w:lang w:val="pt-PT"/>
              </w:rPr>
              <w:t xml:space="preserve">Representações temporárias de fala (correlação de fala)</w:t>
            </w:r>
          </w:p>
        </w:tc>
        <w:tc>
          <w:tcPr/>
          <w:p>
            <w:pPr>
              <w:pStyle w:val="Compact"/>
            </w:pPr>
            <w:r>
              <w:rPr>
                <w:lang w:val="pt-PT"/>
              </w:rPr>
              <w:t xml:space="preserve">Somente duração da solicitação, destruição no final do processamento</w:t>
            </w:r>
          </w:p>
        </w:tc>
      </w:tr>
    </w:tbl>
    <w:p>
      <w:pPr>
        <w:pStyle w:val="BodyText"/>
      </w:pPr>
      <w:r>
        <w:rPr>
          <w:lang w:val="pt-PT"/>
        </w:rPr>
        <w:t xml:space="preserve">Os detalhes aparecem no Anexo 1 do DPA.</w:t>
      </w:r>
    </w:p>
    <w:bookmarkEnd w:id="23"/>
    <w:bookmarkStart w:id="24" w:name="X07f81c7fe2a8ed9b89166589432e4564882394b"/>
    <w:p>
      <w:pPr>
        <w:pStyle w:val="Heading2"/>
        <w:keepNext/>
        <w:keepLines/>
      </w:pPr>
      <w:r>
        <w:rPr>
          <w:color w:val="000000"/>
          <w:lang w:val="pt-PT"/>
        </w:rPr>
        <w:t xml:space="preserve">14. Certificações – situação atual</w:t>
      </w:r>
    </w:p>
    <w:p>
      <w:pPr>
        <w:pStyle w:val="FirstParagraph"/>
      </w:pPr>
      <w:r>
        <w:rPr>
          <w:lang w:val="pt-PT"/>
        </w:rPr>
        <w:t xml:space="preserve">Na data desta planilha, OHADJA </w:t>
      </w:r>
      <w:r>
        <w:rPr>
          <w:lang w:val="pt-PT"/>
        </w:rPr>
        <w:t xml:space="preserve">não </w:t>
      </w:r>
      <w:r>
        <w:rPr>
          <w:b/>
          <w:bCs/>
          <w:lang w:val="pt-PT"/>
        </w:rPr>
        <w:t xml:space="preserve">possui nenhuma certificação </w:t>
      </w:r>
      <w:r>
        <w:rPr>
          <w:lang w:val="pt-PT"/>
        </w:rPr>
        <w:t xml:space="preserve"/>
      </w:r>
      <w:r>
        <w:rPr>
          <w:lang w:val="pt-PT"/>
        </w:rPr>
        <w:t xml:space="preserve">de segurança obtida para TranscribIA. Para ser honesto com suas análises RSSI, o progresso é o seguinte:</w:t>
      </w:r>
    </w:p>
    <w:p>
      <w:pPr>
        <w:pStyle w:val="Compact"/>
        <w:numPr>
          <w:ilvl w:val="0"/>
          <w:numId w:val="1004"/>
        </w:numPr>
      </w:pPr>
      <w:r>
        <w:rPr>
          <w:b/>
          <w:bCs/>
          <w:lang w:val="pt-PT"/>
        </w:rPr>
        <w:t xml:space="preserve">ISO/IEC 27001: </w:t>
      </w:r>
      <w:r>
        <w:rPr>
          <w:lang w:val="pt-PT"/>
        </w:rPr>
        <w:t xml:space="preserve"/>
      </w:r>
      <w:r>
        <w:rPr>
          <w:lang w:val="pt-PT"/>
        </w:rPr>
        <w:t xml:space="preserve">abordagem estruturada adotada; é formalizada uma base de dezasseis políticas de gestão de segurança da informação; certificação prevista para o início de 2027.</w:t>
      </w:r>
    </w:p>
    <w:p>
      <w:pPr>
        <w:pStyle w:val="Compact"/>
        <w:numPr>
          <w:ilvl w:val="0"/>
          <w:numId w:val="1004"/>
        </w:numPr>
      </w:pPr>
      <w:r>
        <w:rPr>
          <w:b/>
          <w:bCs/>
          <w:lang w:val="pt-PT"/>
        </w:rPr>
        <w:t xml:space="preserve">SOC 2 Tipo I: </w:t>
      </w:r>
      <w:r>
        <w:rPr>
          <w:lang w:val="pt-PT"/>
        </w:rPr>
        <w:t xml:space="preserve"/>
      </w:r>
      <w:r>
        <w:rPr>
          <w:lang w:val="pt-PT"/>
        </w:rPr>
        <w:t xml:space="preserve">auditoria prevista para 2026.</w:t>
      </w:r>
    </w:p>
    <w:p>
      <w:pPr>
        <w:pStyle w:val="Compact"/>
        <w:numPr>
          <w:ilvl w:val="0"/>
          <w:numId w:val="1004"/>
        </w:numPr>
      </w:pPr>
      <w:r>
        <w:rPr>
          <w:b/>
          <w:bCs/>
          <w:lang w:val="pt-PT"/>
        </w:rPr>
        <w:t xml:space="preserve">HDS (alojamento de dados de saúde): </w:t>
      </w:r>
      <w:r>
        <w:rPr>
          <w:lang w:val="pt-PT"/>
        </w:rPr>
        <w:t xml:space="preserve"/>
      </w:r>
      <w:r>
        <w:rPr>
          <w:lang w:val="pt-PT"/>
        </w:rPr>
        <w:t xml:space="preserve">em estudo, relevante apenas na presença de dados de saúde.</w:t>
      </w:r>
    </w:p>
    <w:p>
      <w:pPr>
        <w:pStyle w:val="Compact"/>
        <w:numPr>
          <w:ilvl w:val="0"/>
          <w:numId w:val="1004"/>
        </w:numPr>
      </w:pPr>
      <w:r>
        <w:rPr>
          <w:b/>
          <w:bCs/>
          <w:lang w:val="pt-PT"/>
        </w:rPr>
        <w:t xml:space="preserve">SecNumCloud: </w:t>
      </w:r>
      <w:r>
        <w:rPr>
          <w:lang w:val="pt-PT"/>
        </w:rPr>
        <w:t xml:space="preserve"/>
      </w:r>
      <w:r>
        <w:rPr>
          <w:lang w:val="pt-PT"/>
        </w:rPr>
        <w:t xml:space="preserve">em espera, não direcionado no curto prazo.</w:t>
      </w:r>
    </w:p>
    <w:p>
      <w:pPr>
        <w:pStyle w:val="FirstParagraph"/>
      </w:pPr>
      <w:r>
        <w:rPr>
          <w:lang w:val="pt-PT"/>
        </w:rPr>
        <w:t xml:space="preserve">Estes elementos são mencionados a título informativo; eles não constituem compromissos com resultados.</w:t>
      </w:r>
    </w:p>
    <w:bookmarkEnd w:id="24"/>
    <w:bookmarkStart w:id="25" w:name="X3cc9d837d5b5bfc67ac24d260d78f0776b9dcea"/>
    <w:p>
      <w:pPr>
        <w:pStyle w:val="Heading2"/>
        <w:keepNext/>
        <w:keepLines/>
      </w:pPr>
      <w:r>
        <w:rPr>
          <w:color w:val="000000"/>
          <w:lang w:val="pt-PT"/>
        </w:rPr>
        <w:t xml:space="preserve">15. Governança e contacto</w:t>
      </w:r>
    </w:p>
    <w:p>
      <w:pPr>
        <w:pStyle w:val="FirstParagraph"/>
      </w:pPr>
      <w:r>
        <w:rPr>
          <w:lang w:val="pt-PT"/>
        </w:rPr>
        <w:t xml:space="preserve">A OHADJA não designou um EPD à data do presente documento; a necessidade de designação é objeto de uma análise documentada dos critérios do artigo 37.º, aplicáveis aos responsáveis pelo tratamento e aos subcontratantes. O contacto de proteção de dados está disponível em </w:t>
      </w:r>
      <w:r>
        <w:rPr>
          <w:lang w:val="pt-PT"/>
        </w:rPr>
        <w:t xml:space="preserve"/>
      </w:r>
      <w:hyperlink r:id="rId9">
        <w:r>
          <w:rPr>
            <w:rStyle w:val="Hyperlink"/>
            <w:lang w:val="pt-PT"/>
          </w:rPr>
          <w:t xml:space="preserve">privacy@transcribia.eu</w:t>
        </w:r>
      </w:hyperlink>
      <w:r>
        <w:rPr>
          <w:lang w:val="pt-PT"/>
        </w:rPr>
        <w:t xml:space="preserve"> </w:t>
      </w:r>
      <w:r>
        <w:rPr>
          <w:lang w:val="pt-PT"/>
        </w:rPr>
        <w:t xml:space="preserve">[A CONFIRMAR: identidade e qualidade]. Está disponível, mediante pedido, uma AIPD genérica do serviço; a AIPD das utilizações do Cliente continua a ser da sua responsabilidade, com a assistência contratual prevista.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25"/>
    <w:bookmarkEnd w:id="26"/>
    <w:bookmarkStart w:id="35" w:name="X5ce8e54643d310862f8b266cf20852c711cc936"/>
    <w:p>
      <w:pPr>
        <w:pStyle w:val="Heading1"/>
        <w:keepNext/>
        <w:keepLines/>
      </w:pPr>
      <w:r>
        <w:rPr>
          <w:color w:val="000000"/>
          <w:lang w:val="pt-PT"/>
        </w:rPr>
        <w:t xml:space="preserve">Descrição dos tratamentos realizados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TRB-CONF-01.03</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27" w:name="Xb1f60ed89d16cc8c1b22a449bcdccfadc02c111"/>
    <w:p>
      <w:pPr>
        <w:pStyle w:val="Heading2"/>
        <w:keepNext/>
        <w:keepLines/>
      </w:pPr>
      <w:r>
        <w:rPr>
          <w:color w:val="000000"/>
          <w:lang w:val="pt-PT"/>
        </w:rPr>
        <w:t xml:space="preserve">1. Objetivo do documento</w:t>
      </w:r>
    </w:p>
    <w:p>
      <w:pPr>
        <w:pStyle w:val="FirstParagraph"/>
      </w:pPr>
      <w:r>
        <w:rPr>
          <w:lang w:val="pt-PT"/>
        </w:rPr>
        <w:t xml:space="preserve">Este documento amplia o Anexo 1 do Acordo de subcontratação de dados (documento TRB-CONF-01.02). Descreve, para efeitos de análise do sua pessoa de contacto para proteção de dados e do seu departamento informático, o objeto, a natureza, as finalidades do tratamento realizado através de TranscribIA, as categorias de dados e pessoas envolvidas, bem como os detalhes das operações de tratamento, passo a passo, no fluxo funcional da solução.</w:t>
      </w:r>
    </w:p>
    <w:p>
      <w:pPr>
        <w:pStyle w:val="BodyText"/>
      </w:pPr>
      <w:r>
        <w:rPr>
          <w:lang w:val="pt-PT"/>
        </w:rPr>
        <w:t xml:space="preserve">Distingue sistematicamente os dois modos de fornecimento:</w:t>
      </w:r>
    </w:p>
    <w:p>
      <w:pPr>
        <w:pStyle w:val="Compact"/>
        <w:numPr>
          <w:ilvl w:val="0"/>
          <w:numId w:val="1005"/>
        </w:numPr>
      </w:pPr>
      <w:r>
        <w:rPr>
          <w:b/>
          <w:bCs/>
          <w:lang w:val="pt-PT"/>
        </w:rPr>
        <w:t xml:space="preserve">Opção A — SaaS: </w:t>
      </w:r>
      <w:r>
        <w:rPr>
          <w:lang w:val="pt-PT"/>
        </w:rPr>
        <w:t xml:space="preserve"/>
      </w:r>
      <w:r>
        <w:rPr>
          <w:lang w:val="pt-PT"/>
        </w:rPr>
        <w:t xml:space="preserve">serviço alojado e operado por OHADJA numa infraestrutura localizada em França.</w:t>
      </w:r>
    </w:p>
    <w:p>
      <w:pPr>
        <w:pStyle w:val="Compact"/>
        <w:numPr>
          <w:ilvl w:val="0"/>
          <w:numId w:val="1005"/>
        </w:numPr>
      </w:pPr>
      <w:r>
        <w:rPr>
          <w:b/>
          <w:bCs/>
          <w:lang w:val="pt-PT"/>
        </w:rPr>
        <w:t xml:space="preserve">Opção B — On-premise: </w:t>
      </w:r>
      <w:r>
        <w:rPr>
          <w:lang w:val="pt-PT"/>
        </w:rPr>
        <w:t xml:space="preserve"/>
      </w:r>
      <w:r>
        <w:rPr>
          <w:lang w:val="pt-PT"/>
        </w:rPr>
        <w:t xml:space="preserve">implementação da solução na infraestrutura do cliente, cuja variante “isolada” não envolve nenhum fluxo de saída.</w:t>
      </w:r>
    </w:p>
    <w:p>
      <w:pPr>
        <w:pStyle w:val="FirstParagraph"/>
      </w:pPr>
      <w:r>
        <w:rPr>
          <w:lang w:val="pt-PT"/>
        </w:rPr>
        <w:t xml:space="preserve">No caso de qualquer discrepância entre este documento e o DPA, as disposições do DPA prevalecerão.</w:t>
      </w:r>
    </w:p>
    <w:bookmarkEnd w:id="27"/>
    <w:bookmarkStart w:id="28" w:name="Xe2205706177dc3f6d76bd1cc1f9ebf058d31c16"/>
    <w:p>
      <w:pPr>
        <w:pStyle w:val="Heading2"/>
        <w:keepNext/>
        <w:keepLines/>
      </w:pPr>
      <w:r>
        <w:rPr>
          <w:color w:val="000000"/>
          <w:lang w:val="pt-PT"/>
        </w:rPr>
        <w:t xml:space="preserve">2. Finalidade, natureza e finalidades do tratamento</w:t>
      </w:r>
    </w:p>
    <w:p>
      <w:pPr>
        <w:pStyle w:val="FirstParagraph"/>
      </w:pPr>
      <w:r>
        <w:rPr>
          <w:b/>
          <w:bCs/>
          <w:lang w:val="pt-PT"/>
        </w:rPr>
        <w:t xml:space="preserve">Objeto. </w:t>
      </w:r>
      <w:r>
        <w:rPr>
          <w:lang w:val="pt-PT"/>
        </w:rPr>
        <w:t xml:space="preserve"/>
      </w:r>
      <w:r>
        <w:rPr>
          <w:lang w:val="pt-PT"/>
        </w:rPr>
        <w:t xml:space="preserve">Fornecendo uma solução para transcrição de áudio, diarização, estruturação de transcrição, exploração de inteligência artificial, geração de documentos, gerenciamento de sessões e utilizadores, registo e sugestão de identificação de locutores.</w:t>
      </w:r>
    </w:p>
    <w:p>
      <w:pPr>
        <w:pStyle w:val="BodyText"/>
      </w:pPr>
      <w:r>
        <w:rPr>
          <w:b/>
          <w:bCs/>
          <w:lang w:val="pt-PT"/>
        </w:rPr>
        <w:t xml:space="preserve">Natureza. </w:t>
      </w:r>
      <w:r>
        <w:rPr>
          <w:lang w:val="pt-PT"/>
        </w:rPr>
        <w:t xml:space="preserve"/>
      </w:r>
      <w:r>
        <w:rPr>
          <w:lang w:val="pt-PT"/>
        </w:rPr>
        <w:t xml:space="preserve">Coleta por upload, alojamento, armazenamento, organização, visualização, extração, transcrição, diarização, correção, geração assistida por IA, exportação, logging, backup, exclusão e assistência técnica.</w:t>
      </w:r>
    </w:p>
    <w:p>
      <w:pPr>
        <w:pStyle w:val="BodyText"/>
      </w:pPr>
      <w:r>
        <w:rPr>
          <w:b/>
          <w:bCs/>
          <w:lang w:val="pt-PT"/>
        </w:rPr>
        <w:t xml:space="preserve">Finalidades. </w:t>
      </w:r>
      <w:r>
        <w:rPr>
          <w:lang w:val="pt-PT"/>
        </w:rPr>
        <w:t xml:space="preserve"/>
      </w:r>
      <w:r>
        <w:rPr>
          <w:lang w:val="pt-PT"/>
        </w:rPr>
        <w:t xml:space="preserve">Permita que sua organização crie sessões de trabalho, carregue ficheiros de áudio, obtenha transcrições utilizáveis, gerencie palestrantes, corrija ou enriqueça conteúdos, produza resumos, atas, capítulos ou análises, gerencie documentos preparatórios, garanta a rastreabilidade e administre o acesso.</w:t>
      </w:r>
    </w:p>
    <w:p>
      <w:pPr>
        <w:pStyle w:val="BodyText"/>
      </w:pPr>
      <w:r>
        <w:rPr>
          <w:lang w:val="pt-PT"/>
        </w:rPr>
        <w:t xml:space="preserve">As finalidades são </w:t>
      </w:r>
      <w:r>
        <w:rPr>
          <w:lang w:val="pt-PT"/>
        </w:rPr>
        <w:t xml:space="preserve"/>
      </w:r>
      <w:r>
        <w:rPr>
          <w:b/>
          <w:bCs/>
          <w:lang w:val="pt-PT"/>
        </w:rPr>
        <w:t xml:space="preserve">determinadas pela sua organização </w:t>
      </w:r>
      <w:r>
        <w:rPr>
          <w:lang w:val="pt-PT"/>
        </w:rPr>
        <w:t xml:space="preserve"/>
      </w:r>
      <w:r>
        <w:rPr>
          <w:lang w:val="pt-PT"/>
        </w:rPr>
        <w:t xml:space="preserve">na qualidade de responsável pelo tratamento. OHADJA não usa nenhum dado para seus próprios fins.</w:t>
      </w:r>
    </w:p>
    <w:bookmarkEnd w:id="28"/>
    <w:bookmarkStart w:id="29" w:name="X56485e4b262afdb194453dd1109068006fcc426"/>
    <w:p>
      <w:pPr>
        <w:pStyle w:val="Heading2"/>
        <w:keepNext/>
        <w:keepLines/>
      </w:pPr>
      <w:r>
        <w:rPr>
          <w:color w:val="000000"/>
          <w:lang w:val="pt-PT"/>
        </w:rPr>
        <w:t xml:space="preserve">3. Categorias de dados tratados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Exemplos</w:t>
            </w:r>
          </w:p>
        </w:tc>
      </w:tr>
      <w:tr>
        <w:trPr>
          <w:cantSplit/>
        </w:trPr>
        <w:tc>
          <w:tcPr/>
          <w:p>
            <w:pPr>
              <w:pStyle w:val="Compact"/>
            </w:pPr>
            <w:r>
              <w:rPr>
                <w:lang w:val="pt-PT"/>
              </w:rPr>
              <w:t xml:space="preserve">Possíveis gravações de áudio e vídeo</w:t>
            </w:r>
          </w:p>
        </w:tc>
        <w:tc>
          <w:tcPr/>
          <w:p>
            <w:pPr>
              <w:pStyle w:val="Compact"/>
            </w:pPr>
            <w:r>
              <w:rPr>
                <w:lang w:val="pt-PT"/>
              </w:rPr>
              <w:t xml:space="preserve">Ficheiros MP3, wav, ogg, m4a, flac, webm, mp4, avi, mkv, mov, wmv (tamanho máximo 2.500 MB)</w:t>
            </w:r>
          </w:p>
        </w:tc>
      </w:tr>
      <w:tr>
        <w:trPr>
          <w:cantSplit/>
        </w:trPr>
        <w:tc>
          <w:tcPr/>
          <w:p>
            <w:pPr>
              <w:pStyle w:val="Compact"/>
            </w:pPr>
            <w:r>
              <w:rPr>
                <w:lang w:val="pt-PT"/>
              </w:rPr>
              <w:t xml:space="preserve">Transcrições</w:t>
            </w:r>
          </w:p>
        </w:tc>
        <w:tc>
          <w:tcPr/>
          <w:p>
            <w:pPr>
              <w:pStyle w:val="Compact"/>
            </w:pPr>
            <w:r>
              <w:rPr>
                <w:lang w:val="pt-PT"/>
              </w:rPr>
              <w:t xml:space="preserve">Transcrição JSON, segmentos, carimbos de data e hora, literalmente, versões, correções, capítulos, diarização</w:t>
            </w:r>
          </w:p>
        </w:tc>
      </w:tr>
      <w:tr>
        <w:trPr>
          <w:cantSplit/>
        </w:trPr>
        <w:tc>
          <w:tcPr/>
          <w:p>
            <w:pPr>
              <w:pStyle w:val="Compact"/>
            </w:pPr>
            <w:r>
              <w:rPr>
                <w:lang w:val="pt-PT"/>
              </w:rPr>
              <w:t xml:space="preserve">Dados do interveniente</w:t>
            </w:r>
          </w:p>
        </w:tc>
        <w:tc>
          <w:tcPr/>
          <w:p>
            <w:pPr>
              <w:pStyle w:val="Compact"/>
            </w:pPr>
            <w:r>
              <w:rPr>
                <w:lang w:val="pt-PT"/>
              </w:rPr>
              <w:t xml:space="preserve">Nomes inseridos pelos utilizadores, rótulos dos intervenientes, correspondências propostas e validadas</w:t>
            </w:r>
          </w:p>
        </w:tc>
      </w:tr>
      <w:tr>
        <w:trPr>
          <w:cantSplit/>
        </w:trPr>
        <w:tc>
          <w:tcPr/>
          <w:p>
            <w:pPr>
              <w:pStyle w:val="Compact"/>
            </w:pPr>
            <w:r>
              <w:rPr>
                <w:lang w:val="pt-PT"/>
              </w:rPr>
              <w:t xml:space="preserve">Documentos preparatórios</w:t>
            </w:r>
          </w:p>
        </w:tc>
        <w:tc>
          <w:tcPr/>
          <w:p>
            <w:pPr>
              <w:pStyle w:val="Compact"/>
            </w:pPr>
            <w:r>
              <w:rPr>
                <w:lang w:val="pt-PT"/>
              </w:rPr>
              <w:t xml:space="preserve">Ordens de trabalhos, atas anteriores, notas, PDF/DOCX, texto ou Markdown extraído</w:t>
            </w:r>
          </w:p>
        </w:tc>
      </w:tr>
      <w:tr>
        <w:trPr>
          <w:cantSplit/>
        </w:trPr>
        <w:tc>
          <w:tcPr/>
          <w:p>
            <w:pPr>
              <w:pStyle w:val="Compact"/>
            </w:pPr>
            <w:r>
              <w:rPr>
                <w:lang w:val="pt-PT"/>
              </w:rPr>
              <w:t xml:space="preserve">Metadados da sessão</w:t>
            </w:r>
          </w:p>
        </w:tc>
        <w:tc>
          <w:tcPr/>
          <w:p>
            <w:pPr>
              <w:pStyle w:val="Compact"/>
            </w:pPr>
            <w:r>
              <w:rPr>
                <w:lang w:val="pt-PT"/>
              </w:rPr>
              <w:t xml:space="preserve">Título, data, local, tipo de sessão, status, calendário, equipa, organização, ficheiros vinculados, configurações</w:t>
            </w:r>
          </w:p>
        </w:tc>
      </w:tr>
      <w:tr>
        <w:trPr>
          <w:cantSplit/>
        </w:trPr>
        <w:tc>
          <w:tcPr/>
          <w:p>
            <w:pPr>
              <w:pStyle w:val="Compact"/>
            </w:pPr>
            <w:r>
              <w:rPr>
                <w:lang w:val="pt-PT"/>
              </w:rPr>
              <w:t xml:space="preserve">Contas de utilizador</w:t>
            </w:r>
          </w:p>
        </w:tc>
        <w:tc>
          <w:tcPr/>
          <w:p>
            <w:pPr>
              <w:pStyle w:val="Compact"/>
            </w:pPr>
            <w:r>
              <w:rPr>
                <w:lang w:val="pt-PT"/>
              </w:rPr>
              <w:t xml:space="preserve">Sobrenome, nome, se aplicável, endereço de e-mail, função, organização, equipa, tokens de acesso, datas de conexão</w:t>
            </w:r>
          </w:p>
        </w:tc>
      </w:tr>
      <w:tr>
        <w:trPr>
          <w:cantSplit/>
        </w:trPr>
        <w:tc>
          <w:tcPr/>
          <w:p>
            <w:pPr>
              <w:pStyle w:val="Compact"/>
            </w:pPr>
            <w:r>
              <w:rPr>
                <w:lang w:val="pt-PT"/>
              </w:rPr>
              <w:t xml:space="preserve">Registos de auditoria e rastreamentos técnicos</w:t>
            </w:r>
          </w:p>
        </w:tc>
        <w:tc>
          <w:tcPr/>
          <w:p>
            <w:pPr>
              <w:pStyle w:val="Compact"/>
            </w:pPr>
            <w:r>
              <w:rPr>
                <w:lang w:val="pt-PT"/>
              </w:rPr>
              <w:t xml:space="preserve">Identificadores de utilizadores, ações, datas, endereços IP quando coletados, eventos de aplicativos, erros, identificadores de correlação</w:t>
            </w:r>
          </w:p>
        </w:tc>
      </w:tr>
      <w:tr>
        <w:trPr>
          <w:cantSplit/>
        </w:trPr>
        <w:tc>
          <w:tcPr/>
          <w:p>
            <w:pPr>
              <w:pStyle w:val="Compact"/>
            </w:pPr>
            <w:r>
              <w:rPr>
                <w:lang w:val="pt-PT"/>
              </w:rPr>
              <w:t xml:space="preserve">Gerações de IA</w:t>
            </w:r>
          </w:p>
        </w:tc>
        <w:tc>
          <w:tcPr/>
          <w:p>
            <w:pPr>
              <w:pStyle w:val="Compact"/>
            </w:pPr>
            <w:r>
              <w:rPr>
                <w:lang w:val="pt-PT"/>
              </w:rPr>
              <w:t xml:space="preserve">Prompts, fontes selecionadas, respostas geradas, resumos, análises, correções, atas, exportações</w:t>
            </w:r>
          </w:p>
        </w:tc>
      </w:tr>
      <w:tr>
        <w:trPr>
          <w:cantSplit/>
        </w:trPr>
        <w:tc>
          <w:tcPr/>
          <w:p>
            <w:pPr>
              <w:pStyle w:val="Compact"/>
            </w:pPr>
            <w:r>
              <w:rPr>
                <w:lang w:val="pt-PT"/>
              </w:rPr>
              <w:t xml:space="preserve">Dados de votação ou participação, se habilitado</w:t>
            </w:r>
          </w:p>
        </w:tc>
        <w:tc>
          <w:tcPr/>
          <w:p>
            <w:pPr>
              <w:pStyle w:val="Compact"/>
            </w:pPr>
            <w:r>
              <w:rPr>
                <w:lang w:val="pt-PT"/>
              </w:rPr>
              <w:t xml:space="preserve">Presenças, ausências, procurações, resultados de votação, qualidade ou função dos participantes</w:t>
            </w:r>
          </w:p>
        </w:tc>
      </w:tr>
      <w:tr>
        <w:trPr>
          <w:cantSplit/>
        </w:trPr>
        <w:tc>
          <w:tcPr/>
          <w:p>
            <w:pPr>
              <w:pStyle w:val="Compact"/>
            </w:pPr>
            <w:r>
              <w:rPr>
                <w:lang w:val="pt-PT"/>
              </w:rPr>
              <w:t xml:space="preserve">Representações vocais temporárias</w:t>
            </w:r>
          </w:p>
        </w:tc>
        <w:tc>
          <w:tcPr/>
          <w:p>
            <w:pPr>
              <w:pStyle w:val="Compact"/>
            </w:pPr>
            <w:r>
              <w:rPr>
                <w:lang w:val="pt-PT"/>
              </w:rPr>
              <w:t xml:space="preserve">Vetores digitais calculados em RAM para correlação de voz, destruídos ao final da solicitação</w:t>
            </w:r>
          </w:p>
        </w:tc>
      </w:tr>
    </w:tbl>
    <w:bookmarkEnd w:id="29"/>
    <w:bookmarkStart w:id="30" w:name="Xb026068f2151d4ac72560dc3548f72be26eed7b"/>
    <w:p>
      <w:pPr>
        <w:pStyle w:val="Heading2"/>
        <w:keepNext/>
        <w:keepLines/>
      </w:pPr>
      <w:r>
        <w:rPr>
          <w:color w:val="000000"/>
          <w:lang w:val="pt-PT"/>
        </w:rPr>
        <w:t xml:space="preserve">4. Categorias de pessoas em causa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Categoria</w:t>
            </w:r>
          </w:p>
        </w:tc>
        <w:tc>
          <w:tcPr/>
          <w:p>
            <w:pPr>
              <w:pStyle w:val="Compact"/>
            </w:pPr>
            <w:r>
              <w:rPr>
                <w:lang w:val="pt-PT"/>
              </w:rPr>
              <w:t xml:space="preserve">Descrição</w:t>
            </w:r>
          </w:p>
        </w:tc>
      </w:tr>
      <w:tr>
        <w:trPr>
          <w:cantSplit/>
        </w:trPr>
        <w:tc>
          <w:tcPr/>
          <w:p>
            <w:pPr>
              <w:pStyle w:val="Compact"/>
            </w:pPr>
            <w:r>
              <w:rPr>
                <w:lang w:val="pt-PT"/>
              </w:rPr>
              <w:t xml:space="preserve">Utilizadores clientes</w:t>
            </w:r>
          </w:p>
        </w:tc>
        <w:tc>
          <w:tcPr/>
          <w:p>
            <w:pPr>
              <w:pStyle w:val="Compact"/>
            </w:pPr>
            <w:r>
              <w:rPr>
                <w:lang w:val="pt-PT"/>
              </w:rPr>
              <w:t xml:space="preserve">Agentes, funcionários, autoridades eleitas, profissionais, advogados, notários, professores, jornalistas, administradores, membros da equipa</w:t>
            </w:r>
          </w:p>
        </w:tc>
      </w:tr>
      <w:tr>
        <w:trPr>
          <w:cantSplit/>
        </w:trPr>
        <w:tc>
          <w:tcPr/>
          <w:p>
            <w:pPr>
              <w:pStyle w:val="Compact"/>
            </w:pPr>
            <w:r>
              <w:rPr>
                <w:lang w:val="pt-PT"/>
              </w:rPr>
              <w:t xml:space="preserve">Palestrantes registados</w:t>
            </w:r>
          </w:p>
        </w:tc>
        <w:tc>
          <w:tcPr/>
          <w:p>
            <w:pPr>
              <w:pStyle w:val="Compact"/>
            </w:pPr>
            <w:r>
              <w:rPr>
                <w:lang w:val="pt-PT"/>
              </w:rPr>
              <w:t xml:space="preserve">Participantes cuja voz é capturada em ficheiros carregados</w:t>
            </w:r>
          </w:p>
        </w:tc>
      </w:tr>
      <w:tr>
        <w:trPr>
          <w:cantSplit/>
        </w:trPr>
        <w:tc>
          <w:tcPr/>
          <w:p>
            <w:pPr>
              <w:pStyle w:val="Compact"/>
            </w:pPr>
            <w:r>
              <w:rPr>
                <w:lang w:val="pt-PT"/>
              </w:rPr>
              <w:t xml:space="preserve">Pessoas mencionadas</w:t>
            </w:r>
          </w:p>
        </w:tc>
        <w:tc>
          <w:tcPr/>
          <w:p>
            <w:pPr>
              <w:pStyle w:val="Compact"/>
            </w:pPr>
            <w:r>
              <w:rPr>
                <w:lang w:val="pt-PT"/>
              </w:rPr>
              <w:t xml:space="preserve">Pessoas citadas em reuniões, transcrições, documentos, votações, atas ou gerações de IA</w:t>
            </w:r>
          </w:p>
        </w:tc>
      </w:tr>
      <w:tr>
        <w:trPr>
          <w:cantSplit/>
        </w:trPr>
        <w:tc>
          <w:tcPr/>
          <w:p>
            <w:pPr>
              <w:pStyle w:val="Compact"/>
            </w:pPr>
            <w:r>
              <w:rPr>
                <w:lang w:val="pt-PT"/>
              </w:rPr>
              <w:t xml:space="preserve">Contactos institucionais</w:t>
            </w:r>
          </w:p>
        </w:tc>
        <w:tc>
          <w:tcPr/>
          <w:p>
            <w:pPr>
              <w:pStyle w:val="Compact"/>
            </w:pPr>
            <w:r>
              <w:rPr>
                <w:lang w:val="pt-PT"/>
              </w:rPr>
              <w:t xml:space="preserve">Membros do conselho, funcionários eleitos, colaboradores, representantes, participantes convidados</w:t>
            </w:r>
          </w:p>
        </w:tc>
      </w:tr>
      <w:tr>
        <w:trPr>
          <w:cantSplit/>
        </w:trPr>
        <w:tc>
          <w:tcPr/>
          <w:p>
            <w:pPr>
              <w:pStyle w:val="Compact"/>
            </w:pPr>
            <w:r>
              <w:rPr>
                <w:lang w:val="pt-PT"/>
              </w:rPr>
              <w:t xml:space="preserve">Equipa OHADJA</w:t>
            </w:r>
          </w:p>
        </w:tc>
        <w:tc>
          <w:tcPr/>
          <w:p>
            <w:pPr>
              <w:pStyle w:val="Compact"/>
            </w:pPr>
            <w:r>
              <w:rPr>
                <w:lang w:val="pt-PT"/>
              </w:rPr>
              <w:t xml:space="preserve">Somente para vestígios de intervenção, suporte, segurança ou auditoria interna vinculados ao serviço</w:t>
            </w:r>
          </w:p>
        </w:tc>
      </w:tr>
    </w:tbl>
    <w:bookmarkEnd w:id="30"/>
    <w:bookmarkStart w:id="32" w:name="X1b3637a51c839f2e3fee467cfce921b002e0fd8"/>
    <w:p>
      <w:pPr>
        <w:pStyle w:val="Heading2"/>
        <w:keepNext/>
        <w:keepLines/>
      </w:pPr>
      <w:r>
        <w:rPr>
          <w:color w:val="000000"/>
          <w:lang w:val="pt-PT"/>
        </w:rPr>
        <w:t xml:space="preserve">5. Operações de processamento, passo a passo</w:t>
      </w:r>
    </w:p>
    <w:p>
      <w:pPr>
        <w:pStyle w:val="FirstParagraph"/>
      </w:pPr>
      <w:r>
        <w:rPr>
          <w:lang w:val="pt-PT"/>
        </w:rPr>
        <w:t xml:space="preserve">A tabela seguinte descreve cada operação do fluxo funcional, a componente técnica em causa, a localização do processamento na Opção A e o comportamento na Opção B isolada.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Operação</w:t>
            </w:r>
          </w:p>
        </w:tc>
        <w:tc>
          <w:tcPr>
            <w:tcW w:type="dxa" w:w="1872"/>
            <w:tcMar>
              <w:left w:type="dxa" w:w="80"/>
              <w:right w:type="dxa" w:w="80"/>
            </w:tcMar>
          </w:tcPr>
          <w:p>
            <w:pPr>
              <w:pStyle w:val="Compact"/>
            </w:pPr>
            <w:r>
              <w:rPr>
                <w:sz w:val="19"/>
                <w:szCs w:val="19"/>
                <w:lang w:val="pt-PT"/>
              </w:rPr>
              <w:t xml:space="preserve">Componente</w:t>
            </w:r>
          </w:p>
        </w:tc>
        <w:tc>
          <w:tcPr>
            <w:tcW w:type="dxa" w:w="1872"/>
            <w:tcMar>
              <w:left w:type="dxa" w:w="80"/>
              <w:right w:type="dxa" w:w="80"/>
            </w:tcMar>
          </w:tcPr>
          <w:p>
            <w:pPr>
              <w:pStyle w:val="Compact"/>
            </w:pPr>
            <w:r>
              <w:rPr>
                <w:sz w:val="19"/>
                <w:szCs w:val="19"/>
                <w:lang w:val="pt-PT"/>
              </w:rPr>
              <w:t xml:space="preserve">Opção A (SaaS)</w:t>
            </w:r>
          </w:p>
        </w:tc>
        <w:tc>
          <w:tcPr>
            <w:tcW w:type="dxa" w:w="1872"/>
            <w:tcMar>
              <w:left w:type="dxa" w:w="80"/>
              <w:right w:type="dxa" w:w="80"/>
            </w:tcMar>
          </w:tcPr>
          <w:p>
            <w:pPr>
              <w:pStyle w:val="Compact"/>
            </w:pPr>
            <w:r>
              <w:rPr>
                <w:sz w:val="19"/>
                <w:szCs w:val="19"/>
                <w:lang w:val="pt-PT"/>
              </w:rPr>
              <w:t xml:space="preserve">Opção B (isolada)</w:t>
            </w:r>
          </w:p>
        </w:tc>
      </w:tr>
      <w:tr>
        <w:trPr>
          <w:cantSplit/>
        </w:trPr>
        <w:tc>
          <w:tcPr>
            <w:tcW w:type="dxa" w:w="1872"/>
            <w:tcMar>
              <w:left w:type="dxa" w:w="80"/>
              <w:right w:type="dxa" w:w="80"/>
            </w:tcMar>
          </w:tcPr>
          <w:p>
            <w:pPr>
              <w:pStyle w:val="Compact"/>
            </w:pPr>
            <w:r>
              <w:rPr>
                <w:sz w:val="19"/>
                <w:szCs w:val="19"/>
                <w:lang w:val="pt-PT"/>
              </w:rPr>
              <w:t xml:space="preserve">1. Carregar</w:t>
            </w:r>
          </w:p>
        </w:tc>
        <w:tc>
          <w:tcPr>
            <w:tcW w:type="dxa" w:w="1872"/>
            <w:tcMar>
              <w:left w:type="dxa" w:w="80"/>
              <w:right w:type="dxa" w:w="80"/>
            </w:tcMar>
          </w:tcPr>
          <w:p>
            <w:pPr>
              <w:pStyle w:val="Compact"/>
            </w:pPr>
            <w:r>
              <w:rPr>
                <w:sz w:val="19"/>
                <w:szCs w:val="19"/>
                <w:lang w:val="pt-PT"/>
              </w:rPr>
              <w:t xml:space="preserve">Receção do ficheiro de áudio ou vídeo, verificação de formato e tamanho (máx. 2.500 MB), mudança para status “pendente”</w:t>
            </w:r>
          </w:p>
        </w:tc>
        <w:tc>
          <w:tcPr>
            <w:tcW w:type="dxa" w:w="1872"/>
            <w:tcMar>
              <w:left w:type="dxa" w:w="80"/>
              <w:right w:type="dxa" w:w="80"/>
            </w:tcMar>
          </w:tcPr>
          <w:p>
            <w:pPr>
              <w:pStyle w:val="Compact"/>
            </w:pPr>
            <w:r>
              <w:rPr>
                <w:sz w:val="19"/>
                <w:szCs w:val="19"/>
                <w:lang w:val="pt-PT"/>
              </w:rPr>
              <w:t xml:space="preserve">Aplicativo Laravel + Nginx</w:t>
            </w:r>
          </w:p>
        </w:tc>
        <w:tc>
          <w:tcPr>
            <w:tcW w:type="dxa" w:w="1872"/>
            <w:tcMar>
              <w:left w:type="dxa" w:w="80"/>
              <w:right w:type="dxa" w:w="80"/>
            </w:tcMar>
          </w:tcPr>
          <w:p>
            <w:pPr>
              <w:pStyle w:val="Compact"/>
            </w:pPr>
            <w:r>
              <w:rPr>
                <w:sz w:val="19"/>
                <w:szCs w:val="19"/>
                <w:lang w:val="pt-PT"/>
              </w:rPr>
              <w:t xml:space="preserve">Servidor França</w:t>
            </w:r>
          </w:p>
        </w:tc>
        <w:tc>
          <w:tcPr>
            <w:tcW w:type="dxa" w:w="1872"/>
            <w:tcMar>
              <w:left w:type="dxa" w:w="80"/>
              <w:right w:type="dxa" w:w="80"/>
            </w:tcMar>
          </w:tcPr>
          <w:p>
            <w:pPr>
              <w:pStyle w:val="Compact"/>
            </w:pPr>
            <w:r>
              <w:rPr>
                <w:sz w:val="19"/>
                <w:szCs w:val="19"/>
                <w:lang w:val="pt-PT"/>
              </w:rPr>
              <w:t xml:space="preserve">Infraestrutura do cliente</w:t>
            </w:r>
          </w:p>
        </w:tc>
      </w:tr>
      <w:tr>
        <w:trPr>
          <w:cantSplit/>
        </w:trPr>
        <w:tc>
          <w:tcPr>
            <w:tcW w:type="dxa" w:w="1872"/>
            <w:tcMar>
              <w:left w:type="dxa" w:w="80"/>
              <w:right w:type="dxa" w:w="80"/>
            </w:tcMar>
          </w:tcPr>
          <w:p>
            <w:pPr>
              <w:pStyle w:val="Compact"/>
            </w:pPr>
            <w:r>
              <w:rPr>
                <w:sz w:val="19"/>
                <w:szCs w:val="19"/>
                <w:lang w:val="pt-PT"/>
              </w:rPr>
              <w:t xml:space="preserve">2. Verificação de vírus</w:t>
            </w:r>
          </w:p>
        </w:tc>
        <w:tc>
          <w:tcPr>
            <w:tcW w:type="dxa" w:w="1872"/>
            <w:tcMar>
              <w:left w:type="dxa" w:w="80"/>
              <w:right w:type="dxa" w:w="80"/>
            </w:tcMar>
          </w:tcPr>
          <w:p>
            <w:pPr>
              <w:pStyle w:val="Compact"/>
            </w:pPr>
            <w:r>
              <w:rPr>
                <w:sz w:val="19"/>
                <w:szCs w:val="19"/>
                <w:lang w:val="pt-PT"/>
              </w:rPr>
              <w:t xml:space="preserve">Controlo sistemático de cada upload antes da gravação do disco, rejeição e alerta em caso de ficheiro infectado</w:t>
            </w:r>
          </w:p>
        </w:tc>
        <w:tc>
          <w:tcPr>
            <w:tcW w:type="dxa" w:w="1872"/>
            <w:tcMar>
              <w:left w:type="dxa" w:w="80"/>
              <w:right w:type="dxa" w:w="80"/>
            </w:tcMar>
          </w:tcPr>
          <w:p>
            <w:pPr>
              <w:pStyle w:val="Compact"/>
            </w:pPr>
            <w:r>
              <w:rPr>
                <w:sz w:val="19"/>
                <w:szCs w:val="19"/>
                <w:lang w:val="pt-PT"/>
              </w:rPr>
              <w:t xml:space="preserve">Sidecar ClamAV</w:t>
            </w:r>
          </w:p>
        </w:tc>
        <w:tc>
          <w:tcPr>
            <w:tcW w:type="dxa" w:w="1872"/>
            <w:tcMar>
              <w:left w:type="dxa" w:w="80"/>
              <w:right w:type="dxa" w:w="80"/>
            </w:tcMar>
          </w:tcPr>
          <w:p>
            <w:pPr>
              <w:pStyle w:val="Compact"/>
            </w:pPr>
            <w:r>
              <w:rPr>
                <w:sz w:val="19"/>
                <w:szCs w:val="19"/>
                <w:lang w:val="pt-PT"/>
              </w:rPr>
              <w:t xml:space="preserve">Servidor França</w:t>
            </w:r>
          </w:p>
        </w:tc>
        <w:tc>
          <w:tcPr>
            <w:tcW w:type="dxa" w:w="1872"/>
            <w:tcMar>
              <w:left w:type="dxa" w:w="80"/>
              <w:right w:type="dxa" w:w="80"/>
            </w:tcMar>
          </w:tcPr>
          <w:p>
            <w:pPr>
              <w:pStyle w:val="Compact"/>
            </w:pPr>
            <w:r>
              <w:rPr>
                <w:sz w:val="19"/>
                <w:szCs w:val="19"/>
                <w:lang w:val="pt-PT"/>
              </w:rPr>
              <w:t xml:space="preserve">Infraestrutura do cliente</w:t>
            </w:r>
          </w:p>
        </w:tc>
      </w:tr>
      <w:tr>
        <w:trPr>
          <w:cantSplit/>
        </w:trPr>
        <w:tc>
          <w:tcPr>
            <w:tcW w:type="dxa" w:w="1872"/>
            <w:tcMar>
              <w:left w:type="dxa" w:w="80"/>
              <w:right w:type="dxa" w:w="80"/>
            </w:tcMar>
          </w:tcPr>
          <w:p>
            <w:pPr>
              <w:pStyle w:val="Compact"/>
            </w:pPr>
            <w:r>
              <w:rPr>
                <w:sz w:val="19"/>
                <w:szCs w:val="19"/>
                <w:lang w:val="pt-PT"/>
              </w:rPr>
              <w:t xml:space="preserve">3. Transcrição</w:t>
            </w:r>
          </w:p>
        </w:tc>
        <w:tc>
          <w:tcPr>
            <w:tcW w:type="dxa" w:w="1872"/>
            <w:tcMar>
              <w:left w:type="dxa" w:w="80"/>
              <w:right w:type="dxa" w:w="80"/>
            </w:tcMar>
          </w:tcPr>
          <w:p>
            <w:pPr>
              <w:pStyle w:val="Compact"/>
            </w:pPr>
            <w:r>
              <w:rPr>
                <w:sz w:val="19"/>
                <w:szCs w:val="19"/>
                <w:lang w:val="pt-PT"/>
              </w:rPr>
              <w:t xml:space="preserve">Conversão de fala em texto, produção de segmento e carimbo de data/hora</w:t>
            </w:r>
          </w:p>
        </w:tc>
        <w:tc>
          <w:tcPr>
            <w:tcW w:type="dxa" w:w="1872"/>
            <w:tcMar>
              <w:left w:type="dxa" w:w="80"/>
              <w:right w:type="dxa" w:w="80"/>
            </w:tcMar>
          </w:tcPr>
          <w:p>
            <w:pPr>
              <w:pStyle w:val="Compact"/>
            </w:pPr>
            <w:r>
              <w:rPr>
                <w:sz w:val="19"/>
                <w:szCs w:val="19"/>
                <w:lang w:val="pt-PT"/>
              </w:rPr>
              <w:t xml:space="preserve">Servidor de transcrição GPU (whisperX)</w:t>
            </w:r>
          </w:p>
        </w:tc>
        <w:tc>
          <w:tcPr>
            <w:tcW w:type="dxa" w:w="1872"/>
            <w:tcMar>
              <w:left w:type="dxa" w:w="80"/>
              <w:right w:type="dxa" w:w="80"/>
            </w:tcMar>
          </w:tcPr>
          <w:p>
            <w:pPr>
              <w:pStyle w:val="Compact"/>
            </w:pPr>
            <w:r>
              <w:rPr>
                <w:sz w:val="19"/>
                <w:szCs w:val="19"/>
                <w:lang w:val="pt-PT"/>
              </w:rPr>
              <w:t xml:space="preserve">Recurso dedicado de GPU ou UE quando necessário</w:t>
            </w:r>
          </w:p>
        </w:tc>
        <w:tc>
          <w:tcPr>
            <w:tcW w:type="dxa" w:w="1872"/>
            <w:tcMar>
              <w:left w:type="dxa" w:w="80"/>
              <w:right w:type="dxa" w:w="80"/>
            </w:tcMar>
          </w:tcPr>
          <w:p>
            <w:pPr>
              <w:pStyle w:val="Compact"/>
            </w:pPr>
            <w:r>
              <w:rPr>
                <w:sz w:val="19"/>
                <w:szCs w:val="19"/>
                <w:lang w:val="pt-PT"/>
              </w:rPr>
              <w:t xml:space="preserve">Trabalhador de GPU local do cliente</w:t>
            </w:r>
          </w:p>
        </w:tc>
      </w:tr>
      <w:tr>
        <w:trPr>
          <w:cantSplit/>
        </w:trPr>
        <w:tc>
          <w:tcPr>
            <w:tcW w:type="dxa" w:w="1872"/>
            <w:tcMar>
              <w:left w:type="dxa" w:w="80"/>
              <w:right w:type="dxa" w:w="80"/>
            </w:tcMar>
          </w:tcPr>
          <w:p>
            <w:pPr>
              <w:pStyle w:val="Compact"/>
            </w:pPr>
            <w:r>
              <w:rPr>
                <w:sz w:val="19"/>
                <w:szCs w:val="19"/>
                <w:lang w:val="pt-PT"/>
              </w:rPr>
              <w:t xml:space="preserve">4. Diarização</w:t>
            </w:r>
          </w:p>
        </w:tc>
        <w:tc>
          <w:tcPr>
            <w:tcW w:type="dxa" w:w="1872"/>
            <w:tcMar>
              <w:left w:type="dxa" w:w="80"/>
              <w:right w:type="dxa" w:w="80"/>
            </w:tcMar>
          </w:tcPr>
          <w:p>
            <w:pPr>
              <w:pStyle w:val="Compact"/>
            </w:pPr>
            <w:r>
              <w:rPr>
                <w:sz w:val="19"/>
                <w:szCs w:val="19"/>
                <w:lang w:val="pt-PT"/>
              </w:rPr>
              <w:t xml:space="preserve">Separação posicional dos locutores, etiquetas neutras «Speaker N», sem modelo conservado; isto não garante o anonimato.</w:t>
            </w:r>
          </w:p>
        </w:tc>
        <w:tc>
          <w:tcPr>
            <w:tcW w:type="dxa" w:w="1872"/>
            <w:tcMar>
              <w:left w:type="dxa" w:w="80"/>
              <w:right w:type="dxa" w:w="80"/>
            </w:tcMar>
          </w:tcPr>
          <w:p>
            <w:pPr>
              <w:pStyle w:val="Compact"/>
            </w:pPr>
            <w:r>
              <w:rPr>
                <w:sz w:val="19"/>
                <w:szCs w:val="19"/>
                <w:lang w:val="pt-PT"/>
              </w:rPr>
              <w:t xml:space="preserve">pyannote.audio</w:t>
            </w:r>
          </w:p>
        </w:tc>
        <w:tc>
          <w:tcPr>
            <w:tcW w:type="dxa" w:w="1872"/>
            <w:tcMar>
              <w:left w:type="dxa" w:w="80"/>
              <w:right w:type="dxa" w:w="80"/>
            </w:tcMar>
          </w:tcPr>
          <w:p>
            <w:pPr>
              <w:pStyle w:val="Compact"/>
            </w:pPr>
            <w:r>
              <w:rPr>
                <w:sz w:val="19"/>
                <w:szCs w:val="19"/>
                <w:lang w:val="pt-PT"/>
              </w:rPr>
              <w:t xml:space="preserve">Processamento automatizado, dados excluídos após o trabalho</w:t>
            </w:r>
          </w:p>
        </w:tc>
        <w:tc>
          <w:tcPr>
            <w:tcW w:type="dxa" w:w="1872"/>
            <w:tcMar>
              <w:left w:type="dxa" w:w="80"/>
              <w:right w:type="dxa" w:w="80"/>
            </w:tcMar>
          </w:tcPr>
          <w:p>
            <w:pPr>
              <w:pStyle w:val="Compact"/>
            </w:pPr>
            <w:r>
              <w:rPr>
                <w:sz w:val="19"/>
                <w:szCs w:val="19"/>
                <w:lang w:val="pt-PT"/>
              </w:rPr>
              <w:t xml:space="preserve">Trabalhador de GPU local do cliente</w:t>
            </w:r>
          </w:p>
        </w:tc>
      </w:tr>
      <w:tr>
        <w:trPr>
          <w:cantSplit/>
        </w:trPr>
        <w:tc>
          <w:tcPr>
            <w:tcW w:type="dxa" w:w="1872"/>
            <w:tcMar>
              <w:left w:type="dxa" w:w="80"/>
              <w:right w:type="dxa" w:w="80"/>
            </w:tcMar>
          </w:tcPr>
          <w:p>
            <w:pPr>
              <w:pStyle w:val="Compact"/>
            </w:pPr>
            <w:r>
              <w:rPr>
                <w:sz w:val="19"/>
                <w:szCs w:val="19"/>
                <w:lang w:val="pt-PT"/>
              </w:rPr>
              <w:t xml:space="preserve">5. Exploração de IA</w:t>
            </w:r>
          </w:p>
        </w:tc>
        <w:tc>
          <w:tcPr>
            <w:tcW w:type="dxa" w:w="1872"/>
            <w:tcMar>
              <w:left w:type="dxa" w:w="80"/>
              <w:right w:type="dxa" w:w="80"/>
            </w:tcMar>
          </w:tcPr>
          <w:p>
            <w:pPr>
              <w:pStyle w:val="Compact"/>
            </w:pPr>
            <w:r>
              <w:rPr>
                <w:sz w:val="19"/>
                <w:szCs w:val="19"/>
                <w:lang w:val="pt-PT"/>
              </w:rPr>
              <w:t xml:space="preserve">Correção, resumo, atas, capítulos, sugestão de identificação de palestrantes, somente de fontes selecionadas</w:t>
            </w:r>
          </w:p>
        </w:tc>
        <w:tc>
          <w:tcPr>
            <w:tcW w:type="dxa" w:w="1872"/>
            <w:tcMar>
              <w:left w:type="dxa" w:w="80"/>
              <w:right w:type="dxa" w:w="80"/>
            </w:tcMar>
          </w:tcPr>
          <w:p>
            <w:pPr>
              <w:pStyle w:val="Compact"/>
            </w:pPr>
            <w:r>
              <w:rPr>
                <w:sz w:val="19"/>
                <w:szCs w:val="19"/>
                <w:lang w:val="pt-PT"/>
              </w:rPr>
              <w:t xml:space="preserve">Servidores vLLM dominados / configuração LlmGateway / LLM por organização</w:t>
            </w:r>
          </w:p>
        </w:tc>
        <w:tc>
          <w:tcPr>
            <w:tcW w:type="dxa" w:w="1872"/>
            <w:tcMar>
              <w:left w:type="dxa" w:w="80"/>
              <w:right w:type="dxa" w:w="80"/>
            </w:tcMar>
          </w:tcPr>
          <w:p>
            <w:pPr>
              <w:pStyle w:val="Compact"/>
            </w:pPr>
            <w:r>
              <w:rPr>
                <w:sz w:val="19"/>
                <w:szCs w:val="19"/>
                <w:lang w:val="pt-PT"/>
              </w:rPr>
              <w:t xml:space="preserve">Rota primária: pesos abertos vLLM em GPUs masterizados na Europa (Estrasburgo / Paris); Backup do OpenRouter (fora do EEE) se a rota primária não estiver disponível e não estiver desativada</w:t>
            </w:r>
          </w:p>
        </w:tc>
        <w:tc>
          <w:tcPr>
            <w:tcW w:type="dxa" w:w="1872"/>
            <w:tcMar>
              <w:left w:type="dxa" w:w="80"/>
              <w:right w:type="dxa" w:w="80"/>
            </w:tcMar>
          </w:tcPr>
          <w:p>
            <w:pPr>
              <w:pStyle w:val="Compact"/>
            </w:pPr>
            <w:r>
              <w:rPr>
                <w:sz w:val="19"/>
                <w:szCs w:val="19"/>
                <w:lang w:val="pt-PT"/>
              </w:rPr>
              <w:t xml:space="preserve">Modelo local auto-hospedado (vLLM/Ollama), sem fluxo de saída</w:t>
            </w:r>
          </w:p>
        </w:tc>
      </w:tr>
      <w:tr>
        <w:trPr>
          <w:cantSplit/>
        </w:trPr>
        <w:tc>
          <w:tcPr>
            <w:tcW w:type="dxa" w:w="1872"/>
            <w:tcMar>
              <w:left w:type="dxa" w:w="80"/>
              <w:right w:type="dxa" w:w="80"/>
            </w:tcMar>
          </w:tcPr>
          <w:p>
            <w:pPr>
              <w:pStyle w:val="Compact"/>
            </w:pPr>
            <w:r>
              <w:rPr>
                <w:sz w:val="19"/>
                <w:szCs w:val="19"/>
                <w:lang w:val="pt-PT"/>
              </w:rPr>
              <w:t xml:space="preserve">6. Correlação de voz (opção)</w:t>
            </w:r>
          </w:p>
        </w:tc>
        <w:tc>
          <w:tcPr>
            <w:tcW w:type="dxa" w:w="1872"/>
            <w:tcMar>
              <w:left w:type="dxa" w:w="80"/>
              <w:right w:type="dxa" w:w="80"/>
            </w:tcMar>
          </w:tcPr>
          <w:p>
            <w:pPr>
              <w:pStyle w:val="Compact"/>
            </w:pPr>
            <w:r>
              <w:rPr>
                <w:sz w:val="19"/>
                <w:szCs w:val="19"/>
                <w:lang w:val="pt-PT"/>
              </w:rPr>
              <w:t xml:space="preserve">Comparação de voz efêmera para sugerir conexões de interveniente, incorporações destruídas no final da solicitação</w:t>
            </w:r>
          </w:p>
        </w:tc>
        <w:tc>
          <w:tcPr>
            <w:tcW w:type="dxa" w:w="1872"/>
            <w:tcMar>
              <w:left w:type="dxa" w:w="80"/>
              <w:right w:type="dxa" w:w="80"/>
            </w:tcMar>
          </w:tcPr>
          <w:p>
            <w:pPr>
              <w:pStyle w:val="Compact"/>
            </w:pPr>
            <w:r>
              <w:rPr>
                <w:sz w:val="19"/>
                <w:szCs w:val="19"/>
                <w:lang w:val="pt-PT"/>
              </w:rPr>
              <w:t xml:space="preserve">Trabalhador dedicado</w:t>
            </w:r>
          </w:p>
        </w:tc>
        <w:tc>
          <w:tcPr>
            <w:tcW w:type="dxa" w:w="1872"/>
            <w:tcMar>
              <w:left w:type="dxa" w:w="80"/>
              <w:right w:type="dxa" w:w="80"/>
            </w:tcMar>
          </w:tcPr>
          <w:p>
            <w:pPr>
              <w:pStyle w:val="Compact"/>
            </w:pPr>
            <w:r>
              <w:rPr>
                <w:sz w:val="19"/>
                <w:szCs w:val="19"/>
                <w:lang w:val="pt-PT"/>
              </w:rPr>
              <w:t xml:space="preserve">Desativado por padrão; adesão + alteração DPA + AIPD</w:t>
            </w:r>
          </w:p>
        </w:tc>
        <w:tc>
          <w:tcPr>
            <w:tcW w:type="dxa" w:w="1872"/>
            <w:tcMar>
              <w:left w:type="dxa" w:w="80"/>
              <w:right w:type="dxa" w:w="80"/>
            </w:tcMar>
          </w:tcPr>
          <w:p>
            <w:pPr>
              <w:pStyle w:val="Compact"/>
            </w:pPr>
            <w:r>
              <w:rPr>
                <w:sz w:val="19"/>
                <w:szCs w:val="19"/>
                <w:lang w:val="pt-PT"/>
              </w:rPr>
              <w:t xml:space="preserve">Desativado por padrão; apenas tratamento local</w:t>
            </w:r>
          </w:p>
        </w:tc>
      </w:tr>
      <w:tr>
        <w:trPr>
          <w:cantSplit/>
        </w:trPr>
        <w:tc>
          <w:tcPr>
            <w:tcW w:type="dxa" w:w="1872"/>
            <w:tcMar>
              <w:left w:type="dxa" w:w="80"/>
              <w:right w:type="dxa" w:w="80"/>
            </w:tcMar>
          </w:tcPr>
          <w:p>
            <w:pPr>
              <w:pStyle w:val="Compact"/>
            </w:pPr>
            <w:r>
              <w:rPr>
                <w:sz w:val="19"/>
                <w:szCs w:val="19"/>
                <w:lang w:val="pt-PT"/>
              </w:rPr>
              <w:t xml:space="preserve">7. Exportações</w:t>
            </w:r>
          </w:p>
        </w:tc>
        <w:tc>
          <w:tcPr>
            <w:tcW w:type="dxa" w:w="1872"/>
            <w:tcMar>
              <w:left w:type="dxa" w:w="80"/>
              <w:right w:type="dxa" w:w="80"/>
            </w:tcMar>
          </w:tcPr>
          <w:p>
            <w:pPr>
              <w:pStyle w:val="Compact"/>
            </w:pPr>
            <w:r>
              <w:rPr>
                <w:sz w:val="19"/>
                <w:szCs w:val="19"/>
                <w:lang w:val="pt-PT"/>
              </w:rPr>
              <w:t xml:space="preserve">Geração de documentos Word, exportação de dados</w:t>
            </w:r>
          </w:p>
        </w:tc>
        <w:tc>
          <w:tcPr>
            <w:tcW w:type="dxa" w:w="1872"/>
            <w:tcMar>
              <w:left w:type="dxa" w:w="80"/>
              <w:right w:type="dxa" w:w="80"/>
            </w:tcMar>
          </w:tcPr>
          <w:p>
            <w:pPr>
              <w:pStyle w:val="Compact"/>
            </w:pPr>
            <w:r>
              <w:rPr>
                <w:sz w:val="19"/>
                <w:szCs w:val="19"/>
                <w:lang w:val="pt-PT"/>
              </w:rPr>
              <w:t xml:space="preserve">Aplicativo Laravel</w:t>
            </w:r>
          </w:p>
        </w:tc>
        <w:tc>
          <w:tcPr>
            <w:tcW w:type="dxa" w:w="1872"/>
            <w:tcMar>
              <w:left w:type="dxa" w:w="80"/>
              <w:right w:type="dxa" w:w="80"/>
            </w:tcMar>
          </w:tcPr>
          <w:p>
            <w:pPr>
              <w:pStyle w:val="Compact"/>
            </w:pPr>
            <w:r>
              <w:rPr>
                <w:sz w:val="19"/>
                <w:szCs w:val="19"/>
                <w:lang w:val="pt-PT"/>
              </w:rPr>
              <w:t xml:space="preserve">Servidor França</w:t>
            </w:r>
          </w:p>
        </w:tc>
        <w:tc>
          <w:tcPr>
            <w:tcW w:type="dxa" w:w="1872"/>
            <w:tcMar>
              <w:left w:type="dxa" w:w="80"/>
              <w:right w:type="dxa" w:w="80"/>
            </w:tcMar>
          </w:tcPr>
          <w:p>
            <w:pPr>
              <w:pStyle w:val="Compact"/>
            </w:pPr>
            <w:r>
              <w:rPr>
                <w:sz w:val="19"/>
                <w:szCs w:val="19"/>
                <w:lang w:val="pt-PT"/>
              </w:rPr>
              <w:t xml:space="preserve">Infraestrutura do cliente</w:t>
            </w:r>
          </w:p>
        </w:tc>
      </w:tr>
      <w:tr>
        <w:trPr>
          <w:cantSplit/>
        </w:trPr>
        <w:tc>
          <w:tcPr>
            <w:tcW w:type="dxa" w:w="1872"/>
            <w:tcMar>
              <w:left w:type="dxa" w:w="80"/>
              <w:right w:type="dxa" w:w="80"/>
            </w:tcMar>
          </w:tcPr>
          <w:p>
            <w:pPr>
              <w:pStyle w:val="Compact"/>
            </w:pPr>
            <w:r>
              <w:rPr>
                <w:sz w:val="19"/>
                <w:szCs w:val="19"/>
                <w:lang w:val="pt-PT"/>
              </w:rPr>
              <w:t xml:space="preserve">8. Registo</w:t>
            </w:r>
          </w:p>
        </w:tc>
        <w:tc>
          <w:tcPr>
            <w:tcW w:type="dxa" w:w="1872"/>
            <w:tcMar>
              <w:left w:type="dxa" w:w="80"/>
              <w:right w:type="dxa" w:w="80"/>
            </w:tcMar>
          </w:tcPr>
          <w:p>
            <w:pPr>
              <w:pStyle w:val="Compact"/>
            </w:pPr>
            <w:r>
              <w:rPr>
                <w:sz w:val="19"/>
                <w:szCs w:val="19"/>
                <w:lang w:val="pt-PT"/>
              </w:rPr>
              <w:t xml:space="preserve">Gravação de ações em logs de auditoria por organização e no nível da plataforma</w:t>
            </w:r>
          </w:p>
        </w:tc>
        <w:tc>
          <w:tcPr>
            <w:tcW w:type="dxa" w:w="1872"/>
            <w:tcMar>
              <w:left w:type="dxa" w:w="80"/>
              <w:right w:type="dxa" w:w="80"/>
            </w:tcMar>
          </w:tcPr>
          <w:p>
            <w:pPr>
              <w:pStyle w:val="Compact"/>
            </w:pPr>
            <w:r>
              <w:rPr>
                <w:sz w:val="19"/>
                <w:szCs w:val="19"/>
                <w:lang w:val="pt-PT"/>
              </w:rPr>
              <w:t xml:space="preserve">PostgreSQL (</w:t>
            </w:r>
            <w:r>
              <w:rPr>
                <w:rStyle w:val="VerbatimChar"/>
                <w:sz w:val="19"/>
                <w:szCs w:val="19"/>
                <w:lang w:val="pt-PT"/>
              </w:rPr>
              <w:t xml:space="preserve">activity_logs</w:t>
            </w:r>
            <w:r>
              <w:rPr>
                <w:sz w:val="19"/>
                <w:szCs w:val="19"/>
                <w:lang w:val="pt-PT"/>
              </w:rPr>
              <w:t xml:space="preserve">,</w:t>
            </w:r>
            <w:r>
              <w:rPr>
                <w:sz w:val="19"/>
                <w:szCs w:val="19"/>
                <w:lang w:val="pt-PT"/>
              </w:rPr>
              <w:t xml:space="preserve"> </w:t>
            </w:r>
            <w:r>
              <w:rPr>
                <w:rStyle w:val="VerbatimChar"/>
                <w:sz w:val="19"/>
                <w:szCs w:val="19"/>
                <w:lang w:val="pt-PT"/>
              </w:rPr>
              <w:t xml:space="preserve">public.audit_logs</w:t>
            </w: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Servidor França</w:t>
            </w:r>
          </w:p>
        </w:tc>
        <w:tc>
          <w:tcPr>
            <w:tcW w:type="dxa" w:w="1872"/>
            <w:tcMar>
              <w:left w:type="dxa" w:w="80"/>
              <w:right w:type="dxa" w:w="80"/>
            </w:tcMar>
          </w:tcPr>
          <w:p>
            <w:pPr>
              <w:pStyle w:val="Compact"/>
            </w:pPr>
            <w:r>
              <w:rPr>
                <w:sz w:val="19"/>
                <w:szCs w:val="19"/>
                <w:lang w:val="pt-PT"/>
              </w:rPr>
              <w:t xml:space="preserve">Infraestrutura do cliente</w:t>
            </w:r>
          </w:p>
        </w:tc>
      </w:tr>
      <w:tr>
        <w:trPr>
          <w:cantSplit/>
        </w:trPr>
        <w:tc>
          <w:tcPr>
            <w:tcW w:type="dxa" w:w="1872"/>
            <w:tcMar>
              <w:left w:type="dxa" w:w="80"/>
              <w:right w:type="dxa" w:w="80"/>
            </w:tcMar>
          </w:tcPr>
          <w:p>
            <w:pPr>
              <w:pStyle w:val="Compact"/>
            </w:pPr>
            <w:r>
              <w:rPr>
                <w:sz w:val="19"/>
                <w:szCs w:val="19"/>
                <w:lang w:val="pt-PT"/>
              </w:rPr>
              <w:t xml:space="preserve">9. Backup</w:t>
            </w:r>
          </w:p>
        </w:tc>
        <w:tc>
          <w:tcPr>
            <w:tcW w:type="dxa" w:w="1872"/>
            <w:tcMar>
              <w:left w:type="dxa" w:w="80"/>
              <w:right w:type="dxa" w:w="80"/>
            </w:tcMar>
          </w:tcPr>
          <w:p>
            <w:pPr>
              <w:pStyle w:val="Compact"/>
            </w:pPr>
            <w:r>
              <w:rPr>
                <w:sz w:val="19"/>
                <w:szCs w:val="19"/>
                <w:lang w:val="pt-PT"/>
              </w:rPr>
              <w:t xml:space="preserve">Backups diários cifrados antes da terceirização</w:t>
            </w:r>
          </w:p>
        </w:tc>
        <w:tc>
          <w:tcPr>
            <w:tcW w:type="dxa" w:w="1872"/>
            <w:tcMar>
              <w:left w:type="dxa" w:w="80"/>
              <w:right w:type="dxa" w:w="80"/>
            </w:tcMar>
          </w:tcPr>
          <w:p>
            <w:pPr>
              <w:pStyle w:val="Compact"/>
            </w:pPr>
            <w:r>
              <w:rPr>
                <w:sz w:val="19"/>
                <w:szCs w:val="19"/>
                <w:lang w:val="pt-PT"/>
              </w:rPr>
              <w:t xml:space="preserve">Scripts de backup + rclone</w:t>
            </w:r>
          </w:p>
        </w:tc>
        <w:tc>
          <w:tcPr>
            <w:tcW w:type="dxa" w:w="1872"/>
            <w:tcMar>
              <w:left w:type="dxa" w:w="80"/>
              <w:right w:type="dxa" w:w="80"/>
            </w:tcMar>
          </w:tcPr>
          <w:p>
            <w:pPr>
              <w:pStyle w:val="Compact"/>
            </w:pPr>
            <w:r>
              <w:rPr>
                <w:sz w:val="19"/>
                <w:szCs w:val="19"/>
                <w:lang w:val="pt-PT"/>
              </w:rPr>
              <w:t xml:space="preserve">Cifragem de age, armazenamento Scaleway (França)</w:t>
            </w:r>
          </w:p>
        </w:tc>
        <w:tc>
          <w:tcPr>
            <w:tcW w:type="dxa" w:w="1872"/>
            <w:tcMar>
              <w:left w:type="dxa" w:w="80"/>
              <w:right w:type="dxa" w:w="80"/>
            </w:tcMar>
          </w:tcPr>
          <w:p>
            <w:pPr>
              <w:pStyle w:val="Compact"/>
            </w:pPr>
            <w:r>
              <w:rPr>
                <w:sz w:val="19"/>
                <w:szCs w:val="19"/>
                <w:lang w:val="pt-PT"/>
              </w:rPr>
              <w:t xml:space="preserve">Por conta do cliente</w:t>
            </w:r>
          </w:p>
        </w:tc>
      </w:tr>
      <w:tr>
        <w:trPr>
          <w:cantSplit/>
        </w:trPr>
        <w:tc>
          <w:tcPr>
            <w:tcW w:type="dxa" w:w="1872"/>
            <w:tcMar>
              <w:left w:type="dxa" w:w="80"/>
              <w:right w:type="dxa" w:w="80"/>
            </w:tcMar>
          </w:tcPr>
          <w:p>
            <w:pPr>
              <w:pStyle w:val="Compact"/>
            </w:pPr>
            <w:r>
              <w:rPr>
                <w:sz w:val="19"/>
                <w:szCs w:val="19"/>
                <w:lang w:val="pt-PT"/>
              </w:rPr>
              <w:t xml:space="preserve">10. Exclusão</w:t>
            </w:r>
          </w:p>
        </w:tc>
        <w:tc>
          <w:tcPr>
            <w:tcW w:type="dxa" w:w="1872"/>
            <w:tcMar>
              <w:left w:type="dxa" w:w="80"/>
              <w:right w:type="dxa" w:w="80"/>
            </w:tcMar>
          </w:tcPr>
          <w:p>
            <w:pPr>
              <w:pStyle w:val="Compact"/>
            </w:pPr>
            <w:r>
              <w:rPr>
                <w:sz w:val="19"/>
                <w:szCs w:val="19"/>
                <w:lang w:val="pt-PT"/>
              </w:rPr>
              <w:t xml:space="preserve">Limpeza de dados certificada mediante solicitação, emissão de certificado de exclusão</w:t>
            </w:r>
          </w:p>
        </w:tc>
        <w:tc>
          <w:tcPr>
            <w:tcW w:type="dxa" w:w="1872"/>
            <w:tcMar>
              <w:left w:type="dxa" w:w="80"/>
              <w:right w:type="dxa" w:w="80"/>
            </w:tcMar>
          </w:tcPr>
          <w:p>
            <w:pPr>
              <w:pStyle w:val="Compact"/>
            </w:pPr>
            <w:r>
              <w:rPr>
                <w:sz w:val="19"/>
                <w:szCs w:val="19"/>
                <w:lang w:val="pt-PT"/>
              </w:rPr>
              <w:t xml:space="preserve">Fluxo de trabalho de eliminação de aplicativos</w:t>
            </w:r>
          </w:p>
        </w:tc>
        <w:tc>
          <w:tcPr>
            <w:tcW w:type="dxa" w:w="1872"/>
            <w:tcMar>
              <w:left w:type="dxa" w:w="80"/>
              <w:right w:type="dxa" w:w="80"/>
            </w:tcMar>
          </w:tcPr>
          <w:p>
            <w:pPr>
              <w:pStyle w:val="Compact"/>
            </w:pPr>
            <w:r>
              <w:rPr>
                <w:sz w:val="19"/>
                <w:szCs w:val="19"/>
                <w:lang w:val="pt-PT"/>
              </w:rPr>
              <w:t xml:space="preserve">Servidor França + limpeza de backups (≤ 90 dias)</w:t>
            </w:r>
          </w:p>
        </w:tc>
        <w:tc>
          <w:tcPr>
            <w:tcW w:type="dxa" w:w="1872"/>
            <w:tcMar>
              <w:left w:type="dxa" w:w="80"/>
              <w:right w:type="dxa" w:w="80"/>
            </w:tcMar>
          </w:tcPr>
          <w:p>
            <w:pPr>
              <w:pStyle w:val="Compact"/>
            </w:pPr>
            <w:r>
              <w:rPr>
                <w:sz w:val="19"/>
                <w:szCs w:val="19"/>
                <w:lang w:val="pt-PT"/>
              </w:rPr>
              <w:t xml:space="preserve">Infraestrutura do cliente</w:t>
            </w:r>
          </w:p>
        </w:tc>
      </w:tr>
    </w:tbl>
    <w:bookmarkStart w:id="31" w:name="détail-des-étapes"/>
    <w:p>
      <w:pPr>
        <w:pStyle w:val="Heading3"/>
        <w:keepNext/>
        <w:keepLines/>
      </w:pPr>
      <w:r>
        <w:rPr>
          <w:color w:val="000000"/>
          <w:lang w:val="pt-PT"/>
        </w:rPr>
        <w:t xml:space="preserve">Detalhes das etapas</w:t>
      </w:r>
    </w:p>
    <w:p>
      <w:pPr>
        <w:pStyle w:val="FirstParagraph"/>
      </w:pPr>
      <w:r>
        <w:rPr>
          <w:b/>
          <w:bCs/>
          <w:lang w:val="pt-PT"/>
        </w:rPr>
        <w:t xml:space="preserve">Passo 1 — Carregar. O </w:t>
      </w:r>
      <w:r>
        <w:rPr>
          <w:lang w:val="pt-PT"/>
        </w:rPr>
        <w:t xml:space="preserve"/>
      </w:r>
      <w:r>
        <w:rPr>
          <w:lang w:val="pt-PT"/>
        </w:rPr>
        <w:t xml:space="preserve">utilizador autorizado cria uma sessão e carrega um ficheiro. O ficheiro é verificado (formato entre mp3, wav, ogg, m4a, flac, webm, mp4, avi, mkv, mov, wmv; tamanho máximo 2.500 MB) e colocado em uma fila com status “pendente”. O acesso subsequente ao ficheiro para streaming é feito por meio de URL assinado temporário (válido por 30 minutos).</w:t>
      </w:r>
    </w:p>
    <w:p>
      <w:pPr>
        <w:pStyle w:val="BodyText"/>
      </w:pPr>
      <w:r>
        <w:rPr>
          <w:b/>
          <w:bCs/>
          <w:lang w:val="pt-PT"/>
        </w:rPr>
        <w:t xml:space="preserve">Passo 2 — Verificação de </w:t>
      </w:r>
      <w:r>
        <w:rPr>
          <w:lang w:val="pt-PT"/>
        </w:rPr>
        <w:t xml:space="preserve">vírus. </w:t>
      </w:r>
      <w:r>
        <w:rPr>
          <w:lang w:val="pt-PT"/>
        </w:rPr>
        <w:t xml:space="preserve">Cada upload está sujeito a uma análise do ClamAV antes da redação final. Um ficheiro infectado é rejeitado, registado e resulta em um alerta. Em caso de indisponibilidade do scanner, o evento é rastreado (comportamento de “fail-open” registado), o que deve ser levado em consideração na sua análise de risco.</w:t>
      </w:r>
    </w:p>
    <w:p>
      <w:pPr>
        <w:pStyle w:val="BodyText"/>
      </w:pPr>
      <w:r>
        <w:rPr>
          <w:b/>
          <w:bCs/>
          <w:lang w:val="pt-PT"/>
        </w:rPr>
        <w:t xml:space="preserve">Etapa 3 — Transcrição. </w:t>
      </w:r>
      <w:r>
        <w:rPr>
          <w:lang w:val="pt-PT"/>
        </w:rPr>
        <w:t xml:space="preserve">Um </w:t>
      </w:r>
      <w:r>
        <w:rPr>
          <w:lang w:val="pt-PT"/>
        </w:rPr>
        <w:t xml:space="preserve">trabalhador de transcrição pesquisa a fila, recupera ficheiros pendentes, realiza a conversão de fala em texto, transmite o progresso e, em seguida, entrega o resultado como segmentos JSON. Os dados de áudio são excluídos do trabalhador após o processamento do trabalho.</w:t>
      </w:r>
    </w:p>
    <w:p>
      <w:pPr>
        <w:pStyle w:val="BodyText"/>
      </w:pPr>
      <w:r>
        <w:rPr>
          <w:b/>
          <w:bCs/>
          <w:lang w:val="pt-PT"/>
        </w:rPr>
        <w:t xml:space="preserve">Etapa 4 — Diarização. A </w:t>
      </w:r>
      <w:r>
        <w:rPr>
          <w:lang w:val="pt-PT"/>
        </w:rPr>
        <w:t xml:space="preserve"/>
      </w:r>
      <w:r>
        <w:rPr>
          <w:lang w:val="pt-PT"/>
        </w:rPr>
        <w:t xml:space="preserve">diarização atribui etiquetas posicionais «Speaker 1», «Speaker 2», etc. aos segmentos de uma mesma sessão. Estas etiquetas não são necessariamente anónimas na aceção do RGPD. As representações vocais são libertadas no fim da tarefa, segundo a configuração documentada. A qualificação ao abrigo dos artigos 4.º, n.º 14, e 9.º deve ser apreciada de acordo com as finalidades e os meios efetivos; não é excluída pela simples eliminação dos modelos.</w:t>
      </w:r>
    </w:p>
    <w:p>
      <w:pPr>
        <w:pStyle w:val="BodyText"/>
      </w:pPr>
      <w:r>
        <w:rPr>
          <w:b/>
          <w:bCs/>
          <w:lang w:val="pt-PT"/>
        </w:rPr>
        <w:t xml:space="preserve">Etapa 5 — Exploração de </w:t>
      </w:r>
      <w:r>
        <w:rPr>
          <w:lang w:val="pt-PT"/>
        </w:rPr>
        <w:t xml:space="preserve"/>
      </w:r>
      <w:r>
        <w:rPr>
          <w:lang w:val="pt-PT"/>
        </w:rPr>
        <w:t xml:space="preserve">IA. Por padrão, as funções de IA (correção, resumo, atas, capítulos, sugestão de identificação) são executadas em servidores GPU controlados por OHADJA rodando vLLM com modelos de pesos abertos ([A SER COMPLETO: versões exatas — Qwen 3.6 ou Mistral]), hospedados na Europa (principalmente Estrasburgo e Paris), ou, na Opção B, na infraestrutura do cliente; neste caminho principal, nenhum dado sai do EEE ou é transmitido a um provedor de modelo terceirizado. O gateway OpenRouter (Claude, GPT, etc.) é utilizado apenas como backup (failover), em caso de indisponibilidade da rota primária, podendo ser desativado pela organização. As funções de IA operam apenas em fontes selecionadas pelo utilizador, de acordo com um princípio de minimização. Os dados passados ​​para o modelo não são usados ​​para treinar modelos específicos para OHADJA. Desde a versão 1.7.0, cada organização pode definir seu próprio provedor, chave, modelo e, se aplicável, uma URL de modelo auto-hospedada; uma organização com configurações próprias nunca usa as configurações da plataforma (comportamento “fail-closed”).</w:t>
      </w:r>
    </w:p>
    <w:p>
      <w:pPr>
        <w:pStyle w:val="BodyText"/>
      </w:pPr>
      <w:r>
        <w:rPr>
          <w:b/>
          <w:bCs/>
          <w:lang w:val="pt-PT"/>
        </w:rPr>
        <w:t xml:space="preserve">Passo 6 — Correlação de voz (opcional). </w:t>
      </w:r>
      <w:r>
        <w:rPr>
          <w:lang w:val="pt-PT"/>
        </w:rPr>
        <w:t xml:space="preserve"/>
      </w:r>
      <w:r>
        <w:rPr>
          <w:lang w:val="pt-PT"/>
        </w:rPr>
        <w:t xml:space="preserve">Processamento desabilitado por padrão, descrito no Anexo 1 do DPA e na ficha de conformidade (documento TRB-CONF-01.01). Calcula temporariamente as características de voz na RAM, sem template persistente, com destruição ao final da solicitação e validação humana obrigatória das sugestões.</w:t>
      </w:r>
    </w:p>
    <w:p>
      <w:pPr>
        <w:pStyle w:val="BodyText"/>
      </w:pPr>
      <w:r>
        <w:rPr>
          <w:b/>
          <w:bCs/>
          <w:lang w:val="pt-PT"/>
        </w:rPr>
        <w:t xml:space="preserve">Passo 7 — Exportações. </w:t>
      </w:r>
      <w:r>
        <w:rPr>
          <w:lang w:val="pt-PT"/>
        </w:rPr>
        <w:t xml:space="preserve"/>
      </w:r>
      <w:r>
        <w:rPr>
          <w:lang w:val="pt-PT"/>
        </w:rPr>
        <w:t xml:space="preserve">Geração de documentos Word e exportação de dados a partir do conteúdo produzido, a pedido do utilizador.</w:t>
      </w:r>
    </w:p>
    <w:p>
      <w:pPr>
        <w:pStyle w:val="BodyText"/>
      </w:pPr>
      <w:r>
        <w:rPr>
          <w:b/>
          <w:bCs/>
          <w:lang w:val="pt-PT"/>
        </w:rPr>
        <w:t xml:space="preserve">Etapa 8 — Registo. Ações </w:t>
      </w:r>
      <w:r>
        <w:rPr>
          <w:lang w:val="pt-PT"/>
        </w:rPr>
        <w:t xml:space="preserve"/>
      </w:r>
      <w:r>
        <w:rPr>
          <w:lang w:val="pt-PT"/>
        </w:rPr>
        <w:t xml:space="preserve">significativas (conexões, criações, modificações, exclusões, uploads, processamentos, erros, exportações, operações de administração) são registradas em um log de auditoria específico de cada organização (</w:t>
      </w:r>
      <w:r>
        <w:rPr>
          <w:rStyle w:val="VerbatimChar"/>
          <w:lang w:val="pt-PT"/>
        </w:rPr>
        <w:t xml:space="preserve">activity_logs</w:t>
      </w:r>
      <w:r>
        <w:rPr>
          <w:lang w:val="pt-PT"/>
        </w:rPr>
        <w:t xml:space="preserve">) e, para eventos da plataforma, em </w:t>
      </w:r>
      <w:r>
        <w:rPr>
          <w:lang w:val="pt-PT"/>
        </w:rPr>
        <w:t xml:space="preserve"/>
      </w:r>
      <w:r>
        <w:rPr>
          <w:rStyle w:val="VerbatimChar"/>
          <w:lang w:val="pt-PT"/>
        </w:rPr>
        <w:t xml:space="preserve">public.audit_logs</w:t>
      </w:r>
      <w:r>
        <w:rPr>
          <w:lang w:val="pt-PT"/>
        </w:rPr>
        <w:t xml:space="preserve">. Os logs podem ser exportados em CSV/JSON.</w:t>
      </w:r>
    </w:p>
    <w:p>
      <w:pPr>
        <w:pStyle w:val="BodyText"/>
      </w:pPr>
      <w:r>
        <w:rPr>
          <w:b/>
          <w:bCs/>
          <w:lang w:val="pt-PT"/>
        </w:rPr>
        <w:t xml:space="preserve">Passo 9 — Backup (Opção A). </w:t>
      </w:r>
      <w:r>
        <w:rPr>
          <w:lang w:val="pt-PT"/>
        </w:rPr>
        <w:t xml:space="preserve"/>
      </w:r>
      <w:r>
        <w:rPr>
          <w:lang w:val="pt-PT"/>
        </w:rPr>
        <w:t xml:space="preserve">Backups diários cifrados com age (X25519 + ChaCha20-Poly1305) antes de terceirizar por rclone para Scaleway (França). Retenção: 90 dias para backups completos, 30 dias por organização.</w:t>
      </w:r>
    </w:p>
    <w:p>
      <w:pPr>
        <w:pStyle w:val="BodyText"/>
      </w:pPr>
      <w:r>
        <w:rPr>
          <w:b/>
          <w:bCs/>
          <w:lang w:val="pt-PT"/>
        </w:rPr>
        <w:t xml:space="preserve">Etapa 10 — Excluir. Após </w:t>
      </w:r>
      <w:r>
        <w:rPr>
          <w:lang w:val="pt-PT"/>
        </w:rPr>
        <w:t xml:space="preserve"/>
      </w:r>
      <w:r>
        <w:rPr>
          <w:lang w:val="pt-PT"/>
        </w:rPr>
        <w:t xml:space="preserve">a receção de um pedido de eliminação certificada ou no final do contrato, um fluxo de trabalho de eliminação elimina os dados de produção dentro do prazo aplicável; os backups residuais são eliminados de acordo com seu ciclo (≤ 90 dias). Um certificado de exclusão é emitido mediante solicitação.</w:t>
      </w:r>
    </w:p>
    <w:bookmarkEnd w:id="31"/>
    <w:bookmarkEnd w:id="32"/>
    <w:bookmarkStart w:id="33" w:name="X67f20aed3ddc665545c61ff159c12fd104115e5"/>
    <w:p>
      <w:pPr>
        <w:pStyle w:val="Heading2"/>
        <w:keepNext/>
        <w:keepLines/>
      </w:pPr>
      <w:r>
        <w:rPr>
          <w:color w:val="000000"/>
          <w:lang w:val="pt-PT"/>
        </w:rPr>
        <w:t xml:space="preserve">6. Distribuição de responsabilidades por modalidade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Domínio</w:t>
            </w:r>
          </w:p>
        </w:tc>
        <w:tc>
          <w:tcPr/>
          <w:p>
            <w:pPr>
              <w:pStyle w:val="Compact"/>
            </w:pPr>
            <w:r>
              <w:rPr>
                <w:lang w:val="pt-PT"/>
              </w:rPr>
              <w:t xml:space="preserve">Opção A (SaaS)</w:t>
            </w:r>
          </w:p>
        </w:tc>
        <w:tc>
          <w:tcPr/>
          <w:p>
            <w:pPr>
              <w:pStyle w:val="Compact"/>
            </w:pPr>
            <w:r>
              <w:rPr>
                <w:lang w:val="pt-PT"/>
              </w:rPr>
              <w:t xml:space="preserve">Opção B (no local)</w:t>
            </w:r>
          </w:p>
        </w:tc>
      </w:tr>
      <w:tr>
        <w:trPr>
          <w:cantSplit/>
        </w:trPr>
        <w:tc>
          <w:tcPr/>
          <w:p>
            <w:pPr>
              <w:pStyle w:val="Compact"/>
            </w:pPr>
            <w:r>
              <w:rPr>
                <w:lang w:val="pt-PT"/>
              </w:rPr>
              <w:t xml:space="preserve">Alojamento e infraestrutura</w:t>
            </w:r>
          </w:p>
        </w:tc>
        <w:tc>
          <w:tcPr/>
          <w:p>
            <w:pPr>
              <w:pStyle w:val="Compact"/>
            </w:pPr>
            <w:r>
              <w:rPr>
                <w:lang w:val="pt-PT"/>
              </w:rPr>
              <w:t xml:space="preserve">OHADJA (França)</w:t>
            </w:r>
          </w:p>
        </w:tc>
        <w:tc>
          <w:tcPr/>
          <w:p>
            <w:pPr>
              <w:pStyle w:val="Compact"/>
            </w:pPr>
            <w:r>
              <w:rPr>
                <w:lang w:val="pt-PT"/>
              </w:rPr>
              <w:t xml:space="preserve">Cliente</w:t>
            </w:r>
          </w:p>
        </w:tc>
      </w:tr>
      <w:tr>
        <w:trPr>
          <w:cantSplit/>
        </w:trPr>
        <w:tc>
          <w:tcPr/>
          <w:p>
            <w:pPr>
              <w:pStyle w:val="Compact"/>
            </w:pPr>
            <w:r>
              <w:rPr>
                <w:lang w:val="pt-PT"/>
              </w:rPr>
              <w:t xml:space="preserve">Operação do aplicativo, atualizações</w:t>
            </w:r>
          </w:p>
        </w:tc>
        <w:tc>
          <w:tcPr/>
          <w:p>
            <w:pPr>
              <w:pStyle w:val="Compact"/>
            </w:pPr>
            <w:r>
              <w:rPr>
                <w:lang w:val="pt-PT"/>
              </w:rPr>
              <w:t xml:space="preserve">OHADJA</w:t>
            </w:r>
          </w:p>
        </w:tc>
        <w:tc>
          <w:tcPr/>
          <w:p>
            <w:pPr>
              <w:pStyle w:val="Compact"/>
            </w:pPr>
            <w:r>
              <w:rPr>
                <w:lang w:val="pt-PT"/>
              </w:rPr>
              <w:t xml:space="preserve">Cliente, exceto missão de manutenção confiada a OHADJA</w:t>
            </w:r>
          </w:p>
        </w:tc>
      </w:tr>
      <w:tr>
        <w:trPr>
          <w:cantSplit/>
        </w:trPr>
        <w:tc>
          <w:tcPr/>
          <w:p>
            <w:pPr>
              <w:pStyle w:val="Compact"/>
            </w:pPr>
            <w:r>
              <w:rPr>
                <w:lang w:val="pt-PT"/>
              </w:rPr>
              <w:t xml:space="preserve">Cópias de segurança</w:t>
            </w:r>
          </w:p>
        </w:tc>
        <w:tc>
          <w:tcPr/>
          <w:p>
            <w:pPr>
              <w:pStyle w:val="Compact"/>
            </w:pPr>
            <w:r>
              <w:rPr>
                <w:lang w:val="pt-PT"/>
              </w:rPr>
              <w:t xml:space="preserve">OHADJA</w:t>
            </w:r>
          </w:p>
        </w:tc>
        <w:tc>
          <w:tcPr/>
          <w:p>
            <w:pPr>
              <w:pStyle w:val="Compact"/>
            </w:pPr>
            <w:r>
              <w:rPr>
                <w:lang w:val="pt-PT"/>
              </w:rPr>
              <w:t xml:space="preserve">Cliente</w:t>
            </w:r>
          </w:p>
        </w:tc>
      </w:tr>
      <w:tr>
        <w:trPr>
          <w:cantSplit/>
        </w:trPr>
        <w:tc>
          <w:tcPr/>
          <w:p>
            <w:pPr>
              <w:pStyle w:val="Compact"/>
            </w:pPr>
            <w:r>
              <w:rPr>
                <w:lang w:val="pt-PT"/>
              </w:rPr>
              <w:t xml:space="preserve">Supervisão e segurança operacional</w:t>
            </w:r>
          </w:p>
        </w:tc>
        <w:tc>
          <w:tcPr/>
          <w:p>
            <w:pPr>
              <w:pStyle w:val="Compact"/>
            </w:pPr>
            <w:r>
              <w:rPr>
                <w:lang w:val="pt-PT"/>
              </w:rPr>
              <w:t xml:space="preserve">OHADJA</w:t>
            </w:r>
          </w:p>
        </w:tc>
        <w:tc>
          <w:tcPr/>
          <w:p>
            <w:pPr>
              <w:pStyle w:val="Compact"/>
            </w:pPr>
            <w:r>
              <w:rPr>
                <w:lang w:val="pt-PT"/>
              </w:rPr>
              <w:t xml:space="preserve">Cliente</w:t>
            </w:r>
          </w:p>
        </w:tc>
      </w:tr>
      <w:tr>
        <w:trPr>
          <w:cantSplit/>
        </w:trPr>
        <w:tc>
          <w:tcPr/>
          <w:p>
            <w:pPr>
              <w:pStyle w:val="Compact"/>
            </w:pPr>
            <w:r>
              <w:rPr>
                <w:lang w:val="pt-PT"/>
              </w:rPr>
              <w:t xml:space="preserve">Processamento de IA</w:t>
            </w:r>
          </w:p>
        </w:tc>
        <w:tc>
          <w:tcPr/>
          <w:p>
            <w:pPr>
              <w:pStyle w:val="Compact"/>
            </w:pPr>
            <w:r>
              <w:rPr>
                <w:lang w:val="pt-PT"/>
              </w:rPr>
              <w:t xml:space="preserve">Caminho principal de pesos abertos vLLM em GPUs masterizados na Europa; fallback OpenRouter desativável</w:t>
            </w:r>
          </w:p>
        </w:tc>
        <w:tc>
          <w:tcPr/>
          <w:p>
            <w:pPr>
              <w:pStyle w:val="Compact"/>
            </w:pPr>
            <w:r>
              <w:rPr>
                <w:lang w:val="pt-PT"/>
              </w:rPr>
              <w:t xml:space="preserve">Modelo local auto-hospedado, sem fluxo de saída</w:t>
            </w:r>
          </w:p>
        </w:tc>
      </w:tr>
      <w:tr>
        <w:trPr>
          <w:cantSplit/>
        </w:trPr>
        <w:tc>
          <w:tcPr/>
          <w:p>
            <w:pPr>
              <w:pStyle w:val="Compact"/>
            </w:pPr>
            <w:r>
              <w:rPr>
                <w:lang w:val="pt-PT"/>
              </w:rPr>
              <w:t xml:space="preserve">Subcontratantes ulteriores</w:t>
            </w:r>
          </w:p>
        </w:tc>
        <w:tc>
          <w:tcPr/>
          <w:p>
            <w:pPr>
              <w:pStyle w:val="Compact"/>
            </w:pPr>
            <w:r>
              <w:rPr>
                <w:lang w:val="pt-PT"/>
              </w:rPr>
              <w:t xml:space="preserve">Lista no Anexo 2 do DPA</w:t>
            </w:r>
          </w:p>
        </w:tc>
        <w:tc>
          <w:tcPr/>
          <w:p>
            <w:pPr>
              <w:pStyle w:val="Compact"/>
            </w:pPr>
            <w:r>
              <w:rPr>
                <w:lang w:val="pt-PT"/>
              </w:rPr>
              <w:t xml:space="preserve">Nenhum na variante isolada</w:t>
            </w:r>
          </w:p>
        </w:tc>
      </w:tr>
      <w:tr>
        <w:trPr>
          <w:cantSplit/>
        </w:trPr>
        <w:tc>
          <w:tcPr/>
          <w:p>
            <w:pPr>
              <w:pStyle w:val="Compact"/>
            </w:pPr>
            <w:r>
              <w:rPr>
                <w:lang w:val="pt-PT"/>
              </w:rPr>
              <w:t xml:space="preserve">Acesso a dados</w:t>
            </w:r>
          </w:p>
        </w:tc>
        <w:tc>
          <w:tcPr/>
          <w:p>
            <w:pPr>
              <w:pStyle w:val="Compact"/>
            </w:pPr>
            <w:r>
              <w:rPr>
                <w:lang w:val="pt-PT"/>
              </w:rPr>
              <w:t xml:space="preserve">OHADJA sob instrução, para suporte/manutenção</w:t>
            </w:r>
          </w:p>
        </w:tc>
        <w:tc>
          <w:tcPr/>
          <w:p>
            <w:pPr>
              <w:pStyle w:val="Compact"/>
            </w:pPr>
            <w:r>
              <w:rPr>
                <w:lang w:val="pt-PT"/>
              </w:rPr>
              <w:t xml:space="preserve">Cliente; OHADJA somente mediante autorização expressa</w:t>
            </w:r>
          </w:p>
        </w:tc>
      </w:tr>
    </w:tbl>
    <w:bookmarkEnd w:id="33"/>
    <w:bookmarkStart w:id="34" w:name="Xf9631ba7f091331f4a2e78c4f3c94880a428999"/>
    <w:p>
      <w:pPr>
        <w:pStyle w:val="Heading2"/>
        <w:keepNext/>
        <w:keepLines/>
      </w:pPr>
      <w:r>
        <w:rPr>
          <w:color w:val="000000"/>
          <w:lang w:val="pt-PT"/>
        </w:rPr>
        <w:t xml:space="preserve">7. Tratamentos excluídos</w:t>
      </w:r>
    </w:p>
    <w:p>
      <w:pPr>
        <w:pStyle w:val="FirstParagraph"/>
      </w:pPr>
      <w:r>
        <w:rPr>
          <w:lang w:val="pt-PT"/>
        </w:rPr>
        <w:t xml:space="preserve">OHADJA não executa, usando os dados da sua organização:</w:t>
      </w:r>
    </w:p>
    <w:p>
      <w:pPr>
        <w:pStyle w:val="Compact"/>
        <w:numPr>
          <w:ilvl w:val="0"/>
          <w:numId w:val="1006"/>
        </w:numPr>
      </w:pPr>
      <w:r>
        <w:rPr>
          <w:lang w:val="pt-PT"/>
        </w:rPr>
        <w:t xml:space="preserve">nenhuma reutilização para seus próprios fins;</w:t>
      </w:r>
    </w:p>
    <w:p>
      <w:pPr>
        <w:pStyle w:val="Compact"/>
        <w:numPr>
          <w:ilvl w:val="0"/>
          <w:numId w:val="1006"/>
        </w:numPr>
      </w:pPr>
      <w:r>
        <w:rPr>
          <w:lang w:val="pt-PT"/>
        </w:rPr>
        <w:t xml:space="preserve">nenhum treino de modelos próprios;</w:t>
      </w:r>
    </w:p>
    <w:p>
      <w:pPr>
        <w:pStyle w:val="Compact"/>
        <w:numPr>
          <w:ilvl w:val="0"/>
          <w:numId w:val="1006"/>
        </w:numPr>
      </w:pPr>
      <w:r>
        <w:rPr>
          <w:lang w:val="pt-PT"/>
        </w:rPr>
        <w:t xml:space="preserve">nenhuma criação de um modelo biométrico persistente;</w:t>
      </w:r>
    </w:p>
    <w:p>
      <w:pPr>
        <w:pStyle w:val="Compact"/>
        <w:numPr>
          <w:ilvl w:val="0"/>
          <w:numId w:val="1006"/>
        </w:numPr>
      </w:pPr>
      <w:r>
        <w:rPr>
          <w:lang w:val="pt-PT"/>
        </w:rPr>
        <w:t xml:space="preserve">nenhuma transferência fora do EEE, exceto nos casos abrangidos pelo Capítulo V de RGPD e descritos no documento TRB-CONF-01.04;</w:t>
      </w:r>
    </w:p>
    <w:p>
      <w:pPr>
        <w:pStyle w:val="Compact"/>
        <w:numPr>
          <w:ilvl w:val="0"/>
          <w:numId w:val="1006"/>
        </w:numPr>
      </w:pPr>
      <w:r>
        <w:rPr>
          <w:lang w:val="pt-PT"/>
        </w:rPr>
        <w:t xml:space="preserve">nenhum acesso ao conteúdo das organizações por parte da distribuidora Televic.</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34"/>
    <w:bookmarkEnd w:id="35"/>
    <w:bookmarkStart w:id="46" w:name="localisation-des-données--transcribia"/>
    <w:p>
      <w:pPr>
        <w:pStyle w:val="Heading1"/>
        <w:keepNext/>
        <w:keepLines/>
      </w:pPr>
      <w:r>
        <w:rPr>
          <w:color w:val="000000"/>
          <w:lang w:val="pt-PT"/>
        </w:rPr>
        <w:t xml:space="preserve">Localização de dados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TRB-CONF-01.04</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36" w:name="X267f752e79acf07865cbc4b8687b0c9db2807c7"/>
    <w:p>
      <w:pPr>
        <w:pStyle w:val="Heading2"/>
        <w:keepNext/>
        <w:keepLines/>
      </w:pPr>
      <w:r>
        <w:rPr>
          <w:color w:val="000000"/>
          <w:lang w:val="pt-PT"/>
        </w:rPr>
        <w:t xml:space="preserve">1. Objetivo do documento</w:t>
      </w:r>
    </w:p>
    <w:p>
      <w:pPr>
        <w:pStyle w:val="FirstParagraph"/>
      </w:pPr>
      <w:r>
        <w:rPr>
          <w:lang w:val="pt-PT"/>
        </w:rPr>
        <w:t xml:space="preserve">Este documento especifica, para uso do sua pessoa de contacto para proteção de dados, do seu departamento de TI e do seu CISO, o local de processamento e armazenamento de cada categoria de dados de acordo com o método de implementação escolhido. Indica de forma transparente os casos em que é possível um fluxo ou processamento fora do Espaço Económico Europeu (EEE) na Opção A, bem como a sua exclusão na Opção B isolada.</w:t>
      </w:r>
    </w:p>
    <w:p>
      <w:pPr>
        <w:pStyle w:val="BodyText"/>
      </w:pPr>
      <w:r>
        <w:rPr>
          <w:lang w:val="pt-PT"/>
        </w:rPr>
        <w:t xml:space="preserve">Também especifica o compromisso de administrar e apoiar a solução exclusivamente da França ou da União Europeia.</w:t>
      </w:r>
    </w:p>
    <w:bookmarkEnd w:id="36"/>
    <w:bookmarkStart w:id="37" w:name="X4a758c95127776db351213ceac68c95b256677c"/>
    <w:p>
      <w:pPr>
        <w:pStyle w:val="Heading2"/>
        <w:keepNext/>
        <w:keepLines/>
      </w:pPr>
      <w:r>
        <w:rPr>
          <w:color w:val="000000"/>
          <w:lang w:val="pt-PT"/>
        </w:rPr>
        <w:t xml:space="preserve">2. Princípio geral</w:t>
      </w:r>
    </w:p>
    <w:p>
      <w:pPr>
        <w:pStyle w:val="Compact"/>
        <w:numPr>
          <w:ilvl w:val="0"/>
          <w:numId w:val="1007"/>
        </w:numPr>
      </w:pPr>
      <w:r>
        <w:rPr>
          <w:b/>
          <w:bCs/>
          <w:lang w:val="pt-PT"/>
        </w:rPr>
        <w:t xml:space="preserve">Opção A — SaaS: </w:t>
      </w:r>
      <w:r>
        <w:rPr>
          <w:lang w:val="pt-PT"/>
        </w:rPr>
        <w:t xml:space="preserve"/>
      </w:r>
      <w:r>
        <w:rPr>
          <w:lang w:val="pt-PT"/>
        </w:rPr>
        <w:t xml:space="preserve">os dados de produção são hospedados na França (datacenter de Estrasburgo) e os backups cifrados são armazenados na União Europeia. As funções de inteligência artificial baseiam-se por defeito em servidores GPU controlados por OHADJA, alojados na Europa (principalmente Estrasburgo e Paris), nos quais nenhum dado sai do EEE. O processamento fora do EEE só é possível de forma residual, se o substituto do OpenRouter for solicitado e não desativado, ou para determinados recursos de transcrição de GPU — consulte as secções 4 e 5.</w:t>
      </w:r>
    </w:p>
    <w:p>
      <w:pPr>
        <w:pStyle w:val="Compact"/>
        <w:numPr>
          <w:ilvl w:val="0"/>
          <w:numId w:val="1007"/>
        </w:numPr>
      </w:pPr>
      <w:r>
        <w:rPr>
          <w:b/>
          <w:bCs/>
          <w:lang w:val="pt-PT"/>
        </w:rPr>
        <w:t xml:space="preserve">Opção B — Isolado no local: </w:t>
      </w:r>
      <w:r>
        <w:rPr>
          <w:lang w:val="pt-PT"/>
        </w:rPr>
        <w:t xml:space="preserve"/>
      </w:r>
      <w:r>
        <w:rPr>
          <w:lang w:val="pt-PT"/>
        </w:rPr>
        <w:t xml:space="preserve">todos os componentes (aplicativo, base de dados, operador de transcrição de GPU, modelo de IA auto-hospedado) são executados na infraestrutura do cliente. Nenhum fluxo de saída é necessário para operação nominal; nenhuma transferência fora do EEE ocorre.</w:t>
      </w:r>
    </w:p>
    <w:p>
      <w:pPr>
        <w:pStyle w:val="FirstParagraph"/>
      </w:pPr>
      <w:r>
        <w:rPr>
          <w:lang w:val="pt-PT"/>
        </w:rPr>
        <w:t xml:space="preserve">Um </w:t>
      </w:r>
      <w:r>
        <w:rPr>
          <w:lang w:val="pt-PT"/>
        </w:rPr>
        <w:t xml:space="preserve"/>
      </w:r>
      <w:r>
        <w:rPr>
          <w:b/>
          <w:bCs/>
          <w:lang w:val="pt-PT"/>
        </w:rPr>
        <w:t xml:space="preserve">perfil “estrito da </w:t>
      </w:r>
      <w:r>
        <w:rPr>
          <w:lang w:val="pt-PT"/>
        </w:rPr>
        <w:t xml:space="preserve"/>
      </w:r>
      <w:r>
        <w:rPr>
          <w:lang w:val="pt-PT"/>
        </w:rPr>
        <w:t xml:space="preserve">UE” é configurável por organização desde a versão 1.7.0: ele restringe o processamento de IA a modelos hospedados na UE ou auto-hospedados e seleciona recursos de GPU na UE. Este perfil permite, na Opção A, excluir o processamento fora do EEE.</w:t>
      </w:r>
    </w:p>
    <w:bookmarkEnd w:id="37"/>
    <w:bookmarkStart w:id="38" w:name="X96da756acd02bde6da646a8600b582f53862e83"/>
    <w:p>
      <w:pPr>
        <w:pStyle w:val="Heading2"/>
        <w:keepNext/>
        <w:keepLines/>
      </w:pPr>
      <w:r>
        <w:rPr>
          <w:color w:val="000000"/>
          <w:lang w:val="pt-PT"/>
        </w:rPr>
        <w:t xml:space="preserve">3. Localização por categoria de dados e modo de implementação</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Categoria de dados</w:t>
            </w:r>
          </w:p>
        </w:tc>
        <w:tc>
          <w:tcPr>
            <w:tcW w:type="dxa" w:w="2340"/>
            <w:tcMar>
              <w:left w:type="dxa" w:w="80"/>
              <w:right w:type="dxa" w:w="80"/>
            </w:tcMar>
          </w:tcPr>
          <w:p>
            <w:pPr>
              <w:pStyle w:val="Compact"/>
            </w:pPr>
            <w:r>
              <w:rPr>
                <w:sz w:val="19"/>
                <w:szCs w:val="19"/>
                <w:lang w:val="pt-PT"/>
              </w:rPr>
              <w:t xml:space="preserve">Opção A – SaaS (padrão)</w:t>
            </w:r>
          </w:p>
        </w:tc>
        <w:tc>
          <w:tcPr>
            <w:tcW w:type="dxa" w:w="2340"/>
            <w:tcMar>
              <w:left w:type="dxa" w:w="80"/>
              <w:right w:type="dxa" w:w="80"/>
            </w:tcMar>
          </w:tcPr>
          <w:p>
            <w:pPr>
              <w:pStyle w:val="Compact"/>
            </w:pPr>
            <w:r>
              <w:rPr>
                <w:sz w:val="19"/>
                <w:szCs w:val="19"/>
                <w:lang w:val="pt-PT"/>
              </w:rPr>
              <w:t xml:space="preserve">Opção A — perfil “estrito da UE”</w:t>
            </w:r>
          </w:p>
        </w:tc>
        <w:tc>
          <w:tcPr>
            <w:tcW w:type="dxa" w:w="2340"/>
            <w:tcMar>
              <w:left w:type="dxa" w:w="80"/>
              <w:right w:type="dxa" w:w="80"/>
            </w:tcMar>
          </w:tcPr>
          <w:p>
            <w:pPr>
              <w:pStyle w:val="Compact"/>
            </w:pPr>
            <w:r>
              <w:rPr>
                <w:sz w:val="19"/>
                <w:szCs w:val="19"/>
                <w:lang w:val="pt-PT"/>
              </w:rPr>
              <w:t xml:space="preserve">Opção B – isolado no local</w:t>
            </w:r>
          </w:p>
        </w:tc>
      </w:tr>
      <w:tr>
        <w:trPr>
          <w:cantSplit/>
        </w:trPr>
        <w:tc>
          <w:tcPr>
            <w:tcW w:type="dxa" w:w="2340"/>
            <w:tcMar>
              <w:left w:type="dxa" w:w="80"/>
              <w:right w:type="dxa" w:w="80"/>
            </w:tcMar>
          </w:tcPr>
          <w:p>
            <w:pPr>
              <w:pStyle w:val="Compact"/>
            </w:pPr>
            <w:r>
              <w:rPr>
                <w:sz w:val="19"/>
                <w:szCs w:val="19"/>
                <w:lang w:val="pt-PT"/>
              </w:rPr>
              <w:t xml:space="preserve">Ficheiros de áudio e vídeo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Transcrições e versões</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Documentos preparatórios</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Metadados da sessão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Contas de utilizador</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Registos de auditoria e rastreamentos técnicos</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França (Estrasburgo)</w:t>
            </w:r>
          </w:p>
        </w:tc>
        <w:tc>
          <w:tcPr>
            <w:tcW w:type="dxa" w:w="2340"/>
            <w:tcMar>
              <w:left w:type="dxa" w:w="80"/>
              <w:right w:type="dxa" w:w="80"/>
            </w:tcMar>
          </w:tcPr>
          <w:p>
            <w:pPr>
              <w:pStyle w:val="Compact"/>
            </w:pPr>
            <w:r>
              <w:rPr>
                <w:sz w:val="19"/>
                <w:szCs w:val="19"/>
                <w:lang w:val="pt-PT"/>
              </w:rPr>
              <w:t xml:space="preserve">Infraestrutura do cliente</w:t>
            </w:r>
          </w:p>
        </w:tc>
      </w:tr>
      <w:tr>
        <w:trPr>
          <w:cantSplit/>
        </w:trPr>
        <w:tc>
          <w:tcPr>
            <w:tcW w:type="dxa" w:w="2340"/>
            <w:tcMar>
              <w:left w:type="dxa" w:w="80"/>
              <w:right w:type="dxa" w:w="80"/>
            </w:tcMar>
          </w:tcPr>
          <w:p>
            <w:pPr>
              <w:pStyle w:val="Compact"/>
            </w:pPr>
            <w:r>
              <w:rPr>
                <w:sz w:val="19"/>
                <w:szCs w:val="19"/>
                <w:lang w:val="pt-PT"/>
              </w:rPr>
              <w:t xml:space="preserve">Backups (cifrados antes da terceirização)</w:t>
            </w:r>
          </w:p>
        </w:tc>
        <w:tc>
          <w:tcPr>
            <w:tcW w:type="dxa" w:w="2340"/>
            <w:tcMar>
              <w:left w:type="dxa" w:w="80"/>
              <w:right w:type="dxa" w:w="80"/>
            </w:tcMar>
          </w:tcPr>
          <w:p>
            <w:pPr>
              <w:pStyle w:val="Compact"/>
            </w:pPr>
            <w:r>
              <w:rPr>
                <w:sz w:val="19"/>
                <w:szCs w:val="19"/>
                <w:lang w:val="pt-PT"/>
              </w:rPr>
              <w:t xml:space="preserve">França (Scaleway)</w:t>
            </w:r>
          </w:p>
        </w:tc>
        <w:tc>
          <w:tcPr>
            <w:tcW w:type="dxa" w:w="2340"/>
            <w:tcMar>
              <w:left w:type="dxa" w:w="80"/>
              <w:right w:type="dxa" w:w="80"/>
            </w:tcMar>
          </w:tcPr>
          <w:p>
            <w:pPr>
              <w:pStyle w:val="Compact"/>
            </w:pPr>
            <w:r>
              <w:rPr>
                <w:sz w:val="19"/>
                <w:szCs w:val="19"/>
                <w:lang w:val="pt-PT"/>
              </w:rPr>
              <w:t xml:space="preserve">França (Scaleway)</w:t>
            </w:r>
          </w:p>
        </w:tc>
        <w:tc>
          <w:tcPr>
            <w:tcW w:type="dxa" w:w="2340"/>
            <w:tcMar>
              <w:left w:type="dxa" w:w="80"/>
              <w:right w:type="dxa" w:w="80"/>
            </w:tcMar>
          </w:tcPr>
          <w:p>
            <w:pPr>
              <w:pStyle w:val="Compact"/>
            </w:pPr>
            <w:r>
              <w:rPr>
                <w:sz w:val="19"/>
                <w:szCs w:val="19"/>
                <w:lang w:val="pt-PT"/>
              </w:rPr>
              <w:t xml:space="preserve">Por conta do cliente</w:t>
            </w:r>
          </w:p>
        </w:tc>
      </w:tr>
      <w:tr>
        <w:trPr>
          <w:cantSplit/>
        </w:trPr>
        <w:tc>
          <w:tcPr>
            <w:tcW w:type="dxa" w:w="2340"/>
            <w:tcMar>
              <w:left w:type="dxa" w:w="80"/>
              <w:right w:type="dxa" w:w="80"/>
            </w:tcMar>
          </w:tcPr>
          <w:p>
            <w:pPr>
              <w:pStyle w:val="Compact"/>
            </w:pPr>
            <w:r>
              <w:rPr>
                <w:sz w:val="19"/>
                <w:szCs w:val="19"/>
                <w:lang w:val="pt-PT"/>
              </w:rPr>
              <w:t xml:space="preserve">Processamento de transcrição (GPU)</w:t>
            </w:r>
          </w:p>
        </w:tc>
        <w:tc>
          <w:tcPr>
            <w:tcW w:type="dxa" w:w="2340"/>
            <w:tcMar>
              <w:left w:type="dxa" w:w="80"/>
              <w:right w:type="dxa" w:w="80"/>
            </w:tcMar>
          </w:tcPr>
          <w:p>
            <w:pPr>
              <w:pStyle w:val="Compact"/>
            </w:pPr>
            <w:r>
              <w:rPr>
                <w:sz w:val="19"/>
                <w:szCs w:val="19"/>
                <w:lang w:val="pt-PT"/>
              </w:rPr>
              <w:t xml:space="preserve">GPU dedicada; recursos da UE quando necessário; </w:t>
            </w:r>
            <w:r>
              <w:rPr>
                <w:sz w:val="19"/>
                <w:szCs w:val="19"/>
                <w:lang w:val="pt-PT"/>
              </w:rPr>
              <w:t xml:space="preserve"/>
            </w:r>
            <w:r>
              <w:rPr>
                <w:b/>
                <w:bCs/>
                <w:sz w:val="19"/>
                <w:szCs w:val="19"/>
                <w:lang w:val="pt-PT"/>
              </w:rPr>
              <w:t xml:space="preserve">fora do EEE possível </w:t>
            </w:r>
            <w:r>
              <w:rPr>
                <w:sz w:val="19"/>
                <w:szCs w:val="19"/>
                <w:lang w:val="pt-PT"/>
              </w:rPr>
              <w:t xml:space="preserve"/>
            </w:r>
            <w:r>
              <w:rPr>
                <w:sz w:val="19"/>
                <w:szCs w:val="19"/>
                <w:lang w:val="pt-PT"/>
              </w:rPr>
              <w:t xml:space="preserve">através do mercado, se não houver restrição</w:t>
            </w:r>
          </w:p>
        </w:tc>
        <w:tc>
          <w:tcPr>
            <w:tcW w:type="dxa" w:w="2340"/>
            <w:tcMar>
              <w:left w:type="dxa" w:w="80"/>
              <w:right w:type="dxa" w:w="80"/>
            </w:tcMar>
          </w:tcPr>
          <w:p>
            <w:pPr>
              <w:pStyle w:val="Compact"/>
            </w:pPr>
            <w:r>
              <w:rPr>
                <w:sz w:val="19"/>
                <w:szCs w:val="19"/>
                <w:lang w:val="pt-PT"/>
              </w:rPr>
              <w:t xml:space="preserve">Apenas na UE</w:t>
            </w:r>
          </w:p>
        </w:tc>
        <w:tc>
          <w:tcPr>
            <w:tcW w:type="dxa" w:w="2340"/>
            <w:tcMar>
              <w:left w:type="dxa" w:w="80"/>
              <w:right w:type="dxa" w:w="80"/>
            </w:tcMar>
          </w:tcPr>
          <w:p>
            <w:pPr>
              <w:pStyle w:val="Compact"/>
            </w:pPr>
            <w:r>
              <w:rPr>
                <w:sz w:val="19"/>
                <w:szCs w:val="19"/>
                <w:lang w:val="pt-PT"/>
              </w:rPr>
              <w:t xml:space="preserve">Trabalhador de GPU local do cliente</w:t>
            </w:r>
          </w:p>
        </w:tc>
      </w:tr>
      <w:tr>
        <w:trPr>
          <w:cantSplit/>
        </w:trPr>
        <w:tc>
          <w:tcPr>
            <w:tcW w:type="dxa" w:w="2340"/>
            <w:tcMar>
              <w:left w:type="dxa" w:w="80"/>
              <w:right w:type="dxa" w:w="80"/>
            </w:tcMar>
          </w:tcPr>
          <w:p>
            <w:pPr>
              <w:pStyle w:val="Compact"/>
            </w:pPr>
            <w:r>
              <w:rPr>
                <w:sz w:val="19"/>
                <w:szCs w:val="19"/>
                <w:lang w:val="pt-PT"/>
              </w:rPr>
              <w:t xml:space="preserve">Tratamento de IA (LLM) – via primária</w:t>
            </w:r>
          </w:p>
        </w:tc>
        <w:tc>
          <w:tcPr>
            <w:tcW w:type="dxa" w:w="2340"/>
            <w:tcMar>
              <w:left w:type="dxa" w:w="80"/>
              <w:right w:type="dxa" w:w="80"/>
            </w:tcMar>
          </w:tcPr>
          <w:p>
            <w:pPr>
              <w:pStyle w:val="Compact"/>
            </w:pPr>
            <w:r>
              <w:rPr>
                <w:sz w:val="19"/>
                <w:szCs w:val="19"/>
                <w:lang w:val="pt-PT"/>
              </w:rPr>
              <w:t xml:space="preserve">pesos abertos vLLM em GPUs masterizados na Europa (Estrasburgo / Paris); nenhum dado fora do EEE</w:t>
            </w:r>
          </w:p>
        </w:tc>
        <w:tc>
          <w:tcPr>
            <w:tcW w:type="dxa" w:w="2340"/>
            <w:tcMar>
              <w:left w:type="dxa" w:w="80"/>
              <w:right w:type="dxa" w:w="80"/>
            </w:tcMar>
          </w:tcPr>
          <w:p>
            <w:pPr>
              <w:pStyle w:val="Compact"/>
            </w:pPr>
            <w:r>
              <w:rPr>
                <w:sz w:val="19"/>
                <w:szCs w:val="19"/>
                <w:lang w:val="pt-PT"/>
              </w:rPr>
              <w:t xml:space="preserve">EU vLLM ou modelo auto-hospedado; nenhum dado fora do EEE</w:t>
            </w:r>
          </w:p>
        </w:tc>
        <w:tc>
          <w:tcPr>
            <w:tcW w:type="dxa" w:w="2340"/>
            <w:tcMar>
              <w:left w:type="dxa" w:w="80"/>
              <w:right w:type="dxa" w:w="80"/>
            </w:tcMar>
          </w:tcPr>
          <w:p>
            <w:pPr>
              <w:pStyle w:val="Compact"/>
            </w:pPr>
            <w:r>
              <w:rPr>
                <w:sz w:val="19"/>
                <w:szCs w:val="19"/>
                <w:lang w:val="pt-PT"/>
              </w:rPr>
              <w:t xml:space="preserve">Modelo local auto-hospedado; sem fluxo de saída</w:t>
            </w:r>
          </w:p>
        </w:tc>
      </w:tr>
      <w:tr>
        <w:trPr>
          <w:cantSplit/>
        </w:trPr>
        <w:tc>
          <w:tcPr>
            <w:tcW w:type="dxa" w:w="2340"/>
            <w:tcMar>
              <w:left w:type="dxa" w:w="80"/>
              <w:right w:type="dxa" w:w="80"/>
            </w:tcMar>
          </w:tcPr>
          <w:p>
            <w:pPr>
              <w:pStyle w:val="Compact"/>
            </w:pPr>
            <w:r>
              <w:rPr>
                <w:sz w:val="19"/>
                <w:szCs w:val="19"/>
                <w:lang w:val="pt-PT"/>
              </w:rPr>
              <w:t xml:space="preserve">Tratamento de IA (LLM) – alívio</w:t>
            </w:r>
          </w:p>
        </w:tc>
        <w:tc>
          <w:tcPr>
            <w:tcW w:type="dxa" w:w="2340"/>
            <w:tcMar>
              <w:left w:type="dxa" w:w="80"/>
              <w:right w:type="dxa" w:w="80"/>
            </w:tcMar>
          </w:tcPr>
          <w:p>
            <w:pPr>
              <w:pStyle w:val="Compact"/>
            </w:pPr>
            <w:r>
              <w:rPr>
                <w:sz w:val="19"/>
                <w:szCs w:val="19"/>
                <w:lang w:val="pt-PT"/>
              </w:rPr>
              <w:t xml:space="preserve">OpenRouter (Claude, GPT, </w:t>
            </w:r>
            <w:r>
              <w:rPr>
                <w:sz w:val="19"/>
                <w:szCs w:val="19"/>
                <w:lang w:val="pt-PT"/>
              </w:rPr>
              <w:t xml:space="preserve">etc.), </w:t>
            </w:r>
            <w:r>
              <w:rPr>
                <w:b/>
                <w:bCs/>
                <w:sz w:val="19"/>
                <w:szCs w:val="19"/>
                <w:lang w:val="pt-PT"/>
              </w:rPr>
              <w:t xml:space="preserve">possível fora </w:t>
            </w:r>
            <w:r>
              <w:rPr>
                <w:sz w:val="19"/>
                <w:szCs w:val="19"/>
                <w:lang w:val="pt-PT"/>
              </w:rPr>
              <w:t xml:space="preserve">do EEE, solicitado apenas se a rota primária estiver indisponível e não desativada</w:t>
            </w:r>
          </w:p>
        </w:tc>
        <w:tc>
          <w:tcPr>
            <w:tcW w:type="dxa" w:w="2340"/>
            <w:tcMar>
              <w:left w:type="dxa" w:w="80"/>
              <w:right w:type="dxa" w:w="80"/>
            </w:tcMar>
          </w:tcPr>
          <w:p>
            <w:pPr>
              <w:pStyle w:val="Compact"/>
            </w:pPr>
            <w:r>
              <w:rPr>
                <w:sz w:val="19"/>
                <w:szCs w:val="19"/>
                <w:lang w:val="pt-PT"/>
              </w:rPr>
              <w:t xml:space="preserve">Emergência desativada</w:t>
            </w:r>
          </w:p>
        </w:tc>
        <w:tc>
          <w:tcPr>
            <w:tcW w:type="dxa" w:w="2340"/>
            <w:tcMar>
              <w:left w:type="dxa" w:w="80"/>
              <w:right w:type="dxa" w:w="80"/>
            </w:tcMar>
          </w:tcPr>
          <w:p>
            <w:pPr>
              <w:pStyle w:val="Compact"/>
            </w:pPr>
            <w:r>
              <w:rPr>
                <w:sz w:val="19"/>
                <w:szCs w:val="19"/>
                <w:lang w:val="pt-PT"/>
              </w:rPr>
              <w:t xml:space="preserve">Não aplicável (sem ajuda externa)</w:t>
            </w:r>
          </w:p>
        </w:tc>
      </w:tr>
      <w:tr>
        <w:trPr>
          <w:cantSplit/>
        </w:trPr>
        <w:tc>
          <w:tcPr>
            <w:tcW w:type="dxa" w:w="2340"/>
            <w:tcMar>
              <w:left w:type="dxa" w:w="80"/>
              <w:right w:type="dxa" w:w="80"/>
            </w:tcMar>
          </w:tcPr>
          <w:p>
            <w:pPr>
              <w:pStyle w:val="Compact"/>
            </w:pPr>
            <w:r>
              <w:rPr>
                <w:sz w:val="19"/>
                <w:szCs w:val="19"/>
                <w:lang w:val="pt-PT"/>
              </w:rPr>
              <w:t xml:space="preserve">Representações temporárias de fala (correlação de fala)</w:t>
            </w:r>
          </w:p>
        </w:tc>
        <w:tc>
          <w:tcPr>
            <w:tcW w:type="dxa" w:w="2340"/>
            <w:tcMar>
              <w:left w:type="dxa" w:w="80"/>
              <w:right w:type="dxa" w:w="80"/>
            </w:tcMar>
          </w:tcPr>
          <w:p>
            <w:pPr>
              <w:pStyle w:val="Compact"/>
            </w:pPr>
            <w:r>
              <w:rPr>
                <w:sz w:val="19"/>
                <w:szCs w:val="19"/>
                <w:lang w:val="pt-PT"/>
              </w:rPr>
              <w:t xml:space="preserve">Efêmero, em RAM, destruído ao final da requisição; Recurso da UE quando necessário</w:t>
            </w:r>
          </w:p>
        </w:tc>
        <w:tc>
          <w:tcPr>
            <w:tcW w:type="dxa" w:w="2340"/>
            <w:tcMar>
              <w:left w:type="dxa" w:w="80"/>
              <w:right w:type="dxa" w:w="80"/>
            </w:tcMar>
          </w:tcPr>
          <w:p>
            <w:pPr>
              <w:pStyle w:val="Compact"/>
            </w:pPr>
            <w:r>
              <w:rPr>
                <w:sz w:val="19"/>
                <w:szCs w:val="19"/>
                <w:lang w:val="pt-PT"/>
              </w:rPr>
              <w:t xml:space="preserve">Efêmero, RAM, UE</w:t>
            </w:r>
          </w:p>
        </w:tc>
        <w:tc>
          <w:tcPr>
            <w:tcW w:type="dxa" w:w="2340"/>
            <w:tcMar>
              <w:left w:type="dxa" w:w="80"/>
              <w:right w:type="dxa" w:w="80"/>
            </w:tcMar>
          </w:tcPr>
          <w:p>
            <w:pPr>
              <w:pStyle w:val="Compact"/>
            </w:pPr>
            <w:r>
              <w:rPr>
                <w:sz w:val="19"/>
                <w:szCs w:val="19"/>
                <w:lang w:val="pt-PT"/>
              </w:rPr>
              <w:t xml:space="preserve">Infraestrutura de cliente efêmera, na memória</w:t>
            </w:r>
          </w:p>
        </w:tc>
      </w:tr>
      <w:tr>
        <w:trPr>
          <w:cantSplit/>
        </w:trPr>
        <w:tc>
          <w:tcPr>
            <w:tcW w:type="dxa" w:w="2340"/>
            <w:tcMar>
              <w:left w:type="dxa" w:w="80"/>
              <w:right w:type="dxa" w:w="80"/>
            </w:tcMar>
          </w:tcPr>
          <w:p>
            <w:pPr>
              <w:pStyle w:val="Compact"/>
            </w:pPr>
            <w:r>
              <w:rPr>
                <w:sz w:val="19"/>
                <w:szCs w:val="19"/>
                <w:lang w:val="pt-PT"/>
              </w:rPr>
              <w:t xml:space="preserve">E-mails transacionais (se ativado)</w:t>
            </w:r>
          </w:p>
        </w:tc>
        <w:tc>
          <w:tcPr>
            <w:tcW w:type="dxa" w:w="2340"/>
            <w:tcMar>
              <w:left w:type="dxa" w:w="80"/>
              <w:right w:type="dxa" w:w="80"/>
            </w:tcMar>
          </w:tcPr>
          <w:p>
            <w:pPr>
              <w:pStyle w:val="Compact"/>
            </w:pPr>
            <w:r>
              <w:rPr>
                <w:sz w:val="19"/>
                <w:szCs w:val="19"/>
                <w:lang w:val="pt-PT"/>
              </w:rPr>
              <w:t xml:space="preserve">UE quando configurado</w:t>
            </w:r>
          </w:p>
        </w:tc>
        <w:tc>
          <w:tcPr>
            <w:tcW w:type="dxa" w:w="2340"/>
            <w:tcMar>
              <w:left w:type="dxa" w:w="80"/>
              <w:right w:type="dxa" w:w="80"/>
            </w:tcMar>
          </w:tcPr>
          <w:p>
            <w:pPr>
              <w:pStyle w:val="Compact"/>
            </w:pPr>
            <w:r>
              <w:rPr>
                <w:sz w:val="19"/>
                <w:szCs w:val="19"/>
                <w:lang w:val="pt-PT"/>
              </w:rPr>
              <w:t xml:space="preserve">UE</w:t>
            </w:r>
          </w:p>
        </w:tc>
        <w:tc>
          <w:tcPr>
            <w:tcW w:type="dxa" w:w="2340"/>
            <w:tcMar>
              <w:left w:type="dxa" w:w="80"/>
              <w:right w:type="dxa" w:w="80"/>
            </w:tcMar>
          </w:tcPr>
          <w:p>
            <w:pPr>
              <w:pStyle w:val="Compact"/>
            </w:pPr>
            <w:r>
              <w:rPr>
                <w:sz w:val="19"/>
                <w:szCs w:val="19"/>
                <w:lang w:val="pt-PT"/>
              </w:rPr>
              <w:t xml:space="preserve">De acordo com a configuração do cliente</w:t>
            </w:r>
          </w:p>
        </w:tc>
      </w:tr>
    </w:tbl>
    <w:p>
      <w:pPr>
        <w:pStyle w:val="BodyText"/>
      </w:pPr>
      <w:r>
        <w:rPr>
          <w:lang w:val="pt-PT"/>
        </w:rPr>
        <w:t xml:space="preserve">Nota: os backups são cifrados com age (X25519 + ChaCha20-Poly1305) antes </w:t>
      </w:r>
      <w:r>
        <w:rPr>
          <w:lang w:val="pt-PT"/>
        </w:rPr>
        <w:t xml:space="preserve"/>
      </w:r>
      <w:r>
        <w:rPr>
          <w:b/>
          <w:bCs/>
          <w:lang w:val="pt-PT"/>
        </w:rPr>
        <w:t xml:space="preserve">de </w:t>
      </w:r>
      <w:r>
        <w:rPr>
          <w:lang w:val="pt-PT"/>
        </w:rPr>
        <w:t xml:space="preserve"/>
      </w:r>
      <w:r>
        <w:rPr>
          <w:lang w:val="pt-PT"/>
        </w:rPr>
        <w:t xml:space="preserve">qualquer terceirização; as chaves de descriptografia são mantidas por OHADJA. O host de armazenamento de backup, portanto, só tem acesso aos dados cifrados.</w:t>
      </w:r>
    </w:p>
    <w:bookmarkEnd w:id="38"/>
    <w:bookmarkStart w:id="39" w:name="Xf11282247053c32d741cabaa3f1d559af0fa28a"/>
    <w:p>
      <w:pPr>
        <w:pStyle w:val="Heading2"/>
        <w:keepNext/>
        <w:keepLines/>
      </w:pPr>
      <w:r>
        <w:rPr>
          <w:color w:val="000000"/>
          <w:lang w:val="pt-PT"/>
        </w:rPr>
        <w:t xml:space="preserve">4. Infraestrutura de produção (Opção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Anfitrião</w:t>
            </w:r>
          </w:p>
        </w:tc>
        <w:tc>
          <w:tcPr/>
          <w:p>
            <w:pPr>
              <w:pStyle w:val="Compact"/>
            </w:pPr>
            <w:r>
              <w:rPr>
                <w:lang w:val="pt-PT"/>
              </w:rPr>
              <w:t xml:space="preserve">Hostinger (operações na UE)</w:t>
            </w:r>
          </w:p>
        </w:tc>
      </w:tr>
      <w:tr>
        <w:trPr>
          <w:cantSplit/>
        </w:trPr>
        <w:tc>
          <w:tcPr/>
          <w:p>
            <w:pPr>
              <w:pStyle w:val="Compact"/>
            </w:pPr>
            <w:r>
              <w:rPr>
                <w:lang w:val="pt-PT"/>
              </w:rPr>
              <w:t xml:space="preserve">Localização do servidor de produção</w:t>
            </w:r>
          </w:p>
        </w:tc>
        <w:tc>
          <w:tcPr/>
          <w:p>
            <w:pPr>
              <w:pStyle w:val="Compact"/>
            </w:pPr>
            <w:r>
              <w:rPr>
                <w:lang w:val="pt-PT"/>
              </w:rPr>
              <w:t xml:space="preserve">Datacenter em Estrasburgo, França</w:t>
            </w:r>
          </w:p>
        </w:tc>
      </w:tr>
      <w:tr>
        <w:trPr>
          <w:cantSplit/>
        </w:trPr>
        <w:tc>
          <w:tcPr/>
          <w:p>
            <w:pPr>
              <w:pStyle w:val="Compact"/>
            </w:pPr>
            <w:r>
              <w:rPr>
                <w:lang w:val="pt-PT"/>
              </w:rPr>
              <w:t xml:space="preserve">Armazenamento primário</w:t>
            </w:r>
          </w:p>
        </w:tc>
        <w:tc>
          <w:tcPr/>
          <w:p>
            <w:pPr>
              <w:pStyle w:val="Compact"/>
            </w:pPr>
            <w:r>
              <w:rPr>
                <w:lang w:val="pt-PT"/>
              </w:rPr>
              <w:t xml:space="preserve">Disco NVMe local, servidor França</w:t>
            </w:r>
          </w:p>
        </w:tc>
      </w:tr>
      <w:tr>
        <w:trPr>
          <w:cantSplit/>
        </w:trPr>
        <w:tc>
          <w:tcPr/>
          <w:p>
            <w:pPr>
              <w:pStyle w:val="Compact"/>
            </w:pPr>
            <w:r>
              <w:rPr>
                <w:lang w:val="pt-PT"/>
              </w:rPr>
              <w:t xml:space="preserve">Armazenamento de backups</w:t>
            </w:r>
          </w:p>
        </w:tc>
        <w:tc>
          <w:tcPr/>
          <w:p>
            <w:pPr>
              <w:pStyle w:val="Compact"/>
            </w:pPr>
            <w:r>
              <w:rPr>
                <w:lang w:val="pt-PT"/>
              </w:rPr>
              <w:t xml:space="preserve">França (Scaleway)</w:t>
            </w:r>
          </w:p>
        </w:tc>
      </w:tr>
      <w:tr>
        <w:trPr>
          <w:cantSplit/>
        </w:trPr>
        <w:tc>
          <w:tcPr/>
          <w:p>
            <w:pPr>
              <w:pStyle w:val="Compact"/>
            </w:pPr>
            <w:r>
              <w:rPr>
                <w:lang w:val="pt-PT"/>
              </w:rPr>
              <w:t xml:space="preserve">Cifragem de backup</w:t>
            </w:r>
          </w:p>
        </w:tc>
        <w:tc>
          <w:tcPr/>
          <w:p>
            <w:pPr>
              <w:pStyle w:val="Compact"/>
            </w:pPr>
            <w:r>
              <w:rPr>
                <w:lang w:val="pt-PT"/>
              </w:rPr>
              <w:t xml:space="preserve">age (X25519 + ChaCha20-Poly1305), antes da terceirização</w:t>
            </w:r>
          </w:p>
        </w:tc>
      </w:tr>
      <w:tr>
        <w:trPr>
          <w:cantSplit/>
        </w:trPr>
        <w:tc>
          <w:tcPr/>
          <w:p>
            <w:pPr>
              <w:pStyle w:val="Compact"/>
            </w:pPr>
            <w:r>
              <w:rPr>
                <w:lang w:val="pt-PT"/>
              </w:rPr>
              <w:t xml:space="preserve">Cifragem de disco do sistema</w:t>
            </w:r>
          </w:p>
        </w:tc>
        <w:tc>
          <w:tcPr/>
          <w:p>
            <w:pPr>
              <w:pStyle w:val="Compact"/>
            </w:pPr>
            <w:r>
              <w:rPr>
                <w:lang w:val="pt-PT"/>
              </w:rPr>
              <w:t xml:space="preserve">Dependendo da oferta do data center; atualização planejada (LUKS/gocryptfs)</w:t>
            </w:r>
          </w:p>
        </w:tc>
      </w:tr>
      <w:tr>
        <w:trPr>
          <w:cantSplit/>
        </w:trPr>
        <w:tc>
          <w:tcPr/>
          <w:p>
            <w:pPr>
              <w:pStyle w:val="Compact"/>
            </w:pPr>
            <w:r>
              <w:rPr>
                <w:lang w:val="pt-PT"/>
              </w:rPr>
              <w:t xml:space="preserve">Servidores de inferência de IA (caminho principal)</w:t>
            </w:r>
          </w:p>
        </w:tc>
        <w:tc>
          <w:tcPr/>
          <w:p>
            <w:pPr>
              <w:pStyle w:val="Compact"/>
            </w:pPr>
            <w:r>
              <w:rPr>
                <w:lang w:val="pt-PT"/>
              </w:rPr>
              <w:t xml:space="preserve">GPUs masterizadas por OHADJA, hospedadas na Europa (principalmente Estrasburgo e Paris), rodando vLLM com modelos de peso aberto</w:t>
            </w:r>
          </w:p>
        </w:tc>
      </w:tr>
      <w:tr>
        <w:trPr>
          <w:cantSplit/>
        </w:trPr>
        <w:tc>
          <w:tcPr/>
          <w:p>
            <w:pPr>
              <w:pStyle w:val="Compact"/>
            </w:pPr>
            <w:r>
              <w:rPr>
                <w:lang w:val="pt-PT"/>
              </w:rPr>
              <w:t xml:space="preserve">Acesso físico ao data center</w:t>
            </w:r>
          </w:p>
        </w:tc>
        <w:tc>
          <w:tcPr/>
          <w:p>
            <w:pPr>
              <w:pStyle w:val="Compact"/>
            </w:pPr>
            <w:r>
              <w:rPr>
                <w:lang w:val="pt-PT"/>
              </w:rPr>
              <w:t xml:space="preserve">Hostinger; sem acesso humano aos dados da aplicação</w:t>
            </w:r>
          </w:p>
        </w:tc>
      </w:tr>
    </w:tbl>
    <w:bookmarkEnd w:id="39"/>
    <w:bookmarkStart w:id="43" w:name="X700250886d055f58feeb2a5500db370e2d232dd"/>
    <w:p>
      <w:pPr>
        <w:pStyle w:val="Heading2"/>
        <w:keepNext/>
        <w:keepLines/>
      </w:pPr>
      <w:r>
        <w:rPr>
          <w:color w:val="000000"/>
          <w:lang w:val="pt-PT"/>
        </w:rPr>
        <w:t xml:space="preserve">5. Fluxos e processamento fora do EEE possíveis na opção A — menção honesta</w:t>
      </w:r>
    </w:p>
    <w:p>
      <w:pPr>
        <w:pStyle w:val="FirstParagraph"/>
      </w:pPr>
      <w:r>
        <w:rPr>
          <w:lang w:val="pt-PT"/>
        </w:rPr>
        <w:t xml:space="preserve">Por uma questão de transparência relativamente às suas análises de conformidade, os seguintes casos são explicitamente sinalizados.</w:t>
      </w:r>
    </w:p>
    <w:bookmarkStart w:id="40" w:name="X5b78bac1412b7cfd1ffb7b51c9d8c6cc21919c5"/>
    <w:p>
      <w:pPr>
        <w:pStyle w:val="Heading3"/>
        <w:keepNext/>
        <w:keepLines/>
      </w:pPr>
      <w:r>
        <w:rPr>
          <w:color w:val="000000"/>
          <w:lang w:val="pt-PT"/>
        </w:rPr>
        <w:t xml:space="preserve">5.1 Funções de inteligência artificial</w:t>
      </w:r>
    </w:p>
    <w:p>
      <w:pPr>
        <w:pStyle w:val="FirstParagraph"/>
      </w:pPr>
      <w:r>
        <w:rPr>
          <w:b/>
          <w:bCs/>
          <w:lang w:val="pt-PT"/>
        </w:rPr>
        <w:t xml:space="preserve">Rota principal — sem transferência fora </w:t>
      </w:r>
      <w:r>
        <w:rPr>
          <w:lang w:val="pt-PT"/>
        </w:rPr>
        <w:t xml:space="preserve"/>
      </w:r>
      <w:r>
        <w:rPr>
          <w:lang w:val="pt-PT"/>
        </w:rPr>
        <w:t xml:space="preserve">do EEE. Por padrão, as funções de IA (correção, resumo, atas, capítulos, sugestão de identificação) são executadas em servidores GPU controlados por OHADJA rodando vLLM com modelos de pesos abertos ([A SER COMPLETO: versões exatas — Qwen 3.6 ou Mistral]), hospedados na Europa (principalmente Estrasburgo e Paris) — ou, na Opção B, na infraestrutura do cliente. Nesta rota, nenhum dado é transmitido a um fornecedor de modelo terceiro e nenhum processamento ocorre fora do EEE.</w:t>
      </w:r>
    </w:p>
    <w:p>
      <w:pPr>
        <w:pStyle w:val="BodyText"/>
      </w:pPr>
      <w:r>
        <w:rPr>
          <w:b/>
          <w:bCs/>
          <w:lang w:val="pt-PT"/>
        </w:rPr>
        <w:t xml:space="preserve">Rota de emergência — transferência possível para </w:t>
      </w:r>
      <w:r>
        <w:rPr>
          <w:lang w:val="pt-PT"/>
        </w:rPr>
        <w:t xml:space="preserve"/>
      </w:r>
      <w:r>
        <w:rPr>
          <w:lang w:val="pt-PT"/>
        </w:rPr>
        <w:t xml:space="preserve">fora do EEE. No caso de indisponibilidade do canal primário, e a menos que seja desativado pela sua organização, um failover para o gateway OpenRouter </w:t>
      </w:r>
      <w:r>
        <w:rPr>
          <w:lang w:val="pt-PT"/>
        </w:rPr>
        <w:t xml:space="preserve"/>
      </w:r>
      <w:r>
        <w:rPr>
          <w:b/>
          <w:bCs/>
          <w:lang w:val="pt-PT"/>
        </w:rPr>
        <w:t xml:space="preserve">pode </w:t>
      </w:r>
      <w:r>
        <w:rPr>
          <w:lang w:val="pt-PT"/>
        </w:rPr>
        <w:t xml:space="preserve">exigir </w:t>
      </w:r>
      <w:r>
        <w:rPr>
          <w:lang w:val="pt-PT"/>
        </w:rPr>
        <w:t xml:space="preserve">provedores modelo </w:t>
      </w:r>
      <w:r>
        <w:rPr>
          <w:lang w:val="pt-PT"/>
        </w:rPr>
        <w:t xml:space="preserve"/>
      </w:r>
      <w:r>
        <w:rPr>
          <w:b/>
          <w:bCs/>
          <w:lang w:val="pt-PT"/>
        </w:rPr>
        <w:t xml:space="preserve">estabelecidos nos Estados Unidos (por exemplo, </w:t>
      </w:r>
      <w:r>
        <w:rPr>
          <w:lang w:val="pt-PT"/>
        </w:rPr>
        <w:t xml:space="preserve"/>
      </w:r>
      <w:r>
        <w:rPr>
          <w:lang w:val="pt-PT"/>
        </w:rPr>
        <w:t xml:space="preserve">Anthropic ou OpenAI). Este recurso constitui então uma transferência para fora do EEE, enquadrada da seguinte forma: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Detalhe</w:t>
            </w:r>
          </w:p>
        </w:tc>
      </w:tr>
      <w:tr>
        <w:trPr>
          <w:cantSplit/>
        </w:trPr>
        <w:tc>
          <w:tcPr/>
          <w:p>
            <w:pPr>
              <w:pStyle w:val="Compact"/>
            </w:pPr>
            <w:r>
              <w:rPr>
                <w:lang w:val="pt-PT"/>
              </w:rPr>
              <w:t xml:space="preserve">Subcontratantes afetado</w:t>
            </w:r>
          </w:p>
        </w:tc>
        <w:tc>
          <w:tcPr/>
          <w:p>
            <w:pPr>
              <w:pStyle w:val="Compact"/>
            </w:pPr>
            <w:r>
              <w:rPr>
                <w:lang w:val="pt-PT"/>
              </w:rPr>
              <w:t xml:space="preserve">OpenRouter Inc. (EUA); provedores de modelos via OpenRouter (Anthropic, OpenAI…)</w:t>
            </w:r>
          </w:p>
        </w:tc>
      </w:tr>
      <w:tr>
        <w:trPr>
          <w:cantSplit/>
        </w:trPr>
        <w:tc>
          <w:tcPr/>
          <w:p>
            <w:pPr>
              <w:pStyle w:val="Compact"/>
            </w:pPr>
            <w:r>
              <w:rPr>
                <w:lang w:val="pt-PT"/>
              </w:rPr>
              <w:t xml:space="preserve">Acionamento</w:t>
            </w:r>
          </w:p>
        </w:tc>
        <w:tc>
          <w:tcPr/>
          <w:p>
            <w:pPr>
              <w:pStyle w:val="Compact"/>
            </w:pPr>
            <w:r>
              <w:rPr>
                <w:lang w:val="pt-PT"/>
              </w:rPr>
              <w:t xml:space="preserve">Somente como backup, se o canal vLLM UE primário estiver indisponível; pode ser desativado pela organização</w:t>
            </w:r>
          </w:p>
        </w:tc>
      </w:tr>
      <w:tr>
        <w:trPr>
          <w:cantSplit/>
        </w:trPr>
        <w:tc>
          <w:tcPr/>
          <w:p>
            <w:pPr>
              <w:pStyle w:val="Compact"/>
            </w:pPr>
            <w:r>
              <w:rPr>
                <w:lang w:val="pt-PT"/>
              </w:rPr>
              <w:t xml:space="preserve">País de processamento</w:t>
            </w:r>
          </w:p>
        </w:tc>
        <w:tc>
          <w:tcPr/>
          <w:p>
            <w:pPr>
              <w:pStyle w:val="Compact"/>
            </w:pPr>
            <w:r>
              <w:rPr>
                <w:lang w:val="pt-PT"/>
              </w:rPr>
              <w:t xml:space="preserve">Estados Unidos possível dependendo do modelo</w:t>
            </w:r>
          </w:p>
        </w:tc>
      </w:tr>
      <w:tr>
        <w:trPr>
          <w:cantSplit/>
        </w:trPr>
        <w:tc>
          <w:tcPr/>
          <w:p>
            <w:pPr>
              <w:pStyle w:val="Compact"/>
            </w:pPr>
            <w:r>
              <w:rPr>
                <w:lang w:val="pt-PT"/>
              </w:rPr>
              <w:t xml:space="preserve">Mecanismo de transferência (Capítulo V RGPD)</w:t>
            </w:r>
          </w:p>
        </w:tc>
        <w:tc>
          <w:tcPr/>
          <w:p>
            <w:pPr>
              <w:pStyle w:val="Compact"/>
            </w:pPr>
            <w:r>
              <w:rPr>
                <w:lang w:val="pt-PT"/>
              </w:rPr>
              <w:t xml:space="preserve">Cláusulas contratuais padrão de fornecedores; quando aplicável, Estrutura de Privacidade de Dados</w:t>
            </w:r>
          </w:p>
        </w:tc>
      </w:tr>
      <w:tr>
        <w:trPr>
          <w:cantSplit/>
        </w:trPr>
        <w:tc>
          <w:tcPr/>
          <w:p>
            <w:pPr>
              <w:pStyle w:val="Compact"/>
            </w:pPr>
            <w:r>
              <w:rPr>
                <w:lang w:val="pt-PT"/>
              </w:rPr>
              <w:t xml:space="preserve">Medidas adicionais</w:t>
            </w:r>
          </w:p>
        </w:tc>
        <w:tc>
          <w:tcPr/>
          <w:p>
            <w:pPr>
              <w:pStyle w:val="Compact"/>
            </w:pPr>
            <w:r>
              <w:rPr>
                <w:lang w:val="pt-PT"/>
              </w:rPr>
              <w:t xml:space="preserve">TLS em trânsito, minimização de dados transmitidos, ausência de treino em seus dados (“no-train”), ausência de armazenamento durável</w:t>
            </w:r>
          </w:p>
        </w:tc>
      </w:tr>
      <w:tr>
        <w:trPr>
          <w:cantSplit/>
        </w:trPr>
        <w:tc>
          <w:tcPr/>
          <w:p>
            <w:pPr>
              <w:pStyle w:val="Compact"/>
            </w:pPr>
            <w:r>
              <w:rPr>
                <w:lang w:val="pt-PT"/>
              </w:rPr>
              <w:t xml:space="preserve">Remoção de alívio</w:t>
            </w:r>
          </w:p>
        </w:tc>
        <w:tc>
          <w:tcPr/>
          <w:p>
            <w:pPr>
              <w:pStyle w:val="Compact"/>
            </w:pPr>
            <w:r>
              <w:rPr>
                <w:lang w:val="pt-PT"/>
              </w:rPr>
              <w:t xml:space="preserve">Perfil “Strict EU” (backup desabilitado) ou Opção B isolada</w:t>
            </w:r>
          </w:p>
        </w:tc>
      </w:tr>
    </w:tbl>
    <w:p>
      <w:pPr>
        <w:pStyle w:val="BodyText"/>
      </w:pPr>
      <w:r>
        <w:rPr>
          <w:b/>
          <w:bCs/>
          <w:lang w:val="pt-PT"/>
        </w:rPr>
        <w:t xml:space="preserve">Rotas LLM por organização. </w:t>
      </w:r>
      <w:r>
        <w:rPr>
          <w:lang w:val="pt-PT"/>
        </w:rPr>
        <w:t xml:space="preserve"/>
      </w:r>
      <w:r>
        <w:rPr>
          <w:lang w:val="pt-PT"/>
        </w:rPr>
        <w:t xml:space="preserve">Desde a versão 1.7.0, cada organização pode definir as suas próprias rotas LLM (fornecedor, modelo, endpoint autoalojado), em modo fail-closed e com proteção contra SSRF, o que lhe permite controlar plenamente o local de tratamento da IA.</w:t>
      </w:r>
    </w:p>
    <w:bookmarkEnd w:id="40"/>
    <w:bookmarkStart w:id="41" w:name="X2285286b7bc0b60388fb6c9db2644919089fce5"/>
    <w:p>
      <w:pPr>
        <w:pStyle w:val="Heading3"/>
        <w:keepNext/>
        <w:keepLines/>
      </w:pPr>
      <w:r>
        <w:rPr>
          <w:color w:val="000000"/>
          <w:lang w:val="pt-PT"/>
        </w:rPr>
        <w:t xml:space="preserve">5.2 Recursos de GPU de transcrição</w:t>
      </w:r>
    </w:p>
    <w:p>
      <w:pPr>
        <w:pStyle w:val="FirstParagraph"/>
      </w:pPr>
      <w:r>
        <w:rPr>
          <w:lang w:val="pt-PT"/>
        </w:rPr>
        <w:t xml:space="preserve">O processamento de transcrição pode usar recursos de GPU de um mercado (Vast.ai) quando esta opção está habilitada. OHADJA seleciona máquinas localizadas na UE quando esta localização é necessária; caso contrário, o processamento fora do EEE é possível.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Detalhe</w:t>
            </w:r>
          </w:p>
        </w:tc>
      </w:tr>
      <w:tr>
        <w:trPr>
          <w:cantSplit/>
        </w:trPr>
        <w:tc>
          <w:tcPr/>
          <w:p>
            <w:pPr>
              <w:pStyle w:val="Compact"/>
            </w:pPr>
            <w:r>
              <w:rPr>
                <w:lang w:val="pt-PT"/>
              </w:rPr>
              <w:t xml:space="preserve">Fornecedor</w:t>
            </w:r>
          </w:p>
        </w:tc>
        <w:tc>
          <w:tcPr/>
          <w:p>
            <w:pPr>
              <w:pStyle w:val="Compact"/>
            </w:pPr>
            <w:r>
              <w:rPr>
                <w:lang w:val="pt-PT"/>
              </w:rPr>
              <w:t xml:space="preserve">Vast.ai (marketplace, EUA) ou GPU dedicada</w:t>
            </w:r>
          </w:p>
        </w:tc>
      </w:tr>
      <w:tr>
        <w:trPr>
          <w:cantSplit/>
        </w:trPr>
        <w:tc>
          <w:tcPr/>
          <w:p>
            <w:pPr>
              <w:pStyle w:val="Compact"/>
            </w:pPr>
            <w:r>
              <w:rPr>
                <w:lang w:val="pt-PT"/>
              </w:rPr>
              <w:t xml:space="preserve">País de processamento</w:t>
            </w:r>
          </w:p>
        </w:tc>
        <w:tc>
          <w:tcPr/>
          <w:p>
            <w:pPr>
              <w:pStyle w:val="Compact"/>
            </w:pPr>
            <w:r>
              <w:rPr>
                <w:lang w:val="pt-PT"/>
              </w:rPr>
              <w:t xml:space="preserve">UE quando necessário; fora do EEE possível caso contrário</w:t>
            </w:r>
          </w:p>
        </w:tc>
      </w:tr>
      <w:tr>
        <w:trPr>
          <w:cantSplit/>
        </w:trPr>
        <w:tc>
          <w:tcPr/>
          <w:p>
            <w:pPr>
              <w:pStyle w:val="Compact"/>
            </w:pPr>
            <w:r>
              <w:rPr>
                <w:lang w:val="pt-PT"/>
              </w:rPr>
              <w:t xml:space="preserve">Medidas</w:t>
            </w:r>
          </w:p>
        </w:tc>
        <w:tc>
          <w:tcPr/>
          <w:p>
            <w:pPr>
              <w:pStyle w:val="Compact"/>
            </w:pPr>
            <w:r>
              <w:rPr>
                <w:lang w:val="pt-PT"/>
              </w:rPr>
              <w:t xml:space="preserve">Processamento automatizado, exclusão de dados após o trabalho</w:t>
            </w:r>
          </w:p>
        </w:tc>
      </w:tr>
      <w:tr>
        <w:trPr>
          <w:cantSplit/>
        </w:trPr>
        <w:tc>
          <w:tcPr/>
          <w:p>
            <w:pPr>
              <w:pStyle w:val="Compact"/>
            </w:pPr>
            <w:r>
              <w:rPr>
                <w:lang w:val="pt-PT"/>
              </w:rPr>
              <w:t xml:space="preserve">Alternativa sem fora do EEE</w:t>
            </w:r>
          </w:p>
        </w:tc>
        <w:tc>
          <w:tcPr/>
          <w:p>
            <w:pPr>
              <w:pStyle w:val="Compact"/>
            </w:pPr>
            <w:r>
              <w:rPr>
                <w:lang w:val="pt-PT"/>
              </w:rPr>
              <w:t xml:space="preserve">GPU UE dedicada, perfil “UE estrito” ou opção B isolada</w:t>
            </w:r>
          </w:p>
        </w:tc>
      </w:tr>
    </w:tbl>
    <w:bookmarkEnd w:id="41"/>
    <w:bookmarkStart w:id="42" w:name="Xa78361d18e82bf892f473781e2b3906efd4da02"/>
    <w:p>
      <w:pPr>
        <w:pStyle w:val="Heading3"/>
        <w:keepNext/>
        <w:keepLines/>
      </w:pPr>
      <w:r>
        <w:rPr>
          <w:color w:val="000000"/>
          <w:lang w:val="pt-PT"/>
        </w:rPr>
        <w:t xml:space="preserve">5.3 Resumo</w:t>
      </w:r>
    </w:p>
    <w:p>
      <w:pPr>
        <w:pStyle w:val="FirstParagraph"/>
      </w:pPr>
      <w:r>
        <w:rPr>
          <w:lang w:val="pt-PT"/>
        </w:rPr>
        <w:t xml:space="preserve">Na configuração padrão, a rota primária de IA (vLLM em GPUs dominadas na Europa) não envolve qualquer transferência fora do EEE. Os únicos casos residuais de processamento fora do EEE na Opção A são o substituto do OpenRouter (se for solicitado e não desativado) e determinados recursos de transcrição da GPU. Para excluir completamente estes casos residuais, duas vias garantem a ausência de qualquer tratamento fora do EEE:</w:t>
      </w:r>
    </w:p>
    <w:p>
      <w:pPr>
        <w:pStyle w:val="Compact"/>
        <w:numPr>
          <w:ilvl w:val="0"/>
          <w:numId w:val="1008"/>
        </w:numPr>
      </w:pPr>
      <w:r>
        <w:rPr>
          <w:b/>
          <w:bCs/>
          <w:lang w:val="pt-PT"/>
        </w:rPr>
        <w:t xml:space="preserve">Opção A com perfil “Strict UE”: </w:t>
      </w:r>
      <w:r>
        <w:rPr>
          <w:lang w:val="pt-PT"/>
        </w:rPr>
        <w:t xml:space="preserve"/>
      </w:r>
      <w:r>
        <w:rPr>
          <w:lang w:val="pt-PT"/>
        </w:rPr>
        <w:t xml:space="preserve">via primária UE vLLM ou modelo auto-hospedado, fallback OpenRouter desabilitado, recursos GPU de transcrição UE;</w:t>
      </w:r>
    </w:p>
    <w:p>
      <w:pPr>
        <w:pStyle w:val="Compact"/>
        <w:numPr>
          <w:ilvl w:val="0"/>
          <w:numId w:val="1008"/>
        </w:numPr>
      </w:pPr>
      <w:r>
        <w:rPr>
          <w:b/>
          <w:bCs/>
          <w:lang w:val="pt-PT"/>
        </w:rPr>
        <w:t xml:space="preserve">Opção B isolada no local: </w:t>
      </w:r>
      <w:r>
        <w:rPr>
          <w:lang w:val="pt-PT"/>
        </w:rPr>
        <w:t xml:space="preserve"/>
      </w:r>
      <w:r>
        <w:rPr>
          <w:lang w:val="pt-PT"/>
        </w:rPr>
        <w:t xml:space="preserve">sem fluxo de saída, todo o processamento na infraestrutura do cliente.</w:t>
      </w:r>
    </w:p>
    <w:bookmarkEnd w:id="42"/>
    <w:bookmarkEnd w:id="43"/>
    <w:bookmarkStart w:id="44" w:name="Xf27fc752bd766297e25b0fbec12501eb2c919fc"/>
    <w:p>
      <w:pPr>
        <w:pStyle w:val="Heading2"/>
        <w:keepNext/>
        <w:keepLines/>
      </w:pPr>
      <w:r>
        <w:rPr>
          <w:color w:val="000000"/>
          <w:lang w:val="pt-PT"/>
        </w:rPr>
        <w:t xml:space="preserve">6. Administração e apoio da França/UE</w:t>
      </w:r>
    </w:p>
    <w:p>
      <w:pPr>
        <w:pStyle w:val="FirstParagraph"/>
      </w:pPr>
      <w:r>
        <w:rPr>
          <w:lang w:val="pt-PT"/>
        </w:rPr>
        <w:t xml:space="preserve">OHADJA compromete-se contratualmente a realizar a administração e suporte da solução </w:t>
      </w:r>
      <w:r>
        <w:rPr>
          <w:lang w:val="pt-PT"/>
        </w:rPr>
        <w:t xml:space="preserve"/>
      </w:r>
      <w:r>
        <w:rPr>
          <w:b/>
          <w:bCs/>
          <w:lang w:val="pt-PT"/>
        </w:rPr>
        <w:t xml:space="preserve">exclusivamente a partir de França ou da União Europeia. </w:t>
      </w:r>
      <w:r>
        <w:rPr>
          <w:lang w:val="pt-PT"/>
        </w:rPr>
        <w:t xml:space="preserve">Nenhum acesso administrativo aos dados de produção é feito a partir de um país terceiro, e nenhuma transferência de dados para um país terceiro resulta de operações administrativas ou de apoio.</w:t>
      </w:r>
    </w:p>
    <w:p>
      <w:pPr>
        <w:pStyle w:val="BodyText"/>
      </w:pPr>
      <w:r>
        <w:rPr>
          <w:b/>
          <w:bCs/>
          <w:lang w:val="pt-PT"/>
        </w:rPr>
        <w:t xml:space="preserve">Estrutura implementada:</w:t>
      </w:r>
    </w:p>
    <w:p>
      <w:pPr>
        <w:pStyle w:val="Compact"/>
        <w:numPr>
          <w:ilvl w:val="0"/>
          <w:numId w:val="1009"/>
        </w:numPr>
      </w:pPr>
      <w:r>
        <w:rPr>
          <w:lang w:val="pt-PT"/>
        </w:rPr>
        <w:t xml:space="preserve">administração e apoio exclusivamente da França ou da União Europeia;</w:t>
      </w:r>
    </w:p>
    <w:p>
      <w:pPr>
        <w:pStyle w:val="Compact"/>
        <w:numPr>
          <w:ilvl w:val="0"/>
          <w:numId w:val="1009"/>
        </w:numPr>
      </w:pPr>
      <w:r>
        <w:rPr>
          <w:lang w:val="pt-PT"/>
        </w:rPr>
        <w:t xml:space="preserve">acesso nominativo, reservado a pessoas autorizadas;</w:t>
      </w:r>
    </w:p>
    <w:p>
      <w:pPr>
        <w:pStyle w:val="Compact"/>
        <w:numPr>
          <w:ilvl w:val="0"/>
          <w:numId w:val="1009"/>
        </w:numPr>
      </w:pPr>
      <w:r>
        <w:rPr>
          <w:lang w:val="pt-PT"/>
        </w:rPr>
        <w:t xml:space="preserve">Login SSH somente chave, autenticação de dois fatores, TLS;</w:t>
      </w:r>
    </w:p>
    <w:p>
      <w:pPr>
        <w:pStyle w:val="Compact"/>
        <w:numPr>
          <w:ilvl w:val="0"/>
          <w:numId w:val="1009"/>
        </w:numPr>
      </w:pPr>
      <w:r>
        <w:rPr>
          <w:lang w:val="pt-PT"/>
        </w:rPr>
        <w:t xml:space="preserve">registo de acesso administrativo;</w:t>
      </w:r>
    </w:p>
    <w:p>
      <w:pPr>
        <w:pStyle w:val="Compact"/>
        <w:numPr>
          <w:ilvl w:val="0"/>
          <w:numId w:val="1009"/>
        </w:numPr>
      </w:pPr>
      <w:r>
        <w:rPr>
          <w:lang w:val="pt-PT"/>
        </w:rPr>
        <w:t xml:space="preserve">nenhuma cópia local dos dados de produção na estação de trabalho do administrador;</w:t>
      </w:r>
    </w:p>
    <w:p>
      <w:pPr>
        <w:pStyle w:val="Compact"/>
        <w:numPr>
          <w:ilvl w:val="0"/>
          <w:numId w:val="1009"/>
        </w:numPr>
      </w:pPr>
      <w:r>
        <w:rPr>
          <w:lang w:val="pt-PT"/>
        </w:rPr>
        <w:t xml:space="preserve">estação de trabalho cifrada.</w:t>
      </w:r>
    </w:p>
    <w:p>
      <w:pPr>
        <w:pStyle w:val="FirstParagraph"/>
      </w:pPr>
      <w:r>
        <w:rPr>
          <w:lang w:val="pt-PT"/>
        </w:rPr>
        <w:t xml:space="preserve">Este compromisso é consistente com a qualidade da OHADJA, editora estabelecida em França (com sede em Paris).</w:t>
      </w:r>
    </w:p>
    <w:bookmarkEnd w:id="44"/>
    <w:bookmarkStart w:id="45" w:name="X8b67c202385f36df7b88c0ca51f80bcd914f097"/>
    <w:p>
      <w:pPr>
        <w:pStyle w:val="Heading2"/>
        <w:keepNext/>
        <w:keepLines/>
      </w:pPr>
      <w:r>
        <w:rPr>
          <w:color w:val="000000"/>
          <w:lang w:val="pt-PT"/>
        </w:rPr>
        <w:t xml:space="preserve">7. Visão geral do fluxo</w:t>
      </w:r>
    </w:p>
    <w:p>
      <w:pPr>
        <w:pStyle w:val="FirstParagraph"/>
      </w:pPr>
      <w:r>
        <w:rPr>
          <w:lang w:val="pt-PT"/>
        </w:rPr>
        <w:t xml:space="preserve">O diagrama de fluxo de dados (upload, transcrição, IA, backup) é retornado ao formato Visio (.vsdx) durante a fase de implementação, com base na descrição do documento TRB-CONF-01.03.</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45"/>
    <w:bookmarkEnd w:id="46"/>
    <w:bookmarkStart w:id="60" w:name="X086e6a2779536af984993aabbd9c9a847a687e2"/>
    <w:p>
      <w:pPr>
        <w:pStyle w:val="Heading1"/>
        <w:keepNext/>
        <w:keepLines/>
      </w:pPr>
      <w:r>
        <w:rPr>
          <w:color w:val="000000"/>
          <w:lang w:val="pt-PT"/>
        </w:rPr>
        <w:t xml:space="preserve">Identificação de atores e funções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OHA-RGPD-01</w:t>
            </w:r>
          </w:p>
        </w:tc>
      </w:tr>
      <w:tr>
        <w:trPr>
          <w:cantSplit/>
        </w:trPr>
        <w:tc>
          <w:tcPr/>
          <w:p>
            <w:pPr>
              <w:pStyle w:val="Compact"/>
            </w:pPr>
            <w:r>
              <w:rPr>
                <w:lang w:val="pt-PT"/>
              </w:rPr>
              <w:t xml:space="preserve">Objetivo</w:t>
            </w:r>
          </w:p>
        </w:tc>
        <w:tc>
          <w:tcPr/>
          <w:p>
            <w:pPr>
              <w:pStyle w:val="Compact"/>
            </w:pPr>
            <w:r>
              <w:rPr>
                <w:lang w:val="pt-PT"/>
              </w:rPr>
              <w:t xml:space="preserve">Identificação de atores e suas funções na aceção de RGPD</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47" w:name="X4c77b53808a8ef02d48fd63b082b5729319d6d1"/>
    <w:p>
      <w:pPr>
        <w:pStyle w:val="Heading2"/>
        <w:keepNext/>
        <w:keepLines/>
      </w:pPr>
      <w:r>
        <w:rPr>
          <w:color w:val="000000"/>
          <w:lang w:val="pt-PT"/>
        </w:rPr>
        <w:t xml:space="preserve">1. Objetivo do documento</w:t>
      </w:r>
    </w:p>
    <w:p>
      <w:pPr>
        <w:pStyle w:val="FirstParagraph"/>
      </w:pPr>
      <w:r>
        <w:rPr>
          <w:lang w:val="pt-PT"/>
        </w:rPr>
        <w:t xml:space="preserve">Este documento identifica com precisão todos os intervenientes envolvidos no fornecimento e operação da solução TranscribIA e qualifica o papel de cada um na aceção do Regulamento (UE) 2016/679 (doravante “RGPD”). Especifica, para cada ator, as operações efetivamente realizadas e as condições de acesso a dados pessoais.</w:t>
      </w:r>
    </w:p>
    <w:p>
      <w:pPr>
        <w:pStyle w:val="BodyText"/>
      </w:pPr>
      <w:r>
        <w:rPr>
          <w:lang w:val="pt-PT"/>
        </w:rPr>
        <w:t xml:space="preserve">Constitui a primeira parte do arquivo RGPD detalhado fornecido ao Cliente. Os subcontratantes ulteriores técnicos são citados apenas aqui; estão detalhados no documento OHA-RGPD-03 (“Lista de subcontratantes ulteriores”). Os fluxos de dados e o acesso humano estão detalhados no documento OHA-RGPD-02 (“Matriz de Fluxo de Dados”).</w:t>
      </w:r>
    </w:p>
    <w:p>
      <w:pPr>
        <w:pStyle w:val="BodyText"/>
      </w:pPr>
      <w:r>
        <w:rPr>
          <w:lang w:val="pt-PT"/>
        </w:rPr>
        <w:t xml:space="preserve">Ponto de atenção terminológico: a solicitação do Cliente cita </w:t>
      </w:r>
      <w:r>
        <w:rPr>
          <w:lang w:val="pt-PT"/>
        </w:rPr>
        <w:t xml:space="preserve">especificamente </w:t>
      </w:r>
      <w:r>
        <w:rPr>
          <w:b/>
          <w:bCs/>
          <w:lang w:val="pt-PT"/>
        </w:rPr>
        <w:t xml:space="preserve"/>
      </w:r>
      <w:r>
        <w:rPr>
          <w:lang w:val="pt-PT"/>
        </w:rPr>
        <w:t xml:space="preserve">AMBASSADIA. É conveniente distinguir duas entidades do mesmo grupo </w:t>
      </w:r>
      <w:r>
        <w:rPr>
          <w:lang w:val="pt-PT"/>
        </w:rPr>
        <w:t xml:space="preserve"/>
      </w:r>
      <w:r>
        <w:rPr>
          <w:b/>
          <w:bCs/>
          <w:lang w:val="pt-PT"/>
        </w:rPr>
        <w:t xml:space="preserve">fundador: </w:t>
      </w:r>
      <w:r>
        <w:rPr>
          <w:lang w:val="pt-PT"/>
        </w:rPr>
        <w:t xml:space="preserve">OHADJA, editor do software e subcontratante na aceção do artigo 28, </w:t>
      </w:r>
      <w:r>
        <w:rPr>
          <w:lang w:val="pt-PT"/>
        </w:rPr>
        <w:t xml:space="preserve"/>
      </w:r>
      <w:r>
        <w:rPr>
          <w:b/>
          <w:bCs/>
          <w:lang w:val="pt-PT"/>
        </w:rPr>
        <w:t xml:space="preserve">e AMBASSADIA </w:t>
      </w:r>
      <w:r>
        <w:rPr>
          <w:lang w:val="pt-PT"/>
        </w:rPr>
        <w:t xml:space="preserve">SARL, revendedor/distribuidor comercial </w:t>
      </w:r>
      <w:r>
        <w:rPr>
          <w:lang w:val="pt-PT"/>
        </w:rPr>
        <w:t xml:space="preserve"/>
      </w:r>
      <w:r>
        <w:rPr>
          <w:b/>
          <w:bCs/>
          <w:lang w:val="pt-PT"/>
        </w:rPr>
        <w:t xml:space="preserve">que não acede aos dados de produção. Este </w:t>
      </w:r>
      <w:r>
        <w:rPr>
          <w:lang w:val="pt-PT"/>
        </w:rPr>
        <w:t xml:space="preserve">documento explica esse compartilhamento de funções.</w:t>
      </w:r>
    </w:p>
    <w:p>
      <w:pPr>
        <w:pStyle w:val="BodyText"/>
      </w:pPr>
      <w:r>
        <w:rPr>
          <w:lang w:val="pt-PT"/>
        </w:rPr>
        <w:t xml:space="preserve">Dois modos de fornecimento são possíveis e determinam o âmbito das funções:</w:t>
      </w:r>
    </w:p>
    <w:p>
      <w:pPr>
        <w:pStyle w:val="Compact"/>
        <w:numPr>
          <w:ilvl w:val="0"/>
          <w:numId w:val="1010"/>
        </w:numPr>
      </w:pPr>
      <w:r>
        <w:rPr>
          <w:b/>
          <w:bCs/>
          <w:lang w:val="pt-PT"/>
        </w:rPr>
        <w:t xml:space="preserve">Opção A — SaaS soberano: </w:t>
      </w:r>
      <w:r>
        <w:rPr>
          <w:lang w:val="pt-PT"/>
        </w:rPr>
        <w:t xml:space="preserve"/>
      </w:r>
      <w:r>
        <w:rPr>
          <w:lang w:val="pt-PT"/>
        </w:rPr>
        <w:t xml:space="preserve">a solução é hospedada e operada por OHADJA (produção: </w:t>
      </w:r>
      <w:r>
        <w:rPr>
          <w:lang w:val="pt-PT"/>
        </w:rPr>
        <w:t xml:space="preserve"/>
      </w:r>
      <w:r>
        <w:rPr>
          <w:rStyle w:val="VerbatimChar"/>
          <w:lang w:val="pt-PT"/>
        </w:rPr>
        <w:t xml:space="preserve">client.transcribia.eu</w:t>
      </w:r>
      <w:r>
        <w:rPr>
          <w:lang w:val="pt-PT"/>
        </w:rPr>
        <w:t xml:space="preserve">, domínio operacional, servidor localizado na França).</w:t>
      </w:r>
    </w:p>
    <w:p>
      <w:pPr>
        <w:pStyle w:val="Compact"/>
        <w:numPr>
          <w:ilvl w:val="0"/>
          <w:numId w:val="1010"/>
        </w:numPr>
      </w:pPr>
      <w:r>
        <w:rPr>
          <w:b/>
          <w:bCs/>
          <w:lang w:val="pt-PT"/>
        </w:rPr>
        <w:t xml:space="preserve">Opção B — On-premise: </w:t>
      </w:r>
      <w:r>
        <w:rPr>
          <w:lang w:val="pt-PT"/>
        </w:rPr>
        <w:t xml:space="preserve"/>
      </w:r>
      <w:r>
        <w:rPr>
          <w:lang w:val="pt-PT"/>
        </w:rPr>
        <w:t xml:space="preserve">a solução é implementada na infraestrutura do Cliente. Na variante “isolada” (sem fluxo de saída), todos os componentes são executados no cliente, incluindo o mecanismo de transcrição e um modelo de linguagem auto-hospedado.</w:t>
      </w:r>
    </w:p>
    <w:bookmarkEnd w:id="47"/>
    <w:bookmarkStart w:id="54" w:name="X3505121eb9afb15f1ae15e1ef82d98b9e19d5cc"/>
    <w:p>
      <w:pPr>
        <w:pStyle w:val="Heading2"/>
        <w:keepNext/>
        <w:keepLines/>
      </w:pPr>
      <w:r>
        <w:rPr>
          <w:color w:val="000000"/>
          <w:lang w:val="pt-PT"/>
        </w:rPr>
        <w:t xml:space="preserve">2. Fichas de ator</w:t>
      </w:r>
    </w:p>
    <w:bookmarkStart w:id="48" w:name="X817a89d71e32c8dcf2c17305e31426acdb39f22"/>
    <w:p>
      <w:pPr>
        <w:pStyle w:val="Heading3"/>
        <w:keepNext/>
        <w:keepLines/>
      </w:pPr>
      <w:r>
        <w:rPr>
          <w:color w:val="000000"/>
          <w:lang w:val="pt-PT"/>
        </w:rPr>
        <w:t xml:space="preserve">2.1 OHADJA — editor e subcontratante (artigo 28 RGPD)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Denominação</w:t>
            </w:r>
          </w:p>
        </w:tc>
        <w:tc>
          <w:tcPr/>
          <w:p>
            <w:pPr>
              <w:pStyle w:val="Compact"/>
            </w:pPr>
            <w:r>
              <w:rPr>
                <w:lang w:val="pt-PT"/>
              </w:rPr>
              <w:t xml:space="preserve">OHADJA</w:t>
            </w:r>
          </w:p>
        </w:tc>
      </w:tr>
      <w:tr>
        <w:trPr>
          <w:cantSplit/>
        </w:trPr>
        <w:tc>
          <w:tcPr/>
          <w:p>
            <w:pPr>
              <w:pStyle w:val="Compact"/>
            </w:pPr>
            <w:r>
              <w:rPr>
                <w:lang w:val="pt-PT"/>
              </w:rPr>
              <w:t xml:space="preserve">Forma jurídica</w:t>
            </w:r>
          </w:p>
        </w:tc>
        <w:tc>
          <w:tcPr/>
          <w:p>
            <w:pPr>
              <w:pStyle w:val="Compact"/>
            </w:pPr>
            <w:r>
              <w:rPr>
                <w:lang w:val="pt-PT"/>
              </w:rPr>
              <w:t xml:space="preserve">Société par actions simplifiée (SAS), forma jurídica francesa</w:t>
            </w:r>
          </w:p>
        </w:tc>
      </w:tr>
      <w:tr>
        <w:trPr>
          <w:cantSplit/>
        </w:trPr>
        <w:tc>
          <w:tcPr/>
          <w:p>
            <w:pPr>
              <w:pStyle w:val="Compact"/>
            </w:pPr>
            <w:r>
              <w:rPr>
                <w:lang w:val="pt-PT"/>
              </w:rPr>
              <w:t xml:space="preserve">Número de IVA intracomunitário</w:t>
            </w:r>
          </w:p>
        </w:tc>
        <w:tc>
          <w:tcPr/>
          <w:p>
            <w:pPr>
              <w:pStyle w:val="Compact"/>
            </w:pPr>
            <w:r>
              <w:rPr>
                <w:lang w:val="pt-PT"/>
              </w:rPr>
              <w:t xml:space="preserve">FR78992146480</w:t>
            </w:r>
          </w:p>
        </w:tc>
      </w:tr>
      <w:tr>
        <w:trPr>
          <w:cantSplit/>
        </w:trPr>
        <w:tc>
          <w:tcPr/>
          <w:p>
            <w:pPr>
              <w:pStyle w:val="Compact"/>
            </w:pPr>
            <w:r>
              <w:rPr>
                <w:lang w:val="pt-PT"/>
              </w:rPr>
              <w:t xml:space="preserve">Cadastro</w:t>
            </w:r>
          </w:p>
        </w:tc>
        <w:tc>
          <w:tcPr/>
          <w:p>
            <w:pPr>
              <w:pStyle w:val="Compact"/>
            </w:pPr>
            <w:r>
              <w:rPr>
                <w:lang w:val="pt-PT"/>
              </w:rPr>
              <w:t xml:space="preserve">992 146 480 R.C.S. Paris — SIRET da sede: 992 146 480 00015</w:t>
            </w:r>
          </w:p>
        </w:tc>
      </w:tr>
      <w:tr>
        <w:trPr>
          <w:cantSplit/>
        </w:trPr>
        <w:tc>
          <w:tcPr/>
          <w:p>
            <w:pPr>
              <w:pStyle w:val="Compact"/>
            </w:pPr>
            <w:r>
              <w:rPr>
                <w:lang w:val="pt-PT"/>
              </w:rPr>
              <w:t xml:space="preserve">Sede</w:t>
            </w:r>
          </w:p>
        </w:tc>
        <w:tc>
          <w:tcPr/>
          <w:p>
            <w:pPr>
              <w:pStyle w:val="Compact"/>
            </w:pPr>
            <w:r>
              <w:rPr>
                <w:lang w:val="pt-PT"/>
              </w:rPr>
              <w:t xml:space="preserve">60 rue François 1er, 75008 Paris, França</w:t>
            </w:r>
          </w:p>
        </w:tc>
      </w:tr>
      <w:tr>
        <w:trPr>
          <w:cantSplit/>
        </w:trPr>
        <w:tc>
          <w:tcPr/>
          <w:p>
            <w:pPr>
              <w:pStyle w:val="Compact"/>
            </w:pPr>
            <w:r>
              <w:rPr>
                <w:lang w:val="pt-PT"/>
              </w:rPr>
              <w:t xml:space="preserve">País de estabelecimento</w:t>
            </w:r>
          </w:p>
        </w:tc>
        <w:tc>
          <w:tcPr/>
          <w:p>
            <w:pPr>
              <w:pStyle w:val="Compact"/>
            </w:pPr>
            <w:r>
              <w:rPr>
                <w:lang w:val="pt-PT"/>
              </w:rPr>
              <w:t xml:space="preserve">França</w:t>
            </w:r>
          </w:p>
        </w:tc>
      </w:tr>
      <w:tr>
        <w:trPr>
          <w:cantSplit/>
        </w:trPr>
        <w:tc>
          <w:tcPr/>
          <w:p>
            <w:pPr>
              <w:pStyle w:val="Compact"/>
            </w:pPr>
            <w:r>
              <w:rPr>
                <w:lang w:val="pt-PT"/>
              </w:rPr>
              <w:t xml:space="preserve">Co-fundadores</w:t>
            </w:r>
          </w:p>
        </w:tc>
        <w:tc>
          <w:tcPr/>
          <w:p>
            <w:pPr>
              <w:pStyle w:val="Compact"/>
            </w:pPr>
            <w:r>
              <w:rPr>
                <w:lang w:val="pt-PT"/>
              </w:rPr>
              <w:t xml:space="preserve">Olivier Dupont (CTO) e Philippe Heyraud</w:t>
            </w:r>
          </w:p>
        </w:tc>
      </w:tr>
      <w:tr>
        <w:trPr>
          <w:cantSplit/>
        </w:trPr>
        <w:tc>
          <w:tcPr/>
          <w:p>
            <w:pPr>
              <w:pStyle w:val="Compact"/>
            </w:pPr>
            <w:r>
              <w:rPr>
                <w:lang w:val="pt-PT"/>
              </w:rPr>
              <w:t xml:space="preserve">Representante legal signatário</w:t>
            </w:r>
          </w:p>
        </w:tc>
        <w:tc>
          <w:tcPr/>
          <w:p>
            <w:pPr>
              <w:pStyle w:val="Compact"/>
            </w:pPr>
            <w:r>
              <w:rPr>
                <w:lang w:val="pt-PT"/>
              </w:rPr>
              <w:t xml:space="preserve">Olivier Dupont, presidente</w:t>
            </w:r>
          </w:p>
        </w:tc>
      </w:tr>
      <w:tr>
        <w:trPr>
          <w:cantSplit/>
        </w:trPr>
        <w:tc>
          <w:tcPr/>
          <w:p>
            <w:pPr>
              <w:pStyle w:val="Compact"/>
            </w:pPr>
            <w:r>
              <w:rPr>
                <w:lang w:val="pt-PT"/>
              </w:rPr>
              <w:t xml:space="preserve">Contacto de proteção de dados</w:t>
            </w:r>
          </w:p>
        </w:tc>
        <w:tc>
          <w:tcPr/>
          <w:p>
            <w:pPr>
              <w:pStyle w:val="Compact"/>
            </w:pPr>
            <w:hyperlink r:id="rId9">
              <w:r>
                <w:rPr>
                  <w:rStyle w:val="Hyperlink"/>
                  <w:lang w:val="pt-PT"/>
                </w:rPr>
                <w:t xml:space="preserve">privacy@transcribia.eu</w:t>
              </w:r>
            </w:hyperlink>
          </w:p>
        </w:tc>
      </w:tr>
    </w:tbl>
    <w:p>
      <w:pPr>
        <w:pStyle w:val="BodyText"/>
      </w:pPr>
      <w:r>
        <w:rPr>
          <w:b/>
          <w:bCs/>
          <w:lang w:val="pt-PT"/>
        </w:rPr>
        <w:t xml:space="preserve">Função </w:t>
      </w:r>
      <w:r>
        <w:rPr>
          <w:lang w:val="pt-PT"/>
        </w:rPr>
        <w:t xml:space="preserve"/>
      </w:r>
      <w:r>
        <w:rPr>
          <w:lang w:val="pt-PT"/>
        </w:rPr>
        <w:t xml:space="preserve">RGPD. OHADJA é o editor e desenvolvedor do software TranscribIA. Uma vez que processa dados pessoais em nome do Cliente, atua como subcontratante na </w:t>
      </w:r>
      <w:r>
        <w:rPr>
          <w:lang w:val="pt-PT"/>
        </w:rPr>
        <w:t xml:space="preserve"/>
      </w:r>
      <w:r>
        <w:rPr>
          <w:b/>
          <w:bCs/>
          <w:lang w:val="pt-PT"/>
        </w:rPr>
        <w:t xml:space="preserve">aceção do </w:t>
      </w:r>
      <w:r>
        <w:rPr>
          <w:lang w:val="pt-PT"/>
        </w:rPr>
        <w:t xml:space="preserve"/>
      </w:r>
      <w:r>
        <w:rPr>
          <w:lang w:val="pt-PT"/>
        </w:rPr>
        <w:t xml:space="preserve">artigo 4.8 de RGPD, no âmbito do artigo 28 de Acordo de subcontratação de dados (“DPA”).</w:t>
      </w:r>
    </w:p>
    <w:p>
      <w:pPr>
        <w:pStyle w:val="BodyText"/>
      </w:pPr>
      <w:r>
        <w:rPr>
          <w:b/>
          <w:bCs/>
          <w:lang w:val="pt-PT"/>
        </w:rPr>
        <w:t xml:space="preserve">Operações realizadas.</w:t>
      </w:r>
    </w:p>
    <w:p>
      <w:pPr>
        <w:pStyle w:val="Compact"/>
        <w:numPr>
          <w:ilvl w:val="0"/>
          <w:numId w:val="1011"/>
        </w:numPr>
      </w:pPr>
      <w:r>
        <w:rPr>
          <w:lang w:val="pt-PT"/>
        </w:rPr>
        <w:t xml:space="preserve">Desenvolvimento e manutenção corretiva e evolutiva do software.</w:t>
      </w:r>
    </w:p>
    <w:p>
      <w:pPr>
        <w:pStyle w:val="Compact"/>
        <w:numPr>
          <w:ilvl w:val="0"/>
          <w:numId w:val="1011"/>
        </w:numPr>
      </w:pPr>
      <w:r>
        <w:rPr>
          <w:lang w:val="pt-PT"/>
        </w:rPr>
        <w:t xml:space="preserve">Opção </w:t>
      </w:r>
      <w:r>
        <w:rPr>
          <w:lang w:val="pt-PT"/>
        </w:rPr>
        <w:t xml:space="preserve"/>
      </w:r>
      <w:r>
        <w:rPr>
          <w:b/>
          <w:bCs/>
          <w:lang w:val="pt-PT"/>
        </w:rPr>
        <w:t xml:space="preserve">A: </w:t>
      </w:r>
      <w:r>
        <w:rPr>
          <w:lang w:val="pt-PT"/>
        </w:rPr>
        <w:t xml:space="preserve"/>
      </w:r>
      <w:r>
        <w:rPr>
          <w:lang w:val="pt-PT"/>
        </w:rPr>
        <w:t xml:space="preserve">alojamento, operação de aplicativos, supervisão, backups técnicos, atualizações e segurança operacional do serviço.</w:t>
      </w:r>
    </w:p>
    <w:p>
      <w:pPr>
        <w:pStyle w:val="Compact"/>
        <w:numPr>
          <w:ilvl w:val="0"/>
          <w:numId w:val="1011"/>
        </w:numPr>
      </w:pPr>
      <w:r>
        <w:rPr>
          <w:lang w:val="pt-PT"/>
        </w:rPr>
        <w:t xml:space="preserve">Na </w:t>
      </w:r>
      <w:r>
        <w:rPr>
          <w:lang w:val="pt-PT"/>
        </w:rPr>
        <w:t xml:space="preserve"/>
      </w:r>
      <w:r>
        <w:rPr>
          <w:b/>
          <w:bCs/>
          <w:lang w:val="pt-PT"/>
        </w:rPr>
        <w:t xml:space="preserve">Opção </w:t>
      </w:r>
      <w:r>
        <w:rPr>
          <w:lang w:val="pt-PT"/>
        </w:rPr>
        <w:t xml:space="preserve">B: </w:t>
      </w:r>
      <w:r>
        <w:rPr>
          <w:lang w:val="pt-PT"/>
        </w:rPr>
        <w:t xml:space="preserve">apenas operações efetivamente confiadas pelo Cliente (suporte, manutenção, atualizações de aplicações, acesso remoto autorizado, assistência técnica).</w:t>
      </w:r>
    </w:p>
    <w:p>
      <w:pPr>
        <w:pStyle w:val="Compact"/>
        <w:numPr>
          <w:ilvl w:val="0"/>
          <w:numId w:val="1011"/>
        </w:numPr>
      </w:pPr>
      <w:r>
        <w:rPr>
          <w:lang w:val="pt-PT"/>
        </w:rPr>
        <w:t xml:space="preserve">Suporte de primeiro e segundo nível, mediante solicitação do Cliente.</w:t>
      </w:r>
    </w:p>
    <w:p>
      <w:pPr>
        <w:pStyle w:val="FirstParagraph"/>
      </w:pPr>
      <w:r>
        <w:rPr>
          <w:b/>
          <w:bCs/>
          <w:lang w:val="pt-PT"/>
        </w:rPr>
        <w:t xml:space="preserve">Acesso a dados pessoais: SIM, sujeito a controlos. </w:t>
      </w:r>
      <w:r>
        <w:rPr>
          <w:lang w:val="pt-PT"/>
        </w:rPr>
        <w:t xml:space="preserve">O </w:t>
      </w:r>
      <w:r>
        <w:rPr>
          <w:lang w:val="pt-PT"/>
        </w:rPr>
        <w:t xml:space="preserve">pessoal autorizado do OHADJA pode acessar os dados de produção estritamente de acordo com a necessidade (operações, suporte, segurança). Este acesso é pessoal, realizado por chave SSH, protegido por autenticação de dois fatores (2FA TOTP), cifrado em trânsito (TLS), logado e sem cópia local dos dados de produção. De acordo com o compromisso contratual descrito no documento OHA-RGPD-04, </w:t>
      </w:r>
      <w:r>
        <w:rPr>
          <w:lang w:val="pt-PT"/>
        </w:rPr>
        <w:t xml:space="preserve"/>
      </w:r>
      <w:r>
        <w:rPr>
          <w:b/>
          <w:bCs/>
          <w:lang w:val="pt-PT"/>
        </w:rPr>
        <w:t xml:space="preserve">a administração e o suporte são realizados exclusivamente a partir da França/União </w:t>
      </w:r>
      <w:r>
        <w:rPr>
          <w:lang w:val="pt-PT"/>
        </w:rPr>
        <w:t xml:space="preserve">Europeia.</w:t>
      </w:r>
    </w:p>
    <w:bookmarkEnd w:id="48"/>
    <w:bookmarkStart w:id="50" w:name="Xea56b233c56268ea1ab7c4ed5a13c76141f74a6"/>
    <w:p>
      <w:pPr>
        <w:pStyle w:val="Heading3"/>
        <w:keepNext/>
        <w:keepLines/>
      </w:pPr>
      <w:r>
        <w:rPr>
          <w:color w:val="000000"/>
          <w:lang w:val="pt-PT"/>
        </w:rPr>
        <w:t xml:space="preserve">2.2 AMBASSADIA SARL — revendedor/distribuidor comercial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Denominação</w:t>
            </w:r>
          </w:p>
        </w:tc>
        <w:tc>
          <w:tcPr/>
          <w:p>
            <w:pPr>
              <w:pStyle w:val="Compact"/>
            </w:pPr>
            <w:r>
              <w:rPr>
                <w:lang w:val="pt-PT"/>
              </w:rPr>
              <w:t xml:space="preserve">AMBASSADIA SARL</w:t>
            </w:r>
          </w:p>
        </w:tc>
      </w:tr>
      <w:tr>
        <w:trPr>
          <w:cantSplit/>
        </w:trPr>
        <w:tc>
          <w:tcPr/>
          <w:p>
            <w:pPr>
              <w:pStyle w:val="Compact"/>
            </w:pPr>
            <w:r>
              <w:rPr>
                <w:lang w:val="pt-PT"/>
              </w:rPr>
              <w:t xml:space="preserve">Forma jurídica</w:t>
            </w:r>
          </w:p>
        </w:tc>
        <w:tc>
          <w:tcPr/>
          <w:p>
            <w:pPr>
              <w:pStyle w:val="Compact"/>
            </w:pPr>
            <w:r>
              <w:rPr>
                <w:lang w:val="pt-PT"/>
              </w:rPr>
              <w:t xml:space="preserve">Sociedade de responsabilidade limitada com um capital de 50 000 €</w:t>
            </w:r>
          </w:p>
        </w:tc>
      </w:tr>
      <w:tr>
        <w:trPr>
          <w:cantSplit/>
        </w:trPr>
        <w:tc>
          <w:tcPr/>
          <w:p>
            <w:pPr>
              <w:pStyle w:val="Compact"/>
            </w:pPr>
            <w:r>
              <w:rPr>
                <w:lang w:val="pt-PT"/>
              </w:rPr>
              <w:t xml:space="preserve">Gerente</w:t>
            </w:r>
          </w:p>
        </w:tc>
        <w:tc>
          <w:tcPr/>
          <w:p>
            <w:pPr>
              <w:pStyle w:val="Compact"/>
            </w:pPr>
            <w:r>
              <w:rPr>
                <w:lang w:val="pt-PT"/>
              </w:rPr>
              <w:t xml:space="preserve">Olivier Dupont</w:t>
            </w:r>
          </w:p>
        </w:tc>
      </w:tr>
      <w:tr>
        <w:trPr>
          <w:cantSplit/>
        </w:trPr>
        <w:tc>
          <w:tcPr/>
          <w:p>
            <w:pPr>
              <w:pStyle w:val="Compact"/>
            </w:pPr>
            <w:r>
              <w:rPr>
                <w:lang w:val="pt-PT"/>
              </w:rPr>
              <w:t xml:space="preserve">Função</w:t>
            </w:r>
          </w:p>
        </w:tc>
        <w:tc>
          <w:tcPr/>
          <w:p>
            <w:pPr>
              <w:pStyle w:val="Compact"/>
            </w:pPr>
            <w:r>
              <w:rPr>
                <w:lang w:val="pt-PT"/>
              </w:rPr>
              <w:t xml:space="preserve">Revendedor/distribuidor comercial (Mónaco e França)</w:t>
            </w:r>
          </w:p>
        </w:tc>
      </w:tr>
      <w:tr>
        <w:trPr>
          <w:cantSplit/>
        </w:trPr>
        <w:tc>
          <w:tcPr/>
          <w:p>
            <w:pPr>
              <w:pStyle w:val="Compact"/>
            </w:pPr>
            <w:r>
              <w:rPr>
                <w:lang w:val="pt-PT"/>
              </w:rPr>
              <w:t xml:space="preserve">Contacto de vendas</w:t>
            </w:r>
          </w:p>
        </w:tc>
        <w:tc>
          <w:tcPr/>
          <w:p>
            <w:pPr>
              <w:pStyle w:val="Compact"/>
            </w:pPr>
            <w:hyperlink r:id="rId49">
              <w:r>
                <w:rPr>
                  <w:rStyle w:val="Hyperlink"/>
                  <w:lang w:val="pt-PT"/>
                </w:rPr>
                <w:t xml:space="preserve">olivier@ambassadia.com</w:t>
              </w:r>
            </w:hyperlink>
          </w:p>
        </w:tc>
      </w:tr>
    </w:tbl>
    <w:p>
      <w:pPr>
        <w:pStyle w:val="BodyText"/>
      </w:pPr>
      <w:r>
        <w:rPr>
          <w:b/>
          <w:bCs/>
          <w:lang w:val="pt-PT"/>
        </w:rPr>
        <w:t xml:space="preserve">Papel no </w:t>
      </w:r>
      <w:r>
        <w:rPr>
          <w:lang w:val="pt-PT"/>
        </w:rPr>
        <w:t xml:space="preserve"/>
      </w:r>
      <w:r>
        <w:rPr>
          <w:lang w:val="pt-PT"/>
        </w:rPr>
        <w:t xml:space="preserve">âmbito do RGPD. A AMBASSADIA </w:t>
      </w:r>
      <w:r>
        <w:rPr>
          <w:lang w:val="pt-PT"/>
        </w:rPr>
        <w:t xml:space="preserve"/>
      </w:r>
      <w:r>
        <w:rPr>
          <w:b/>
          <w:bCs/>
          <w:lang w:val="pt-PT"/>
        </w:rPr>
        <w:t xml:space="preserve">SARL desempenha </w:t>
      </w:r>
      <w:r>
        <w:rPr>
          <w:lang w:val="pt-PT"/>
        </w:rPr>
        <w:t xml:space="preserve"/>
      </w:r>
      <w:r>
        <w:rPr>
          <w:lang w:val="pt-PT"/>
        </w:rPr>
        <w:t xml:space="preserve">um papel comercial de revendedor/distribuidor da solução (Mónaco </w:t>
      </w:r>
      <w:r>
        <w:rPr>
          <w:lang w:val="pt-PT"/>
        </w:rPr>
        <w:t xml:space="preserve"/>
      </w:r>
      <w:r>
        <w:rPr>
          <w:b/>
          <w:bCs/>
          <w:lang w:val="pt-PT"/>
        </w:rPr>
        <w:t xml:space="preserve">e França). Não trata dados de produção por conta dos clientes e, </w:t>
      </w:r>
      <w:r>
        <w:rPr>
          <w:lang w:val="pt-PT"/>
        </w:rPr>
        <w:t xml:space="preserve"/>
      </w:r>
      <w:r>
        <w:rPr>
          <w:lang w:val="pt-PT"/>
        </w:rPr>
        <w:t xml:space="preserve">por isso, no funcionamento normal não </w:t>
      </w:r>
      <w:r>
        <w:rPr>
          <w:lang w:val="pt-PT"/>
        </w:rPr>
        <w:t xml:space="preserve"/>
      </w:r>
      <w:r>
        <w:rPr>
          <w:b/>
          <w:bCs/>
          <w:lang w:val="pt-PT"/>
        </w:rPr>
        <w:t xml:space="preserve">atua como subcontratante nem como subcontratante ulterior </w:t>
      </w:r>
      <w:r>
        <w:rPr>
          <w:lang w:val="pt-PT"/>
        </w:rPr>
        <w:t xml:space="preserve"/>
      </w:r>
      <w:r>
        <w:rPr>
          <w:lang w:val="pt-PT"/>
        </w:rPr>
        <w:t xml:space="preserve">relativamente aos dados do Cliente [âmbito exato A CONFIRMAR]. O domínio de produção </w:t>
      </w:r>
      <w:r>
        <w:rPr>
          <w:lang w:val="pt-PT"/>
        </w:rPr>
        <w:t xml:space="preserve"/>
      </w:r>
      <w:r>
        <w:rPr>
          <w:rStyle w:val="VerbatimChar"/>
          <w:lang w:val="pt-PT"/>
        </w:rPr>
        <w:t xml:space="preserve">client.transcribia.eu</w:t>
      </w:r>
      <w:r>
        <w:rPr>
          <w:lang w:val="pt-PT"/>
        </w:rPr>
        <w:t xml:space="preserve"> </w:t>
      </w:r>
      <w:r>
        <w:rPr>
          <w:lang w:val="pt-PT"/>
        </w:rPr>
        <w:t xml:space="preserve">e o endereço </w:t>
      </w:r>
      <w:r>
        <w:rPr>
          <w:lang w:val="pt-PT"/>
        </w:rPr>
        <w:t xml:space="preserve"/>
      </w:r>
      <w:r>
        <w:rPr>
          <w:rStyle w:val="VerbatimChar"/>
          <w:lang w:val="pt-PT"/>
        </w:rPr>
        <w:t xml:space="preserve">olivier@ambassadia.com</w:t>
      </w:r>
      <w:r>
        <w:rPr>
          <w:lang w:val="pt-PT"/>
        </w:rPr>
        <w:t xml:space="preserve"> </w:t>
      </w:r>
      <w:r>
        <w:rPr>
          <w:lang w:val="pt-PT"/>
        </w:rPr>
        <w:t xml:space="preserve">continuam a ser elementos operacionais válidos.</w:t>
      </w:r>
    </w:p>
    <w:p>
      <w:pPr>
        <w:pStyle w:val="BodyText"/>
      </w:pPr>
      <w:r>
        <w:rPr>
          <w:b/>
          <w:bCs/>
          <w:lang w:val="pt-PT"/>
        </w:rPr>
        <w:t xml:space="preserve">Operações realizadas.</w:t>
      </w:r>
    </w:p>
    <w:p>
      <w:pPr>
        <w:pStyle w:val="Compact"/>
        <w:numPr>
          <w:ilvl w:val="0"/>
          <w:numId w:val="1012"/>
        </w:numPr>
      </w:pPr>
      <w:r>
        <w:rPr>
          <w:lang w:val="pt-PT"/>
        </w:rPr>
        <w:t xml:space="preserve">Marketing e relações comerciais (Mónaco e França).</w:t>
      </w:r>
    </w:p>
    <w:p>
      <w:pPr>
        <w:pStyle w:val="Compact"/>
        <w:numPr>
          <w:ilvl w:val="0"/>
          <w:numId w:val="1012"/>
        </w:numPr>
      </w:pPr>
      <w:r>
        <w:rPr>
          <w:lang w:val="pt-PT"/>
        </w:rPr>
        <w:t xml:space="preserve">Orientação ao OHADJA para edição, operação e suporte técnico da plataforma.</w:t>
      </w:r>
    </w:p>
    <w:p>
      <w:pPr>
        <w:pStyle w:val="FirstParagraph"/>
      </w:pPr>
      <w:r>
        <w:rPr>
          <w:b/>
          <w:bCs/>
          <w:lang w:val="pt-PT"/>
        </w:rPr>
        <w:t xml:space="preserve">Acesso a dados pessoais: NÃO. AMBASSADIA </w:t>
      </w:r>
      <w:r>
        <w:rPr>
          <w:lang w:val="pt-PT"/>
        </w:rPr>
        <w:t xml:space="preserve"/>
      </w:r>
      <w:r>
        <w:rPr>
          <w:lang w:val="pt-PT"/>
        </w:rPr>
        <w:t xml:space="preserve">SARL não acessa os dados de produção do Cliente (áudio, transcrições, gerações de IA, contas). A ligação do grupo com o Mónaco existe através desta atividade de revenda comercial, mas isso não </w:t>
      </w:r>
      <w:r>
        <w:rPr>
          <w:lang w:val="pt-PT"/>
        </w:rPr>
        <w:t xml:space="preserve"/>
      </w:r>
      <w:r>
        <w:rPr>
          <w:b/>
          <w:bCs/>
          <w:lang w:val="pt-PT"/>
        </w:rPr>
        <w:t xml:space="preserve">implica qualquer acesso aos dados: </w:t>
      </w:r>
      <w:r>
        <w:rPr>
          <w:lang w:val="pt-PT"/>
        </w:rPr>
        <w:t xml:space="preserve"/>
      </w:r>
      <w:r>
        <w:rPr>
          <w:lang w:val="pt-PT"/>
        </w:rPr>
        <w:t xml:space="preserve">a administração técnica e o suporte estão sob OHADJA e são realizados exclusivamente a partir de França/UE (ver OHA-RGPD-04).</w:t>
      </w:r>
    </w:p>
    <w:bookmarkEnd w:id="50"/>
    <w:bookmarkStart w:id="51" w:name="Xbc0907ca7f8d8ad2f042b1a5e018f1b60c3ac13"/>
    <w:p>
      <w:pPr>
        <w:pStyle w:val="Heading3"/>
        <w:keepNext/>
        <w:keepLines/>
      </w:pPr>
      <w:r>
        <w:rPr>
          <w:color w:val="000000"/>
          <w:lang w:val="pt-PT"/>
        </w:rPr>
        <w:t xml:space="preserve">2.3 seu integrador/revendedor — distribuidor e integrador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Denominação</w:t>
            </w:r>
          </w:p>
        </w:tc>
        <w:tc>
          <w:tcPr/>
          <w:p>
            <w:pPr>
              <w:pStyle w:val="Compact"/>
            </w:pPr>
            <w:r>
              <w:rPr>
                <w:lang w:val="pt-PT"/>
              </w:rPr>
              <w:t xml:space="preserve">seu integrador/revendedor</w:t>
            </w:r>
          </w:p>
        </w:tc>
      </w:tr>
      <w:tr>
        <w:trPr>
          <w:cantSplit/>
        </w:trPr>
        <w:tc>
          <w:tcPr/>
          <w:p>
            <w:pPr>
              <w:pStyle w:val="Compact"/>
            </w:pPr>
            <w:r>
              <w:rPr>
                <w:lang w:val="pt-PT"/>
              </w:rPr>
              <w:t xml:space="preserve">Função empresarial</w:t>
            </w:r>
          </w:p>
        </w:tc>
        <w:tc>
          <w:tcPr/>
          <w:p>
            <w:pPr>
              <w:pStyle w:val="Compact"/>
            </w:pPr>
            <w:r>
              <w:rPr>
                <w:lang w:val="pt-PT"/>
              </w:rPr>
              <w:t xml:space="preserve">Distribuidor e integrador da solução TranscribIA</w:t>
            </w:r>
          </w:p>
        </w:tc>
      </w:tr>
      <w:tr>
        <w:trPr>
          <w:cantSplit/>
        </w:trPr>
        <w:tc>
          <w:tcPr/>
          <w:p>
            <w:pPr>
              <w:pStyle w:val="Compact"/>
            </w:pPr>
            <w:r>
              <w:rPr>
                <w:lang w:val="pt-PT"/>
              </w:rPr>
              <w:t xml:space="preserve">País de estabelecimento</w:t>
            </w:r>
          </w:p>
        </w:tc>
        <w:tc>
          <w:tcPr/>
          <w:p>
            <w:pPr>
              <w:pStyle w:val="Compact"/>
            </w:pPr>
            <w:r>
              <w:rPr>
                <w:lang w:val="pt-PT"/>
              </w:rPr>
              <w:t xml:space="preserve">França</w:t>
            </w:r>
          </w:p>
        </w:tc>
      </w:tr>
    </w:tbl>
    <w:p>
      <w:pPr>
        <w:pStyle w:val="BodyText"/>
      </w:pPr>
      <w:r>
        <w:rPr>
          <w:b/>
          <w:bCs/>
          <w:lang w:val="pt-PT"/>
        </w:rPr>
        <w:t xml:space="preserve">Função </w:t>
      </w:r>
      <w:r>
        <w:rPr>
          <w:lang w:val="pt-PT"/>
        </w:rPr>
        <w:t xml:space="preserve">RGPD. </w:t>
      </w:r>
      <w:r>
        <w:rPr>
          <w:lang w:val="pt-PT"/>
        </w:rPr>
        <w:t xml:space="preserve">o seu integrador/revendedor garante a comercialização da solução, a sua integração em sistemas de conferência (hardware) e o relacionamento de primeiro nível com o cliente. No contexto nominal, o integrador/revendedor </w:t>
      </w:r>
      <w:r>
        <w:rPr>
          <w:lang w:val="pt-PT"/>
        </w:rPr>
        <w:t xml:space="preserve"/>
      </w:r>
      <w:r>
        <w:rPr>
          <w:b/>
          <w:bCs/>
          <w:lang w:val="pt-PT"/>
        </w:rPr>
        <w:t xml:space="preserve">não atua nem como subcontratante nem como subcontratante ulterior em relação aos dados de produção </w:t>
      </w:r>
      <w:r>
        <w:rPr>
          <w:lang w:val="pt-PT"/>
        </w:rPr>
        <w:t xml:space="preserve"/>
      </w:r>
      <w:r>
        <w:rPr>
          <w:lang w:val="pt-PT"/>
        </w:rPr>
        <w:t xml:space="preserve">do Cliente.</w:t>
      </w:r>
    </w:p>
    <w:p>
      <w:pPr>
        <w:pStyle w:val="BodyText"/>
      </w:pPr>
      <w:r>
        <w:rPr>
          <w:b/>
          <w:bCs/>
          <w:lang w:val="pt-PT"/>
        </w:rPr>
        <w:t xml:space="preserve">Operações realizadas.</w:t>
      </w:r>
    </w:p>
    <w:p>
      <w:pPr>
        <w:pStyle w:val="Compact"/>
        <w:numPr>
          <w:ilvl w:val="0"/>
          <w:numId w:val="1013"/>
        </w:numPr>
      </w:pPr>
      <w:r>
        <w:rPr>
          <w:lang w:val="pt-PT"/>
        </w:rPr>
        <w:t xml:space="preserve">Marketing e relações comerciais.</w:t>
      </w:r>
    </w:p>
    <w:p>
      <w:pPr>
        <w:pStyle w:val="Compact"/>
        <w:numPr>
          <w:ilvl w:val="0"/>
          <w:numId w:val="1013"/>
        </w:numPr>
      </w:pPr>
      <w:r>
        <w:rPr>
          <w:lang w:val="pt-PT"/>
        </w:rPr>
        <w:t xml:space="preserve">Integração de hardware com sistemas de conferência.</w:t>
      </w:r>
    </w:p>
    <w:p>
      <w:pPr>
        <w:pStyle w:val="Compact"/>
        <w:numPr>
          <w:ilvl w:val="0"/>
          <w:numId w:val="1013"/>
        </w:numPr>
      </w:pPr>
      <w:r>
        <w:rPr>
          <w:lang w:val="pt-PT"/>
        </w:rPr>
        <w:t xml:space="preserve">Suporte de primeiro nível, orientação para OHADJA para suporte técnico da plataforma.</w:t>
      </w:r>
    </w:p>
    <w:p>
      <w:pPr>
        <w:pStyle w:val="FirstParagraph"/>
      </w:pPr>
      <w:r>
        <w:rPr>
          <w:b/>
          <w:bCs/>
          <w:lang w:val="pt-PT"/>
        </w:rPr>
        <w:t xml:space="preserve">Acesso a dados pessoais: NÃO (em princípio).</w:t>
      </w:r>
    </w:p>
    <w:p>
      <w:pPr>
        <w:pStyle w:val="Compact"/>
        <w:numPr>
          <w:ilvl w:val="0"/>
          <w:numId w:val="1014"/>
        </w:numPr>
      </w:pPr>
      <w:r>
        <w:rPr>
          <w:lang w:val="pt-PT"/>
        </w:rPr>
        <w:t xml:space="preserve">o integrador/revendedor </w:t>
      </w:r>
      <w:r>
        <w:rPr>
          <w:lang w:val="pt-PT"/>
        </w:rPr>
        <w:t xml:space="preserve"/>
      </w:r>
      <w:r>
        <w:rPr>
          <w:b/>
          <w:bCs/>
          <w:lang w:val="pt-PT"/>
        </w:rPr>
        <w:t xml:space="preserve">não acessa </w:t>
      </w:r>
      <w:r>
        <w:rPr>
          <w:lang w:val="pt-PT"/>
        </w:rPr>
        <w:t xml:space="preserve"/>
      </w:r>
      <w:r>
        <w:rPr>
          <w:lang w:val="pt-PT"/>
        </w:rPr>
        <w:t xml:space="preserve">os dados de produção do Cliente (áudio, transcrições, gerações de IA, contas).</w:t>
      </w:r>
    </w:p>
    <w:p>
      <w:pPr>
        <w:pStyle w:val="Compact"/>
        <w:numPr>
          <w:ilvl w:val="0"/>
          <w:numId w:val="1014"/>
        </w:numPr>
      </w:pPr>
      <w:r>
        <w:rPr>
          <w:lang w:val="pt-PT"/>
        </w:rPr>
        <w:t xml:space="preserve">Exceção controlada pelo Cliente: se o Cliente criar </w:t>
      </w:r>
      <w:r>
        <w:rPr>
          <w:lang w:val="pt-PT"/>
        </w:rPr>
        <w:t xml:space="preserve"/>
      </w:r>
      <w:r>
        <w:rPr>
          <w:b/>
          <w:bCs/>
          <w:lang w:val="pt-PT"/>
        </w:rPr>
        <w:t xml:space="preserve">explicitamente </w:t>
      </w:r>
      <w:r>
        <w:rPr>
          <w:lang w:val="pt-PT"/>
        </w:rPr>
        <w:t xml:space="preserve"/>
      </w:r>
      <w:r>
        <w:rPr>
          <w:lang w:val="pt-PT"/>
        </w:rPr>
        <w:t xml:space="preserve">uma conta de serviço em benefício do integrador/revendedor na sua organização, o acesso correspondente fica então sujeito às autorizações decididas e rastreadas pelo próprio Cliente.</w:t>
      </w:r>
    </w:p>
    <w:p>
      <w:pPr>
        <w:pStyle w:val="Compact"/>
        <w:numPr>
          <w:ilvl w:val="0"/>
          <w:numId w:val="1014"/>
        </w:numPr>
      </w:pPr>
      <w:r>
        <w:rPr>
          <w:b/>
          <w:bCs/>
          <w:lang w:val="pt-PT"/>
        </w:rPr>
        <w:t xml:space="preserve">Caso da conta demo: uma </w:t>
      </w:r>
      <w:r>
        <w:rPr>
          <w:lang w:val="pt-PT"/>
        </w:rPr>
        <w:t xml:space="preserve">função </w:t>
      </w:r>
      <w:r>
        <w:rPr>
          <w:lang w:val="pt-PT"/>
        </w:rPr>
        <w:t xml:space="preserve">de administração de integrador/revendedor (</w:t>
      </w:r>
      <w:r>
        <w:rPr>
          <w:rStyle w:val="VerbatimChar"/>
          <w:lang w:val="pt-PT"/>
        </w:rPr>
        <w:t xml:space="preserve">super_agent</w:t>
      </w:r>
      <w:r>
        <w:rPr>
          <w:lang w:val="pt-PT"/>
        </w:rPr>
        <w:t xml:space="preserve">) só existe no ambiente demo, nunca </w:t>
      </w:r>
      <w:r>
        <w:rPr>
          <w:lang w:val="pt-PT"/>
        </w:rPr>
        <w:t xml:space="preserve"/>
      </w:r>
      <w:r>
        <w:rPr>
          <w:b/>
          <w:bCs/>
          <w:lang w:val="pt-PT"/>
        </w:rPr>
        <w:t xml:space="preserve">em produção. </w:t>
      </w:r>
      <w:r>
        <w:rPr>
          <w:lang w:val="pt-PT"/>
        </w:rPr>
        <w:t xml:space="preserve">Esta função permite criar estruturas e contas para fins de demonstração comercial; não fornece nenhum </w:t>
      </w:r>
      <w:r>
        <w:rPr>
          <w:lang w:val="pt-PT"/>
        </w:rPr>
        <w:t xml:space="preserve"/>
      </w:r>
      <w:r>
        <w:rPr>
          <w:b/>
          <w:bCs/>
          <w:lang w:val="pt-PT"/>
        </w:rPr>
        <w:t xml:space="preserve">acesso ao conteúdo das </w:t>
      </w:r>
      <w:r>
        <w:rPr>
          <w:lang w:val="pt-PT"/>
        </w:rPr>
        <w:t xml:space="preserve"/>
      </w:r>
      <w:r>
        <w:rPr>
          <w:lang w:val="pt-PT"/>
        </w:rPr>
        <w:t xml:space="preserve">organizações (nem áudio nem transcrições).</w:t>
      </w:r>
    </w:p>
    <w:bookmarkEnd w:id="51"/>
    <w:bookmarkStart w:id="52" w:name="Xa91448aaf16ce566fab1d93587d96bb314a63a9"/>
    <w:p>
      <w:pPr>
        <w:pStyle w:val="Heading3"/>
        <w:keepNext/>
        <w:keepLines/>
      </w:pPr>
      <w:r>
        <w:rPr>
          <w:color w:val="000000"/>
          <w:lang w:val="pt-PT"/>
        </w:rPr>
        <w:t xml:space="preserve">2.4 O Cliente (organização cliente) — responsável pelo tratamento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Denominação</w:t>
            </w:r>
          </w:p>
        </w:tc>
        <w:tc>
          <w:tcPr/>
          <w:p>
            <w:pPr>
              <w:pStyle w:val="Compact"/>
            </w:pPr>
            <w:r>
              <w:rPr>
                <w:lang w:val="pt-PT"/>
              </w:rPr>
              <w:t xml:space="preserve">Organização do cliente</w:t>
            </w:r>
          </w:p>
        </w:tc>
      </w:tr>
      <w:tr>
        <w:trPr>
          <w:cantSplit/>
        </w:trPr>
        <w:tc>
          <w:tcPr/>
          <w:p>
            <w:pPr>
              <w:pStyle w:val="Compact"/>
            </w:pPr>
            <w:r>
              <w:rPr>
                <w:lang w:val="pt-PT"/>
              </w:rPr>
              <w:t xml:space="preserve">Função RGPD</w:t>
            </w:r>
          </w:p>
        </w:tc>
        <w:tc>
          <w:tcPr/>
          <w:p>
            <w:pPr>
              <w:pStyle w:val="Compact"/>
            </w:pPr>
            <w:r>
              <w:rPr>
                <w:lang w:val="pt-PT"/>
              </w:rPr>
              <w:t xml:space="preserve">Responsável pelo tratamento (item 4.7 RGPD)</w:t>
            </w:r>
          </w:p>
        </w:tc>
      </w:tr>
      <w:tr>
        <w:trPr>
          <w:cantSplit/>
        </w:trPr>
        <w:tc>
          <w:tcPr/>
          <w:p>
            <w:pPr>
              <w:pStyle w:val="Compact"/>
            </w:pPr>
            <w:r>
              <w:rPr>
                <w:lang w:val="pt-PT"/>
              </w:rPr>
              <w:t xml:space="preserve">Detalhes de contacto</w:t>
            </w:r>
          </w:p>
        </w:tc>
        <w:tc>
          <w:tcPr/>
          <w:p>
            <w:pPr>
              <w:pStyle w:val="Compact"/>
            </w:pPr>
            <w:r>
              <w:rPr>
                <w:lang w:val="pt-PT"/>
              </w:rPr>
              <w:t xml:space="preserve">[A SER PREENCHIDO pelo cliente: representante legal, contacto DPO]</w:t>
            </w:r>
          </w:p>
        </w:tc>
      </w:tr>
    </w:tbl>
    <w:p>
      <w:pPr>
        <w:pStyle w:val="BodyText"/>
      </w:pPr>
      <w:r>
        <w:rPr>
          <w:b/>
          <w:bCs/>
          <w:lang w:val="pt-PT"/>
        </w:rPr>
        <w:t xml:space="preserve">Função </w:t>
      </w:r>
      <w:r>
        <w:rPr>
          <w:lang w:val="pt-PT"/>
        </w:rPr>
        <w:t xml:space="preserve">RGPD. </w:t>
      </w:r>
      <w:r>
        <w:rPr>
          <w:lang w:val="pt-PT"/>
        </w:rPr>
        <w:t xml:space="preserve">O Cliente determina as finalidades e os meios essenciais do tratamento realizado através de TranscribIA. Como tal, é da sua responsabilidade:</w:t>
      </w:r>
    </w:p>
    <w:p>
      <w:pPr>
        <w:pStyle w:val="Compact"/>
        <w:numPr>
          <w:ilvl w:val="0"/>
          <w:numId w:val="1015"/>
        </w:numPr>
      </w:pPr>
      <w:r>
        <w:rPr>
          <w:lang w:val="pt-PT"/>
        </w:rPr>
        <w:t xml:space="preserve">definir a base legal para cada tratamento (artigo 6.º e, quando aplicável, artigo 9.º);</w:t>
      </w:r>
    </w:p>
    <w:p>
      <w:pPr>
        <w:pStyle w:val="Compact"/>
        <w:numPr>
          <w:ilvl w:val="0"/>
          <w:numId w:val="1015"/>
        </w:numPr>
      </w:pPr>
      <w:r>
        <w:rPr>
          <w:lang w:val="pt-PT"/>
        </w:rPr>
        <w:t xml:space="preserve">informar as pessoas interessadas (artigos 12.º a 14.º);</w:t>
      </w:r>
    </w:p>
    <w:p>
      <w:pPr>
        <w:pStyle w:val="Compact"/>
        <w:numPr>
          <w:ilvl w:val="0"/>
          <w:numId w:val="1015"/>
        </w:numPr>
      </w:pPr>
      <w:r>
        <w:rPr>
          <w:lang w:val="pt-PT"/>
        </w:rPr>
        <w:t xml:space="preserve">definir os períodos de retenção aplicáveis ao seu conteúdo (configuráveis por organização);</w:t>
      </w:r>
    </w:p>
    <w:p>
      <w:pPr>
        <w:pStyle w:val="Compact"/>
        <w:numPr>
          <w:ilvl w:val="0"/>
          <w:numId w:val="1015"/>
        </w:numPr>
      </w:pPr>
      <w:r>
        <w:rPr>
          <w:lang w:val="pt-PT"/>
        </w:rPr>
        <w:t xml:space="preserve">gerenciar solicitações para exercer os direitos das pessoas;</w:t>
      </w:r>
    </w:p>
    <w:p>
      <w:pPr>
        <w:pStyle w:val="Compact"/>
        <w:numPr>
          <w:ilvl w:val="0"/>
          <w:numId w:val="1015"/>
        </w:numPr>
      </w:pPr>
      <w:r>
        <w:rPr>
          <w:lang w:val="pt-PT"/>
        </w:rPr>
        <w:t xml:space="preserve">manter o registo das atividades de tratamento (artigo 30.1);</w:t>
      </w:r>
    </w:p>
    <w:p>
      <w:pPr>
        <w:pStyle w:val="Compact"/>
        <w:numPr>
          <w:ilvl w:val="0"/>
          <w:numId w:val="1015"/>
        </w:numPr>
      </w:pPr>
      <w:r>
        <w:rPr>
          <w:lang w:val="pt-PT"/>
        </w:rPr>
        <w:t xml:space="preserve">realizar, quando necessário, a análise de impacto relativa à proteção de dados (artigo 35).</w:t>
      </w:r>
    </w:p>
    <w:p>
      <w:pPr>
        <w:pStyle w:val="FirstParagraph"/>
      </w:pPr>
      <w:r>
        <w:rPr>
          <w:b/>
          <w:bCs/>
          <w:lang w:val="pt-PT"/>
        </w:rPr>
        <w:t xml:space="preserve">Acesso aos dados: SIM, </w:t>
      </w:r>
      <w:r>
        <w:rPr>
          <w:lang w:val="pt-PT"/>
        </w:rPr>
        <w:t xml:space="preserve">como responsável pelo tratamento, por meio das contas e funções que ele cria e administra em sua organização.</w:t>
      </w:r>
    </w:p>
    <w:bookmarkEnd w:id="52"/>
    <w:bookmarkStart w:id="53" w:name="X013e398b6217181d0b11a7c01590f89a86b1984"/>
    <w:p>
      <w:pPr>
        <w:pStyle w:val="Heading3"/>
        <w:keepNext/>
        <w:keepLines/>
      </w:pPr>
      <w:r>
        <w:rPr>
          <w:color w:val="000000"/>
          <w:lang w:val="pt-PT"/>
        </w:rPr>
        <w:t xml:space="preserve">2.5 Subcontratantes ulteriores técnico (referência)</w:t>
      </w:r>
    </w:p>
    <w:p>
      <w:pPr>
        <w:pStyle w:val="FirstParagraph"/>
      </w:pPr>
      <w:r>
        <w:rPr>
          <w:lang w:val="pt-PT"/>
        </w:rPr>
        <w:t xml:space="preserve">Na </w:t>
      </w:r>
      <w:r>
        <w:rPr>
          <w:lang w:val="pt-PT"/>
        </w:rPr>
        <w:t xml:space="preserve"/>
      </w:r>
      <w:r>
        <w:rPr>
          <w:b/>
          <w:bCs/>
          <w:lang w:val="pt-PT"/>
        </w:rPr>
        <w:t xml:space="preserve">Opção A (SaaS), </w:t>
      </w:r>
      <w:r>
        <w:rPr>
          <w:lang w:val="pt-PT"/>
        </w:rPr>
        <w:t xml:space="preserve">OHADJA usa subcontratantes ulteriores para alojamento, backup, transcrição de GPU e funções de inteligência artificial. Cada um é identificado — país de estabelecimento, função, locais de processamento e armazenamento, acesso humano, garantias — no documento OHA-RGPD-03. </w:t>
      </w:r>
      <w:r>
        <w:rPr>
          <w:lang w:val="pt-PT"/>
        </w:rPr>
        <w:t xml:space="preserve"/>
      </w:r>
      <w:r>
        <w:rPr>
          <w:b/>
          <w:bCs/>
          <w:lang w:val="pt-PT"/>
        </w:rPr>
        <w:t xml:space="preserve">Possíveis </w:t>
      </w:r>
      <w:r>
        <w:rPr>
          <w:lang w:val="pt-PT"/>
        </w:rPr>
        <w:t xml:space="preserve">transferências e acessos fora do EEE são abordados no documento </w:t>
      </w:r>
      <w:r>
        <w:rPr>
          <w:lang w:val="pt-PT"/>
        </w:rPr>
        <w:t xml:space="preserve"/>
      </w:r>
      <w:r>
        <w:rPr>
          <w:b/>
          <w:bCs/>
          <w:lang w:val="pt-PT"/>
        </w:rPr>
        <w:t xml:space="preserve"/>
      </w:r>
      <w:r>
        <w:rPr>
          <w:lang w:val="pt-PT"/>
        </w:rPr>
        <w:t xml:space="preserve">OHA-RGPD-04.</w:t>
      </w:r>
    </w:p>
    <w:p>
      <w:pPr>
        <w:pStyle w:val="BodyText"/>
      </w:pPr>
      <w:r>
        <w:rPr>
          <w:lang w:val="pt-PT"/>
        </w:rPr>
        <w:t xml:space="preserve">Na </w:t>
      </w:r>
      <w:r>
        <w:rPr>
          <w:lang w:val="pt-PT"/>
        </w:rPr>
        <w:t xml:space="preserve"/>
      </w:r>
      <w:r>
        <w:rPr>
          <w:b/>
          <w:bCs/>
          <w:lang w:val="pt-PT"/>
        </w:rPr>
        <w:t xml:space="preserve">Opção B isolada </w:t>
      </w:r>
      <w:r>
        <w:rPr>
          <w:lang w:val="pt-PT"/>
        </w:rPr>
        <w:t xml:space="preserve">não existe </w:t>
      </w:r>
      <w:r>
        <w:rPr>
          <w:lang w:val="pt-PT"/>
        </w:rPr>
        <w:t xml:space="preserve"/>
      </w:r>
      <w:r>
        <w:rPr>
          <w:b/>
          <w:bCs/>
          <w:lang w:val="pt-PT"/>
        </w:rPr>
        <w:t xml:space="preserve"/>
      </w:r>
      <w:r>
        <w:rPr>
          <w:lang w:val="pt-PT"/>
        </w:rPr>
        <w:t xml:space="preserve"/>
      </w:r>
      <w:r>
        <w:rPr>
          <w:lang w:val="pt-PT"/>
        </w:rPr>
        <w:t xml:space="preserve">subcontratante ulterior: todo o processamento é executado na infraestrutura do Cliente.</w:t>
      </w:r>
    </w:p>
    <w:bookmarkEnd w:id="53"/>
    <w:bookmarkEnd w:id="54"/>
    <w:bookmarkStart w:id="55" w:name="Xa3b753c59da78167f5a5b09b154b0079cdc206c"/>
    <w:p>
      <w:pPr>
        <w:pStyle w:val="Heading2"/>
        <w:keepNext/>
        <w:keepLines/>
      </w:pPr>
      <w:r>
        <w:rPr>
          <w:color w:val="000000"/>
          <w:lang w:val="pt-PT"/>
        </w:rPr>
        <w:t xml:space="preserve">3. Tabela resumo de funções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Ator</w:t>
            </w:r>
          </w:p>
        </w:tc>
        <w:tc>
          <w:tcPr>
            <w:tcW w:type="dxa" w:w="2340"/>
            <w:tcMar>
              <w:left w:type="dxa" w:w="80"/>
              <w:right w:type="dxa" w:w="80"/>
            </w:tcMar>
          </w:tcPr>
          <w:p>
            <w:pPr>
              <w:pStyle w:val="Compact"/>
            </w:pPr>
            <w:r>
              <w:rPr>
                <w:sz w:val="19"/>
                <w:szCs w:val="19"/>
                <w:lang w:val="pt-PT"/>
              </w:rPr>
              <w:t xml:space="preserve">Função RGPD</w:t>
            </w:r>
          </w:p>
        </w:tc>
        <w:tc>
          <w:tcPr>
            <w:tcW w:type="dxa" w:w="2340"/>
            <w:tcMar>
              <w:left w:type="dxa" w:w="80"/>
              <w:right w:type="dxa" w:w="80"/>
            </w:tcMar>
          </w:tcPr>
          <w:p>
            <w:pPr>
              <w:pStyle w:val="Compact"/>
            </w:pPr>
            <w:r>
              <w:rPr>
                <w:sz w:val="19"/>
                <w:szCs w:val="19"/>
                <w:lang w:val="pt-PT"/>
              </w:rPr>
              <w:t xml:space="preserve">Operações realizadas</w:t>
            </w:r>
          </w:p>
        </w:tc>
        <w:tc>
          <w:tcPr>
            <w:tcW w:type="dxa" w:w="2340"/>
            <w:tcMar>
              <w:left w:type="dxa" w:w="80"/>
              <w:right w:type="dxa" w:w="80"/>
            </w:tcMar>
          </w:tcPr>
          <w:p>
            <w:pPr>
              <w:pStyle w:val="Compact"/>
            </w:pPr>
            <w:r>
              <w:rPr>
                <w:sz w:val="19"/>
                <w:szCs w:val="19"/>
                <w:lang w:val="pt-PT"/>
              </w:rPr>
              <w:t xml:space="preserve">Acesso aos dados de produção</w:t>
            </w:r>
          </w:p>
        </w:tc>
      </w:tr>
      <w:tr>
        <w:trPr>
          <w:cantSplit/>
        </w:trPr>
        <w:tc>
          <w:tcPr>
            <w:tcW w:type="dxa" w:w="2340"/>
            <w:tcMar>
              <w:left w:type="dxa" w:w="80"/>
              <w:right w:type="dxa" w:w="80"/>
            </w:tcMar>
          </w:tcPr>
          <w:p>
            <w:pPr>
              <w:pStyle w:val="Compact"/>
            </w:pPr>
            <w:r>
              <w:rPr>
                <w:b/>
                <w:bCs/>
                <w:sz w:val="19"/>
                <w:szCs w:val="19"/>
                <w:lang w:val="pt-PT"/>
              </w:rPr>
              <w:t xml:space="preserve">o cliente</w:t>
            </w:r>
          </w:p>
        </w:tc>
        <w:tc>
          <w:tcPr>
            <w:tcW w:type="dxa" w:w="2340"/>
            <w:tcMar>
              <w:left w:type="dxa" w:w="80"/>
              <w:right w:type="dxa" w:w="80"/>
            </w:tcMar>
          </w:tcPr>
          <w:p>
            <w:pPr>
              <w:pStyle w:val="Compact"/>
            </w:pPr>
            <w:r>
              <w:rPr>
                <w:sz w:val="19"/>
                <w:szCs w:val="19"/>
                <w:lang w:val="pt-PT"/>
              </w:rPr>
              <w:t xml:space="preserve">Responsável pelo tratamento (art. 4.7)</w:t>
            </w:r>
          </w:p>
        </w:tc>
        <w:tc>
          <w:tcPr>
            <w:tcW w:type="dxa" w:w="2340"/>
            <w:tcMar>
              <w:left w:type="dxa" w:w="80"/>
              <w:right w:type="dxa" w:w="80"/>
            </w:tcMar>
          </w:tcPr>
          <w:p>
            <w:pPr>
              <w:pStyle w:val="Compact"/>
            </w:pPr>
            <w:r>
              <w:rPr>
                <w:sz w:val="19"/>
                <w:szCs w:val="19"/>
                <w:lang w:val="pt-PT"/>
              </w:rPr>
              <w:t xml:space="preserve">Determina finalidades, bases legais, durações; informa as pessoas; gerencia direitos</w:t>
            </w:r>
          </w:p>
        </w:tc>
        <w:tc>
          <w:tcPr>
            <w:tcW w:type="dxa" w:w="2340"/>
            <w:tcMar>
              <w:left w:type="dxa" w:w="80"/>
              <w:right w:type="dxa" w:w="80"/>
            </w:tcMar>
          </w:tcPr>
          <w:p>
            <w:pPr>
              <w:pStyle w:val="Compact"/>
            </w:pPr>
            <w:r>
              <w:rPr>
                <w:sz w:val="19"/>
                <w:szCs w:val="19"/>
                <w:lang w:val="pt-PT"/>
              </w:rPr>
              <w:t xml:space="preserve">Sim (por meio de suas contas e funções)</w:t>
            </w:r>
          </w:p>
        </w:tc>
      </w:tr>
      <w:tr>
        <w:trPr>
          <w:cantSplit/>
        </w:trPr>
        <w:tc>
          <w:tcPr>
            <w:tcW w:type="dxa" w:w="2340"/>
            <w:tcMar>
              <w:left w:type="dxa" w:w="80"/>
              <w:right w:type="dxa" w:w="80"/>
            </w:tcMar>
          </w:tcPr>
          <w:p>
            <w:pPr>
              <w:pStyle w:val="Compact"/>
            </w:pPr>
            <w:r>
              <w:rPr>
                <w:b/>
                <w:bCs/>
                <w:sz w:val="19"/>
                <w:szCs w:val="19"/>
                <w:lang w:val="pt-PT"/>
              </w:rPr>
              <w:t xml:space="preserve">OHADJA</w:t>
            </w:r>
          </w:p>
        </w:tc>
        <w:tc>
          <w:tcPr>
            <w:tcW w:type="dxa" w:w="2340"/>
            <w:tcMar>
              <w:left w:type="dxa" w:w="80"/>
              <w:right w:type="dxa" w:w="80"/>
            </w:tcMar>
          </w:tcPr>
          <w:p>
            <w:pPr>
              <w:pStyle w:val="Compact"/>
            </w:pPr>
            <w:r>
              <w:rPr>
                <w:sz w:val="19"/>
                <w:szCs w:val="19"/>
                <w:lang w:val="pt-PT"/>
              </w:rPr>
              <w:t xml:space="preserve">Subcontratante (art. 4.8 / art. 28) — editor</w:t>
            </w:r>
          </w:p>
        </w:tc>
        <w:tc>
          <w:tcPr>
            <w:tcW w:type="dxa" w:w="2340"/>
            <w:tcMar>
              <w:left w:type="dxa" w:w="80"/>
              <w:right w:type="dxa" w:w="80"/>
            </w:tcMar>
          </w:tcPr>
          <w:p>
            <w:pPr>
              <w:pStyle w:val="Compact"/>
            </w:pPr>
            <w:r>
              <w:rPr>
                <w:sz w:val="19"/>
                <w:szCs w:val="19"/>
                <w:lang w:val="pt-PT"/>
              </w:rPr>
              <w:t xml:space="preserve">Edição, operação SaaS (Opção A), suporte, manutenção</w:t>
            </w:r>
          </w:p>
        </w:tc>
        <w:tc>
          <w:tcPr>
            <w:tcW w:type="dxa" w:w="2340"/>
            <w:tcMar>
              <w:left w:type="dxa" w:w="80"/>
              <w:right w:type="dxa" w:w="80"/>
            </w:tcMar>
          </w:tcPr>
          <w:p>
            <w:pPr>
              <w:pStyle w:val="Compact"/>
            </w:pPr>
            <w:r>
              <w:rPr>
                <w:sz w:val="19"/>
                <w:szCs w:val="19"/>
                <w:lang w:val="pt-PT"/>
              </w:rPr>
              <w:t xml:space="preserve">Sim — sujeito a controlos (nominativo, SSH, 2FA, TLS, registado em logs, sem cópia local, da França/UE)</w:t>
            </w:r>
          </w:p>
        </w:tc>
      </w:tr>
      <w:tr>
        <w:trPr>
          <w:cantSplit/>
        </w:trPr>
        <w:tc>
          <w:tcPr>
            <w:tcW w:type="dxa" w:w="2340"/>
            <w:tcMar>
              <w:left w:type="dxa" w:w="80"/>
              <w:right w:type="dxa" w:w="80"/>
            </w:tcMar>
          </w:tcPr>
          <w:p>
            <w:pPr>
              <w:pStyle w:val="Compact"/>
            </w:pPr>
            <w:r>
              <w:rPr>
                <w:b/>
                <w:bCs/>
                <w:sz w:val="19"/>
                <w:szCs w:val="19"/>
                <w:lang w:val="pt-PT"/>
              </w:rPr>
              <w:t xml:space="preserve">AMBASSADIA SARL</w:t>
            </w:r>
          </w:p>
        </w:tc>
        <w:tc>
          <w:tcPr>
            <w:tcW w:type="dxa" w:w="2340"/>
            <w:tcMar>
              <w:left w:type="dxa" w:w="80"/>
              <w:right w:type="dxa" w:w="80"/>
            </w:tcMar>
          </w:tcPr>
          <w:p>
            <w:pPr>
              <w:pStyle w:val="Compact"/>
            </w:pPr>
            <w:r>
              <w:rPr>
                <w:sz w:val="19"/>
                <w:szCs w:val="19"/>
                <w:lang w:val="pt-PT"/>
              </w:rPr>
              <w:t xml:space="preserve">Revendedor/distribuidor comercial (Mónaco e França) — sem processamento de dados</w:t>
            </w:r>
          </w:p>
        </w:tc>
        <w:tc>
          <w:tcPr>
            <w:tcW w:type="dxa" w:w="2340"/>
            <w:tcMar>
              <w:left w:type="dxa" w:w="80"/>
              <w:right w:type="dxa" w:w="80"/>
            </w:tcMar>
          </w:tcPr>
          <w:p>
            <w:pPr>
              <w:pStyle w:val="Compact"/>
            </w:pPr>
            <w:r>
              <w:rPr>
                <w:sz w:val="19"/>
                <w:szCs w:val="19"/>
                <w:lang w:val="pt-PT"/>
              </w:rPr>
              <w:t xml:space="preserve">Marketing, relações comerciais</w:t>
            </w:r>
          </w:p>
        </w:tc>
        <w:tc>
          <w:tcPr>
            <w:tcW w:type="dxa" w:w="2340"/>
            <w:tcMar>
              <w:left w:type="dxa" w:w="80"/>
              <w:right w:type="dxa" w:w="80"/>
            </w:tcMar>
          </w:tcPr>
          <w:p>
            <w:pPr>
              <w:pStyle w:val="Compact"/>
            </w:pPr>
            <w:r>
              <w:rPr>
                <w:sz w:val="19"/>
                <w:szCs w:val="19"/>
                <w:lang w:val="pt-PT"/>
              </w:rPr>
              <w:t xml:space="preserve">Não</w:t>
            </w:r>
          </w:p>
        </w:tc>
      </w:tr>
      <w:tr>
        <w:trPr>
          <w:cantSplit/>
        </w:trPr>
        <w:tc>
          <w:tcPr>
            <w:tcW w:type="dxa" w:w="2340"/>
            <w:tcMar>
              <w:left w:type="dxa" w:w="80"/>
              <w:right w:type="dxa" w:w="80"/>
            </w:tcMar>
          </w:tcPr>
          <w:p>
            <w:pPr>
              <w:pStyle w:val="Compact"/>
            </w:pPr>
            <w:r>
              <w:rPr>
                <w:b/>
                <w:bCs/>
                <w:sz w:val="19"/>
                <w:szCs w:val="19"/>
                <w:lang w:val="pt-PT"/>
              </w:rPr>
              <w:t xml:space="preserve">seu integrador/revendedor</w:t>
            </w:r>
          </w:p>
        </w:tc>
        <w:tc>
          <w:tcPr>
            <w:tcW w:type="dxa" w:w="2340"/>
            <w:tcMar>
              <w:left w:type="dxa" w:w="80"/>
              <w:right w:type="dxa" w:w="80"/>
            </w:tcMar>
          </w:tcPr>
          <w:p>
            <w:pPr>
              <w:pStyle w:val="Compact"/>
            </w:pPr>
            <w:r>
              <w:rPr>
                <w:sz w:val="19"/>
                <w:szCs w:val="19"/>
                <w:lang w:val="pt-PT"/>
              </w:rPr>
              <w:t xml:space="preserve">Distribuidor/integrador — sem processamento de dados de produção</w:t>
            </w:r>
          </w:p>
        </w:tc>
        <w:tc>
          <w:tcPr>
            <w:tcW w:type="dxa" w:w="2340"/>
            <w:tcMar>
              <w:left w:type="dxa" w:w="80"/>
              <w:right w:type="dxa" w:w="80"/>
            </w:tcMar>
          </w:tcPr>
          <w:p>
            <w:pPr>
              <w:pStyle w:val="Compact"/>
            </w:pPr>
            <w:r>
              <w:rPr>
                <w:sz w:val="19"/>
                <w:szCs w:val="19"/>
                <w:lang w:val="pt-PT"/>
              </w:rPr>
              <w:t xml:space="preserve">Marketing, integração de hardware, relacionamento de 1º nível</w:t>
            </w:r>
          </w:p>
        </w:tc>
        <w:tc>
          <w:tcPr>
            <w:tcW w:type="dxa" w:w="2340"/>
            <w:tcMar>
              <w:left w:type="dxa" w:w="80"/>
              <w:right w:type="dxa" w:w="80"/>
            </w:tcMar>
          </w:tcPr>
          <w:p>
            <w:pPr>
              <w:pStyle w:val="Compact"/>
            </w:pPr>
            <w:r>
              <w:rPr>
                <w:sz w:val="19"/>
                <w:szCs w:val="19"/>
                <w:lang w:val="pt-PT"/>
              </w:rPr>
              <w:t xml:space="preserve">Não — exceto conta de serviço criada pelo cliente; função de administrador apenas na demonstração, sem acesso ao conteúdo</w:t>
            </w:r>
          </w:p>
        </w:tc>
      </w:tr>
      <w:tr>
        <w:trPr>
          <w:cantSplit/>
        </w:trPr>
        <w:tc>
          <w:tcPr>
            <w:tcW w:type="dxa" w:w="2340"/>
            <w:tcMar>
              <w:left w:type="dxa" w:w="80"/>
              <w:right w:type="dxa" w:w="80"/>
            </w:tcMar>
          </w:tcPr>
          <w:p>
            <w:pPr>
              <w:pStyle w:val="Compact"/>
            </w:pPr>
            <w:r>
              <w:rPr>
                <w:b/>
                <w:bCs/>
                <w:sz w:val="19"/>
                <w:szCs w:val="19"/>
                <w:lang w:val="pt-PT"/>
              </w:rPr>
              <w:t xml:space="preserve">Subcontratantes ulteriores técnico</w:t>
            </w:r>
          </w:p>
        </w:tc>
        <w:tc>
          <w:tcPr>
            <w:tcW w:type="dxa" w:w="2340"/>
            <w:tcMar>
              <w:left w:type="dxa" w:w="80"/>
              <w:right w:type="dxa" w:w="80"/>
            </w:tcMar>
          </w:tcPr>
          <w:p>
            <w:pPr>
              <w:pStyle w:val="Compact"/>
            </w:pPr>
            <w:r>
              <w:rPr>
                <w:sz w:val="19"/>
                <w:szCs w:val="19"/>
                <w:lang w:val="pt-PT"/>
              </w:rPr>
              <w:t xml:space="preserve">Subcontratantes ulteriores (art. 28.2/28.4) — Somente opção A</w:t>
            </w:r>
          </w:p>
        </w:tc>
        <w:tc>
          <w:tcPr>
            <w:tcW w:type="dxa" w:w="2340"/>
            <w:tcMar>
              <w:left w:type="dxa" w:w="80"/>
              <w:right w:type="dxa" w:w="80"/>
            </w:tcMar>
          </w:tcPr>
          <w:p>
            <w:pPr>
              <w:pStyle w:val="Compact"/>
            </w:pPr>
            <w:r>
              <w:rPr>
                <w:sz w:val="19"/>
                <w:szCs w:val="19"/>
                <w:lang w:val="pt-PT"/>
              </w:rPr>
              <w:t xml:space="preserve">Alojamento, backup, transcrição de GPU, IA (ver OHA-RGPD-03)</w:t>
            </w:r>
          </w:p>
        </w:tc>
        <w:tc>
          <w:tcPr>
            <w:tcW w:type="dxa" w:w="2340"/>
            <w:tcMar>
              <w:left w:type="dxa" w:w="80"/>
              <w:right w:type="dxa" w:w="80"/>
            </w:tcMar>
          </w:tcPr>
          <w:p>
            <w:pPr>
              <w:pStyle w:val="Compact"/>
            </w:pPr>
            <w:r>
              <w:rPr>
                <w:sz w:val="19"/>
                <w:szCs w:val="19"/>
                <w:lang w:val="pt-PT"/>
              </w:rPr>
              <w:t xml:space="preserve">Consulte OHA-RGPD-03 (processamento principalmente automatizado, sem acesso humano ao conteúdo)</w:t>
            </w:r>
          </w:p>
        </w:tc>
      </w:tr>
    </w:tbl>
    <w:bookmarkEnd w:id="55"/>
    <w:bookmarkStart w:id="59" w:name="Xaef194183ecdfd08edae724911271a5bfba8a85"/>
    <w:p>
      <w:pPr>
        <w:pStyle w:val="Heading2"/>
        <w:keepNext/>
        <w:keepLines/>
      </w:pPr>
      <w:r>
        <w:rPr>
          <w:color w:val="000000"/>
          <w:lang w:val="pt-PT"/>
        </w:rPr>
        <w:t xml:space="preserve">4. Diagrama de cadeia de atores (Opção A — SaaS)</w:t>
      </w:r>
    </w:p>
    <w:p>
      <w:pPr>
        <w:pStyle w:val="FirstParagraph"/>
        <w:keepNext/>
      </w:pPr>
      <w:r>
        <w:drawing>
          <wp:inline>
            <wp:extent cx="5334000" cy="4960620"/>
            <wp:effectExtent b="0" l="0" r="0" t="0"/>
            <wp:docPr descr="Chaîne d'acteurs" title="" id="57" name="Picture"/>
            <a:graphic>
              <a:graphicData uri="http://schemas.openxmlformats.org/drawingml/2006/picture">
                <pic:pic>
                  <pic:nvPicPr>
                    <pic:cNvPr descr="img/acteurs.png" id="58" name="Picture"/>
                    <pic:cNvPicPr>
                      <a:picLocks noChangeArrowheads="1" noChangeAspect="1"/>
                    </pic:cNvPicPr>
                  </pic:nvPicPr>
                  <pic:blipFill>
                    <a:blip r:embed="rId56"/>
                    <a:stretch>
                      <a:fillRect/>
                    </a:stretch>
                  </pic:blipFill>
                  <pic:spPr bwMode="auto">
                    <a:xfrm>
                      <a:off x="0" y="0"/>
                      <a:ext cx="5334000" cy="4960620"/>
                    </a:xfrm>
                    <a:prstGeom prst="rect">
                      <a:avLst/>
                    </a:prstGeom>
                    <a:noFill/>
                    <a:ln w="9525">
                      <a:noFill/>
                      <a:headEnd/>
                      <a:tailEnd/>
                    </a:ln>
                  </pic:spPr>
                </pic:pic>
              </a:graphicData>
            </a:graphic>
          </wp:inline>
        </w:drawing>
      </w:r>
    </w:p>
    <w:p>
      <w:pPr>
        <w:pStyle w:val="BodyText"/>
        <w:keepLines/>
      </w:pPr>
      <w:r>
        <w:rPr>
          <w:i/>
          <w:iCs/>
          <w:lang w:val="pt-PT"/>
        </w:rPr>
        <w:t xml:space="preserve">Figura 1 — Cadeia de atores RGPD de TranscribIA: revendedores/distribuidores, cliente responsável pelo tratamento, OHADJA (editor e subcontratante art. 28) e subcontratantes ulteriores (Visio Versão .vsdx restabelecida na fase de implementação).</w:t>
      </w:r>
    </w:p>
    <w:p>
      <w:pPr>
        <w:pStyle w:val="BodyText"/>
      </w:pPr>
      <w:r>
        <w:rPr>
          <w:b/>
          <w:bCs/>
          <w:lang w:val="pt-PT"/>
        </w:rPr>
        <w:t xml:space="preserve">Versão de texto:</w:t>
      </w:r>
    </w:p>
    <w:p>
      <w:pPr>
        <w:pStyle w:val="SourceCode"/>
      </w:pPr>
      <w:r>
        <w:rPr>
          <w:rStyle w:val="VerbatimChar"/>
          <w:rFonts w:ascii="Courier New" w:hAnsi="Courier New" w:eastAsia="Courier New" w:cs="Courier New"/>
          <w:sz w:val="17"/>
          <w:szCs w:val="17"/>
        </w:rPr>
        <w:t xml:space="preserve">ORGANIZAÇÃO CLIENTE — Responsável pelo tratamento</w:t>
        <w:br/>
        <w:t xml:space="preserve">  Finalidades, fundamentos de licitude, prazos, informação e direitos</w:t>
        <w:br/>
        <w:t xml:space="preserve">  | utiliza o serviço                    ^ assistência / suporte (2.º nível)</w:t>
        <w:br/>
        <w:t xml:space="preserve">  v                                      |</w:t>
        <w:br/>
        <w:t xml:space="preserve">OHADJA — Editora + Subcontratante (art. 28.º)</w:t>
        <w:br/>
        <w:t xml:space="preserve">  Operação SaaS, suporte, manutenção</w:t>
        <w:br/>
        <w:t xml:space="preserve">  Acesso aos dados: apenas França / UE</w:t>
        <w:br/>
        <w:t xml:space="preserve">  ^ relação comercial através de REVENDEDORES / DISTRIBUIDORES:</w:t>
        <w:br/>
        <w:t xml:space="preserve">    - AMBASSADIA SARL (Mónaco e França)</w:t>
        <w:br/>
        <w:t xml:space="preserve">    - integrador / revendedor</w:t>
        <w:br/>
        <w:t xml:space="preserve">    - função comercial, SEM acesso aos dados</w:t>
        <w:br/>
        <w:t xml:space="preserve">  | recorre a subcontratantes ulteriores (Opção A)</w:t>
        <w:br/>
        <w:t xml:space="preserve">  v</w:t>
        <w:br/>
        <w:t xml:space="preserve">Alojamento (França) · Cópias de segurança (UE)</w:t>
        <w:br/>
        <w:t xml:space="preserve">Transcrição GPU · Funções de IA (LLM)</w:t>
        <w:br/>
        <w:t xml:space="preserve">  -&gt; detalhes: documentos OHA-RGPD-03/04</w:t>
      </w:r>
    </w:p>
    <w:p>
      <w:pPr>
        <w:pStyle w:val="FirstParagraph"/>
      </w:pPr>
      <w:r>
        <w:rPr>
          <w:lang w:val="pt-PT"/>
        </w:rPr>
        <w:t xml:space="preserve">Na </w:t>
      </w:r>
      <w:r>
        <w:rPr>
          <w:lang w:val="pt-PT"/>
        </w:rPr>
        <w:t xml:space="preserve"/>
      </w:r>
      <w:r>
        <w:rPr>
          <w:b/>
          <w:bCs/>
          <w:lang w:val="pt-PT"/>
        </w:rPr>
        <w:t xml:space="preserve">Opção B isolada, </w:t>
      </w:r>
      <w:r>
        <w:rPr>
          <w:lang w:val="pt-PT"/>
        </w:rPr>
        <w:t xml:space="preserve">o diagrama é reduzido apenas ao Cliente: todos os componentes (aplicação, base de dados, transcrição GPU, modelo de linguagem) rodam em sua infraestrutura; OHADJA intervém apenas nas operações de manutenção/suporte que lhe são confiadas, não existindo subcontratante ulterior.</w:t>
      </w:r>
    </w:p>
    <w:p>
      <w:pPr>
        <w:pStyle w:val="BlockText"/>
      </w:pPr>
      <w:r>
        <w:rPr>
          <w:lang w:val="pt-PT"/>
        </w:rPr>
        <w:t xml:space="preserve">O sinóptico final será submetido em formato Visio (.vsdx) durante a fase de implementação, com base neste diagrama.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59"/>
    <w:bookmarkEnd w:id="60"/>
    <w:bookmarkStart w:id="77" w:name="X001a6d632cb4d7312fb50fba4a39a5158970664"/>
    <w:p>
      <w:pPr>
        <w:pStyle w:val="Heading1"/>
        <w:keepNext/>
        <w:keepLines/>
      </w:pPr>
      <w:r>
        <w:rPr>
          <w:color w:val="000000"/>
          <w:lang w:val="pt-PT"/>
        </w:rPr>
        <w:t xml:space="preserve">Matriz de fluxo de dados detalhada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OHA-RGPD-02</w:t>
            </w:r>
          </w:p>
        </w:tc>
      </w:tr>
      <w:tr>
        <w:trPr>
          <w:cantSplit/>
        </w:trPr>
        <w:tc>
          <w:tcPr/>
          <w:p>
            <w:pPr>
              <w:pStyle w:val="Compact"/>
            </w:pPr>
            <w:r>
              <w:rPr>
                <w:lang w:val="pt-PT"/>
              </w:rPr>
              <w:t xml:space="preserve">Objetivo</w:t>
            </w:r>
          </w:p>
        </w:tc>
        <w:tc>
          <w:tcPr/>
          <w:p>
            <w:pPr>
              <w:pStyle w:val="Compact"/>
            </w:pPr>
            <w:r>
              <w:rPr>
                <w:lang w:val="pt-PT"/>
              </w:rPr>
              <w:t xml:space="preserve">Matriz de fluxos de dados, acesso humano e técnico, navegação de ficheiro de áudio</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61" w:name="X9d6322e4a9ce86e02c43d63da458956a899a10f"/>
    <w:p>
      <w:pPr>
        <w:pStyle w:val="Heading2"/>
        <w:keepNext/>
        <w:keepLines/>
      </w:pPr>
      <w:r>
        <w:rPr>
          <w:color w:val="000000"/>
          <w:lang w:val="pt-PT"/>
        </w:rPr>
        <w:t xml:space="preserve">1. Objetivo e método</w:t>
      </w:r>
    </w:p>
    <w:p>
      <w:pPr>
        <w:pStyle w:val="FirstParagraph"/>
      </w:pPr>
      <w:r>
        <w:rPr>
          <w:lang w:val="pt-PT"/>
        </w:rPr>
        <w:t xml:space="preserve">Este documento descreve, para cada categoria de dados processados pelo TranscribIA, a origem, o passo a passo completo da jornada, os componentes cruzados, o estado da cifragem (em trânsito e em repouso), os destinos e o período de retenção em cada etapa. Cada fluxo é descrito para os dois modos de fornecimento:</w:t>
      </w:r>
    </w:p>
    <w:p>
      <w:pPr>
        <w:pStyle w:val="Compact"/>
        <w:numPr>
          <w:ilvl w:val="0"/>
          <w:numId w:val="1016"/>
        </w:numPr>
      </w:pPr>
      <w:r>
        <w:rPr>
          <w:b/>
          <w:bCs/>
          <w:lang w:val="pt-PT"/>
        </w:rPr>
        <w:t xml:space="preserve">Opção A — SaaS soberano </w:t>
      </w:r>
      <w:r>
        <w:rPr>
          <w:lang w:val="pt-PT"/>
        </w:rPr>
        <w:t xml:space="preserve"/>
      </w:r>
      <w:r>
        <w:rPr>
          <w:lang w:val="pt-PT"/>
        </w:rPr>
        <w:t xml:space="preserve">operado por OHADJA;</w:t>
      </w:r>
    </w:p>
    <w:p>
      <w:pPr>
        <w:pStyle w:val="Compact"/>
        <w:numPr>
          <w:ilvl w:val="0"/>
          <w:numId w:val="1016"/>
        </w:numPr>
      </w:pPr>
      <w:r>
        <w:rPr>
          <w:b/>
          <w:bCs/>
          <w:lang w:val="pt-PT"/>
        </w:rPr>
        <w:t xml:space="preserve">Opção B — On-premise </w:t>
      </w:r>
      <w:r>
        <w:rPr>
          <w:lang w:val="pt-PT"/>
        </w:rPr>
        <w:t xml:space="preserve"/>
      </w:r>
      <w:r>
        <w:rPr>
          <w:lang w:val="pt-PT"/>
        </w:rPr>
        <w:t xml:space="preserve">na infraestrutura do Cliente (variante isolada: sem fluxo de saída).</w:t>
      </w:r>
    </w:p>
    <w:p>
      <w:pPr>
        <w:pStyle w:val="FirstParagraph"/>
      </w:pPr>
      <w:r>
        <w:rPr>
          <w:lang w:val="pt-PT"/>
        </w:rPr>
        <w:t xml:space="preserve">Em seguida, inclui uma secção dedicada ao </w:t>
      </w:r>
      <w:r>
        <w:rPr>
          <w:lang w:val="pt-PT"/>
        </w:rPr>
        <w:t xml:space="preserve"/>
      </w:r>
      <w:r>
        <w:rPr>
          <w:b/>
          <w:bCs/>
          <w:lang w:val="pt-PT"/>
        </w:rPr>
        <w:t xml:space="preserve">acesso humano e técnico, </w:t>
      </w:r>
      <w:r>
        <w:rPr>
          <w:lang w:val="pt-PT"/>
        </w:rPr>
        <w:t xml:space="preserve">incluindo o tratamento franco do acesso e dos fluxos fora do EEE possíveis na Opção A, e depois o </w:t>
      </w:r>
      <w:r>
        <w:rPr>
          <w:lang w:val="pt-PT"/>
        </w:rPr>
        <w:t xml:space="preserve"/>
      </w:r>
      <w:r>
        <w:rPr>
          <w:b/>
          <w:bCs/>
          <w:lang w:val="pt-PT"/>
        </w:rPr>
        <w:t xml:space="preserve">percurso de ponta a ponta de um ficheiro </w:t>
      </w:r>
      <w:r>
        <w:rPr>
          <w:lang w:val="pt-PT"/>
        </w:rPr>
        <w:t xml:space="preserve">áudio.</w:t>
      </w:r>
    </w:p>
    <w:p>
      <w:pPr>
        <w:pStyle w:val="BodyText"/>
      </w:pPr>
      <w:r>
        <w:rPr>
          <w:lang w:val="pt-PT"/>
        </w:rPr>
        <w:t xml:space="preserve">Convenções de cifra usadas:</w:t>
      </w:r>
    </w:p>
    <w:p>
      <w:pPr>
        <w:pStyle w:val="Compact"/>
        <w:numPr>
          <w:ilvl w:val="0"/>
          <w:numId w:val="1017"/>
        </w:numPr>
      </w:pPr>
      <w:r>
        <w:rPr>
          <w:b/>
          <w:bCs/>
          <w:lang w:val="pt-PT"/>
        </w:rPr>
        <w:t xml:space="preserve">Em trânsito: </w:t>
      </w:r>
      <w:r>
        <w:rPr>
          <w:lang w:val="pt-PT"/>
        </w:rPr>
        <w:t xml:space="preserve"/>
      </w:r>
      <w:r>
        <w:rPr>
          <w:lang w:val="pt-PT"/>
        </w:rPr>
        <w:t xml:space="preserve">TLS 1.2+ (Let's Encrypt, suítes fortes, HSTS) para todos os acessos a aplicativos, APIs e interfaces de administração.</w:t>
      </w:r>
    </w:p>
    <w:p>
      <w:pPr>
        <w:pStyle w:val="Compact"/>
        <w:numPr>
          <w:ilvl w:val="0"/>
          <w:numId w:val="1017"/>
        </w:numPr>
      </w:pPr>
      <w:r>
        <w:rPr>
          <w:b/>
          <w:bCs/>
          <w:lang w:val="pt-PT"/>
        </w:rPr>
        <w:t xml:space="preserve">Em repouso: </w:t>
      </w:r>
      <w:r>
        <w:rPr>
          <w:lang w:val="pt-PT"/>
        </w:rPr>
        <w:t xml:space="preserve"/>
      </w:r>
      <w:r>
        <w:rPr>
          <w:lang w:val="pt-PT"/>
        </w:rPr>
        <w:t xml:space="preserve">backups cifrados </w:t>
      </w:r>
      <w:r>
        <w:rPr>
          <w:lang w:val="pt-PT"/>
        </w:rPr>
        <w:t xml:space="preserve"/>
      </w:r>
      <w:r>
        <w:rPr>
          <w:b/>
          <w:bCs/>
          <w:lang w:val="pt-PT"/>
        </w:rPr>
        <w:t xml:space="preserve">antes da </w:t>
      </w:r>
      <w:r>
        <w:rPr>
          <w:lang w:val="pt-PT"/>
        </w:rPr>
        <w:t xml:space="preserve"/>
      </w:r>
      <w:r>
        <w:rPr>
          <w:lang w:val="pt-PT"/>
        </w:rPr>
        <w:t xml:space="preserve">terceirização (age, X25519 + ChaCha20-Poly1305); cifragem de disco do sistema de servidor de produção: conforme oferta do data center — atualização planejada (LUKS/gocryptfs). Os dados do aplicativo e o base de dados PostgreSQL residem no servidor de produção reforçado (SSH por chave, firewall, fail2ban). Nas tabelas abaixo, a menção “em repouso (ver §1)” refere-se a este esclarecimento.</w:t>
      </w:r>
    </w:p>
    <w:bookmarkEnd w:id="61"/>
    <w:bookmarkStart w:id="69" w:name="Xfb7177fe7e5e1f8db1258879121b148c25ab828"/>
    <w:p>
      <w:pPr>
        <w:pStyle w:val="Heading2"/>
        <w:keepNext/>
        <w:keepLines/>
      </w:pPr>
      <w:r>
        <w:rPr>
          <w:color w:val="000000"/>
          <w:lang w:val="pt-PT"/>
        </w:rPr>
        <w:t xml:space="preserve">2. Matriz de fluxo por categoria de dados</w:t>
      </w:r>
    </w:p>
    <w:bookmarkStart w:id="62" w:name="Xf15a0825ce5467990e6266ab21e1d3cf1a58279"/>
    <w:p>
      <w:pPr>
        <w:pStyle w:val="Heading3"/>
        <w:keepNext/>
        <w:keepLines/>
      </w:pPr>
      <w:r>
        <w:rPr>
          <w:color w:val="000000"/>
          <w:lang w:val="pt-PT"/>
        </w:rPr>
        <w:t xml:space="preserve">2.1 Ficheiros de áudio (e vídeo, se aplicável)</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Origem</w:t>
            </w:r>
          </w:p>
        </w:tc>
        <w:tc>
          <w:tcPr>
            <w:tcW w:type="dxa" w:w="1872"/>
            <w:tcMar>
              <w:left w:type="dxa" w:w="80"/>
              <w:right w:type="dxa" w:w="80"/>
            </w:tcMar>
          </w:tcPr>
          <w:p>
            <w:pPr>
              <w:pStyle w:val="Compact"/>
            </w:pPr>
            <w:r>
              <w:rPr>
                <w:sz w:val="19"/>
                <w:szCs w:val="19"/>
                <w:lang w:val="pt-PT"/>
              </w:rPr>
              <w:t xml:space="preserve">Utilizador cliente (carregar)</w:t>
            </w:r>
          </w:p>
        </w:tc>
        <w:tc>
          <w:tcPr>
            <w:tcW w:type="dxa" w:w="1872"/>
            <w:tcMar>
              <w:left w:type="dxa" w:w="80"/>
              <w:right w:type="dxa" w:w="80"/>
            </w:tcMar>
          </w:tcPr>
          <w:p>
            <w:pPr>
              <w:pStyle w:val="Compact"/>
            </w:pPr>
            <w:r>
              <w:rPr>
                <w:sz w:val="19"/>
                <w:szCs w:val="19"/>
                <w:lang w:val="pt-PT"/>
              </w:rPr>
              <w:t xml:space="preserve">Estação de trabalho do cliente</w:t>
            </w:r>
          </w:p>
        </w:tc>
        <w:tc>
          <w:tcPr>
            <w:tcW w:type="dxa" w:w="1872"/>
            <w:tcMar>
              <w:left w:type="dxa" w:w="80"/>
              <w:right w:type="dxa" w:w="80"/>
            </w:tcMar>
          </w:tcPr>
          <w:p>
            <w:pPr>
              <w:pStyle w:val="Compact"/>
            </w:pPr>
            <w:r>
              <w:rPr>
                <w:sz w:val="19"/>
                <w:szCs w:val="19"/>
                <w:lang w:val="pt-PT"/>
              </w:rPr>
              <w:t xml:space="preserve">TLS em trânsito</w:t>
            </w:r>
          </w:p>
        </w:tc>
        <w:tc>
          <w:tcPr>
            <w:tcW w:type="dxa" w:w="1872"/>
            <w:tcMar>
              <w:left w:type="dxa" w:w="80"/>
              <w:right w:type="dxa" w:w="80"/>
            </w:tcMar>
          </w:tcPr>
          <w:p>
            <w:pPr>
              <w:pStyle w:val="Compact"/>
            </w:pPr>
            <w:r>
              <w:rPr>
                <w:sz w:val="19"/>
                <w:szCs w:val="19"/>
                <w:lang w:val="pt-PT"/>
              </w:rPr>
              <w:t xml:space="preserve">—</w:t>
            </w:r>
          </w:p>
        </w:tc>
      </w:tr>
      <w:tr>
        <w:trPr>
          <w:cantSplit/>
        </w:trPr>
        <w:tc>
          <w:tcPr>
            <w:tcW w:type="dxa" w:w="1872"/>
            <w:tcMar>
              <w:left w:type="dxa" w:w="80"/>
              <w:right w:type="dxa" w:w="80"/>
            </w:tcMar>
          </w:tcPr>
          <w:p>
            <w:pPr>
              <w:pStyle w:val="Compact"/>
            </w:pPr>
            <w:r>
              <w:rPr>
                <w:sz w:val="19"/>
                <w:szCs w:val="19"/>
                <w:lang w:val="pt-PT"/>
              </w:rPr>
              <w:t xml:space="preserve">Receção</w:t>
            </w:r>
          </w:p>
        </w:tc>
        <w:tc>
          <w:tcPr>
            <w:tcW w:type="dxa" w:w="1872"/>
            <w:tcMar>
              <w:left w:type="dxa" w:w="80"/>
              <w:right w:type="dxa" w:w="80"/>
            </w:tcMar>
          </w:tcPr>
          <w:p>
            <w:pPr>
              <w:pStyle w:val="Compact"/>
            </w:pPr>
            <w:r>
              <w:rPr>
                <w:sz w:val="19"/>
                <w:szCs w:val="19"/>
                <w:lang w:val="pt-PT"/>
              </w:rPr>
              <w:t xml:space="preserve">Nginx → aplicativo Laravel</w:t>
            </w:r>
          </w:p>
        </w:tc>
        <w:tc>
          <w:tcPr>
            <w:tcW w:type="dxa" w:w="1872"/>
            <w:tcMar>
              <w:left w:type="dxa" w:w="80"/>
              <w:right w:type="dxa" w:w="80"/>
            </w:tcMar>
          </w:tcPr>
          <w:p>
            <w:pPr>
              <w:pStyle w:val="Compact"/>
            </w:pPr>
            <w:r>
              <w:rPr>
                <w:sz w:val="19"/>
                <w:szCs w:val="19"/>
                <w:lang w:val="pt-PT"/>
              </w:rPr>
              <w:t xml:space="preserve">Servidor Prod (França, Opção A)/infraestrutura de cliente (Opção B)</w:t>
            </w:r>
          </w:p>
        </w:tc>
        <w:tc>
          <w:tcPr>
            <w:tcW w:type="dxa" w:w="1872"/>
            <w:tcMar>
              <w:left w:type="dxa" w:w="80"/>
              <w:right w:type="dxa" w:w="80"/>
            </w:tcMar>
          </w:tcPr>
          <w:p>
            <w:pPr>
              <w:pStyle w:val="Compact"/>
            </w:pPr>
            <w:r>
              <w:rPr>
                <w:sz w:val="19"/>
                <w:szCs w:val="19"/>
                <w:lang w:val="pt-PT"/>
              </w:rPr>
              <w:t xml:space="preserve">TLS; ClamAV antes de escrever</w:t>
            </w:r>
          </w:p>
        </w:tc>
        <w:tc>
          <w:tcPr>
            <w:tcW w:type="dxa" w:w="1872"/>
            <w:tcMar>
              <w:left w:type="dxa" w:w="80"/>
              <w:right w:type="dxa" w:w="80"/>
            </w:tcMar>
          </w:tcPr>
          <w:p>
            <w:pPr>
              <w:pStyle w:val="Compact"/>
            </w:pPr>
            <w:r>
              <w:rPr>
                <w:sz w:val="19"/>
                <w:szCs w:val="19"/>
                <w:lang w:val="pt-PT"/>
              </w:rPr>
              <w:t xml:space="preserve">Transitório</w:t>
            </w:r>
          </w:p>
        </w:tc>
      </w:tr>
      <w:tr>
        <w:trPr>
          <w:cantSplit/>
        </w:trPr>
        <w:tc>
          <w:tcPr>
            <w:tcW w:type="dxa" w:w="1872"/>
            <w:tcMar>
              <w:left w:type="dxa" w:w="80"/>
              <w:right w:type="dxa" w:w="80"/>
            </w:tcMar>
          </w:tcPr>
          <w:p>
            <w:pPr>
              <w:pStyle w:val="Compact"/>
            </w:pPr>
            <w:r>
              <w:rPr>
                <w:sz w:val="19"/>
                <w:szCs w:val="19"/>
                <w:lang w:val="pt-PT"/>
              </w:rPr>
              <w:t xml:space="preserve">Armazenamento</w:t>
            </w:r>
          </w:p>
        </w:tc>
        <w:tc>
          <w:tcPr>
            <w:tcW w:type="dxa" w:w="1872"/>
            <w:tcMar>
              <w:left w:type="dxa" w:w="80"/>
              <w:right w:type="dxa" w:w="80"/>
            </w:tcMar>
          </w:tcPr>
          <w:p>
            <w:pPr>
              <w:pStyle w:val="Compact"/>
            </w:pPr>
            <w:r>
              <w:rPr>
                <w:sz w:val="19"/>
                <w:szCs w:val="19"/>
                <w:lang w:val="pt-PT"/>
              </w:rPr>
              <w:t xml:space="preserve">Sistema de ficheiros do aplicativo</w:t>
            </w:r>
          </w:p>
        </w:tc>
        <w:tc>
          <w:tcPr>
            <w:tcW w:type="dxa" w:w="1872"/>
            <w:tcMar>
              <w:left w:type="dxa" w:w="80"/>
              <w:right w:type="dxa" w:w="80"/>
            </w:tcMar>
          </w:tcPr>
          <w:p>
            <w:pPr>
              <w:pStyle w:val="Compact"/>
            </w:pPr>
            <w:r>
              <w:rPr>
                <w:sz w:val="19"/>
                <w:szCs w:val="19"/>
                <w:lang w:val="pt-PT"/>
              </w:rPr>
              <w:t xml:space="preserve">Servidor de produção, França (Opt. A) / infra-estrutura do cliente</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Duração configurada pelo Cliente, caso contrário duração do contrato</w:t>
            </w:r>
          </w:p>
        </w:tc>
      </w:tr>
      <w:tr>
        <w:trPr>
          <w:cantSplit/>
        </w:trPr>
        <w:tc>
          <w:tcPr>
            <w:tcW w:type="dxa" w:w="1872"/>
            <w:tcMar>
              <w:left w:type="dxa" w:w="80"/>
              <w:right w:type="dxa" w:w="80"/>
            </w:tcMar>
          </w:tcPr>
          <w:p>
            <w:pPr>
              <w:pStyle w:val="Compact"/>
            </w:pPr>
            <w:r>
              <w:rPr>
                <w:sz w:val="19"/>
                <w:szCs w:val="19"/>
                <w:lang w:val="pt-PT"/>
              </w:rPr>
              <w:t xml:space="preserve">Tratamento</w:t>
            </w:r>
          </w:p>
        </w:tc>
        <w:tc>
          <w:tcPr>
            <w:tcW w:type="dxa" w:w="1872"/>
            <w:tcMar>
              <w:left w:type="dxa" w:w="80"/>
              <w:right w:type="dxa" w:w="80"/>
            </w:tcMar>
          </w:tcPr>
          <w:p>
            <w:pPr>
              <w:pStyle w:val="Compact"/>
            </w:pPr>
            <w:r>
              <w:rPr>
                <w:sz w:val="19"/>
                <w:szCs w:val="19"/>
                <w:lang w:val="pt-PT"/>
              </w:rPr>
              <w:t xml:space="preserve">Trabalhador de transcrição de GPU</w:t>
            </w:r>
          </w:p>
        </w:tc>
        <w:tc>
          <w:tcPr>
            <w:tcW w:type="dxa" w:w="1872"/>
            <w:tcMar>
              <w:left w:type="dxa" w:w="80"/>
              <w:right w:type="dxa" w:w="80"/>
            </w:tcMar>
          </w:tcPr>
          <w:p>
            <w:pPr>
              <w:pStyle w:val="Compact"/>
            </w:pPr>
            <w:r>
              <w:rPr>
                <w:sz w:val="19"/>
                <w:szCs w:val="19"/>
                <w:lang w:val="pt-PT"/>
              </w:rPr>
              <w:t xml:space="preserve">GPU UE dedicada (opção A) / GPU local (opção B isolada)</w:t>
            </w:r>
          </w:p>
        </w:tc>
        <w:tc>
          <w:tcPr>
            <w:tcW w:type="dxa" w:w="1872"/>
            <w:tcMar>
              <w:left w:type="dxa" w:w="80"/>
              <w:right w:type="dxa" w:w="80"/>
            </w:tcMar>
          </w:tcPr>
          <w:p>
            <w:pPr>
              <w:pStyle w:val="Compact"/>
            </w:pPr>
            <w:r>
              <w:rPr>
                <w:sz w:val="19"/>
                <w:szCs w:val="19"/>
                <w:lang w:val="pt-PT"/>
              </w:rPr>
              <w:t xml:space="preserve">TLS entre componentes; URL assinado temporário (30 min) para streaming</w:t>
            </w:r>
          </w:p>
        </w:tc>
        <w:tc>
          <w:tcPr>
            <w:tcW w:type="dxa" w:w="1872"/>
            <w:tcMar>
              <w:left w:type="dxa" w:w="80"/>
              <w:right w:type="dxa" w:w="80"/>
            </w:tcMar>
          </w:tcPr>
          <w:p>
            <w:pPr>
              <w:pStyle w:val="Compact"/>
            </w:pPr>
            <w:r>
              <w:rPr>
                <w:sz w:val="19"/>
                <w:szCs w:val="19"/>
                <w:lang w:val="pt-PT"/>
              </w:rPr>
              <w:t xml:space="preserve">Tempo de trabalho; excluído no lado do trabalhador após o processamento</w:t>
            </w:r>
          </w:p>
        </w:tc>
      </w:tr>
      <w:tr>
        <w:trPr>
          <w:cantSplit/>
        </w:trPr>
        <w:tc>
          <w:tcPr>
            <w:tcW w:type="dxa" w:w="1872"/>
            <w:tcMar>
              <w:left w:type="dxa" w:w="80"/>
              <w:right w:type="dxa" w:w="80"/>
            </w:tcMar>
          </w:tcPr>
          <w:p>
            <w:pPr>
              <w:pStyle w:val="Compact"/>
            </w:pPr>
            <w:r>
              <w:rPr>
                <w:sz w:val="19"/>
                <w:szCs w:val="19"/>
                <w:lang w:val="pt-PT"/>
              </w:rPr>
              <w:t xml:space="preserve">Cópia de segurança</w:t>
            </w:r>
          </w:p>
        </w:tc>
        <w:tc>
          <w:tcPr>
            <w:tcW w:type="dxa" w:w="1872"/>
            <w:tcMar>
              <w:left w:type="dxa" w:w="80"/>
              <w:right w:type="dxa" w:w="80"/>
            </w:tcMar>
          </w:tcPr>
          <w:p>
            <w:pPr>
              <w:pStyle w:val="Compact"/>
            </w:pPr>
            <w:r>
              <w:rPr>
                <w:sz w:val="19"/>
                <w:szCs w:val="19"/>
                <w:lang w:val="pt-PT"/>
              </w:rPr>
              <w:t xml:space="preserve">age da cifragem → rclone</w:t>
            </w:r>
          </w:p>
        </w:tc>
        <w:tc>
          <w:tcPr>
            <w:tcW w:type="dxa" w:w="1872"/>
            <w:tcMar>
              <w:left w:type="dxa" w:w="80"/>
              <w:right w:type="dxa" w:w="80"/>
            </w:tcMar>
          </w:tcPr>
          <w:p>
            <w:pPr>
              <w:pStyle w:val="Compact"/>
            </w:pPr>
            <w:r>
              <w:rPr>
                <w:sz w:val="19"/>
                <w:szCs w:val="19"/>
                <w:lang w:val="pt-PT"/>
              </w:rPr>
              <w:t xml:space="preserve">Scaleway (França, UE) (Opção A)</w:t>
            </w:r>
          </w:p>
        </w:tc>
        <w:tc>
          <w:tcPr>
            <w:tcW w:type="dxa" w:w="1872"/>
            <w:tcMar>
              <w:left w:type="dxa" w:w="80"/>
              <w:right w:type="dxa" w:w="80"/>
            </w:tcMar>
          </w:tcPr>
          <w:p>
            <w:pPr>
              <w:pStyle w:val="Compact"/>
            </w:pPr>
            <w:r>
              <w:rPr>
                <w:sz w:val="19"/>
                <w:szCs w:val="19"/>
                <w:lang w:val="pt-PT"/>
              </w:rPr>
              <w:t xml:space="preserve">age (antes de enviar)</w:t>
            </w:r>
          </w:p>
        </w:tc>
        <w:tc>
          <w:tcPr>
            <w:tcW w:type="dxa" w:w="1872"/>
            <w:tcMar>
              <w:left w:type="dxa" w:w="80"/>
              <w:right w:type="dxa" w:w="80"/>
            </w:tcMar>
          </w:tcPr>
          <w:p>
            <w:pPr>
              <w:pStyle w:val="Compact"/>
            </w:pPr>
            <w:r>
              <w:rPr>
                <w:sz w:val="19"/>
                <w:szCs w:val="19"/>
                <w:lang w:val="pt-PT"/>
              </w:rPr>
              <w:t xml:space="preserve">≤ 90 dias (rotação)</w:t>
            </w:r>
          </w:p>
        </w:tc>
      </w:tr>
      <w:tr>
        <w:trPr>
          <w:cantSplit/>
        </w:trPr>
        <w:tc>
          <w:tcPr>
            <w:tcW w:type="dxa" w:w="1872"/>
            <w:tcMar>
              <w:left w:type="dxa" w:w="80"/>
              <w:right w:type="dxa" w:w="80"/>
            </w:tcMar>
          </w:tcPr>
          <w:p>
            <w:pPr>
              <w:pStyle w:val="Compact"/>
            </w:pPr>
            <w:r>
              <w:rPr>
                <w:sz w:val="19"/>
                <w:szCs w:val="19"/>
                <w:lang w:val="pt-PT"/>
              </w:rPr>
              <w:t xml:space="preserve">Destino final</w:t>
            </w:r>
          </w:p>
        </w:tc>
        <w:tc>
          <w:tcPr>
            <w:tcW w:type="dxa" w:w="1872"/>
            <w:tcMar>
              <w:left w:type="dxa" w:w="80"/>
              <w:right w:type="dxa" w:w="80"/>
            </w:tcMar>
          </w:tcPr>
          <w:p>
            <w:pPr>
              <w:pStyle w:val="Compact"/>
            </w:pPr>
            <w:r>
              <w:rPr>
                <w:sz w:val="19"/>
                <w:szCs w:val="19"/>
                <w:lang w:val="pt-PT"/>
              </w:rPr>
              <w:t xml:space="preserve">Exclusão mediante solicitação/expiração</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De acordo com a política de conservação (ver OHA-RGPD-05)</w:t>
            </w:r>
          </w:p>
        </w:tc>
      </w:tr>
    </w:tbl>
    <w:bookmarkEnd w:id="62"/>
    <w:bookmarkStart w:id="63" w:name="X150edd64680ffa97c3c8f0861456ba0cfb19877"/>
    <w:p>
      <w:pPr>
        <w:pStyle w:val="Heading3"/>
        <w:keepNext/>
        <w:keepLines/>
      </w:pPr>
      <w:r>
        <w:rPr>
          <w:color w:val="000000"/>
          <w:lang w:val="pt-PT"/>
        </w:rPr>
        <w:t xml:space="preserve">2.2 Transcrições (segmentos, versões, correções, capítulos, diarização)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Geração</w:t>
            </w:r>
          </w:p>
        </w:tc>
        <w:tc>
          <w:tcPr>
            <w:tcW w:type="dxa" w:w="1872"/>
            <w:tcMar>
              <w:left w:type="dxa" w:w="80"/>
              <w:right w:type="dxa" w:w="80"/>
            </w:tcMar>
          </w:tcPr>
          <w:p>
            <w:pPr>
              <w:pStyle w:val="Compact"/>
            </w:pPr>
            <w:r>
              <w:rPr>
                <w:sz w:val="19"/>
                <w:szCs w:val="19"/>
                <w:lang w:val="pt-PT"/>
              </w:rPr>
              <w:t xml:space="preserve">Trabalhador de transcrição (whisperX + pyannote)</w:t>
            </w:r>
          </w:p>
        </w:tc>
        <w:tc>
          <w:tcPr>
            <w:tcW w:type="dxa" w:w="1872"/>
            <w:tcMar>
              <w:left w:type="dxa" w:w="80"/>
              <w:right w:type="dxa" w:w="80"/>
            </w:tcMar>
          </w:tcPr>
          <w:p>
            <w:pPr>
              <w:pStyle w:val="Compact"/>
            </w:pPr>
            <w:r>
              <w:rPr>
                <w:sz w:val="19"/>
                <w:szCs w:val="19"/>
                <w:lang w:val="pt-PT"/>
              </w:rPr>
              <w:t xml:space="preserve">GPU UE dedicada (opção A)/GPU local (opção B)</w:t>
            </w:r>
          </w:p>
        </w:tc>
        <w:tc>
          <w:tcPr>
            <w:tcW w:type="dxa" w:w="1872"/>
            <w:tcMar>
              <w:left w:type="dxa" w:w="80"/>
              <w:right w:type="dxa" w:w="80"/>
            </w:tcMar>
          </w:tcPr>
          <w:p>
            <w:pPr>
              <w:pStyle w:val="Compact"/>
            </w:pPr>
            <w:r>
              <w:rPr>
                <w:sz w:val="19"/>
                <w:szCs w:val="19"/>
                <w:lang w:val="pt-PT"/>
              </w:rPr>
              <w:t xml:space="preserve">TLS entre componentes</w:t>
            </w:r>
          </w:p>
        </w:tc>
        <w:tc>
          <w:tcPr>
            <w:tcW w:type="dxa" w:w="1872"/>
            <w:tcMar>
              <w:left w:type="dxa" w:w="80"/>
              <w:right w:type="dxa" w:w="80"/>
            </w:tcMar>
          </w:tcPr>
          <w:p>
            <w:pPr>
              <w:pStyle w:val="Compact"/>
            </w:pPr>
            <w:r>
              <w:rPr>
                <w:sz w:val="19"/>
                <w:szCs w:val="19"/>
                <w:lang w:val="pt-PT"/>
              </w:rPr>
              <w:t xml:space="preserve">Tempo de trabalho</w:t>
            </w:r>
          </w:p>
        </w:tc>
      </w:tr>
      <w:tr>
        <w:trPr>
          <w:cantSplit/>
        </w:trPr>
        <w:tc>
          <w:tcPr>
            <w:tcW w:type="dxa" w:w="1872"/>
            <w:tcMar>
              <w:left w:type="dxa" w:w="80"/>
              <w:right w:type="dxa" w:w="80"/>
            </w:tcMar>
          </w:tcPr>
          <w:p>
            <w:pPr>
              <w:pStyle w:val="Compact"/>
            </w:pPr>
            <w:r>
              <w:rPr>
                <w:sz w:val="19"/>
                <w:szCs w:val="19"/>
                <w:lang w:val="pt-PT"/>
              </w:rPr>
              <w:t xml:space="preserve">Retorno</w:t>
            </w:r>
          </w:p>
        </w:tc>
        <w:tc>
          <w:tcPr>
            <w:tcW w:type="dxa" w:w="1872"/>
            <w:tcMar>
              <w:left w:type="dxa" w:w="80"/>
              <w:right w:type="dxa" w:w="80"/>
            </w:tcMar>
          </w:tcPr>
          <w:p>
            <w:pPr>
              <w:pStyle w:val="Compact"/>
            </w:pPr>
            <w:r>
              <w:rPr>
                <w:rStyle w:val="VerbatimChar"/>
                <w:sz w:val="19"/>
                <w:szCs w:val="19"/>
                <w:lang w:val="pt-PT"/>
              </w:rPr>
              <w:t xml:space="preserve">POST /complete</w:t>
            </w:r>
            <w:r>
              <w:rPr>
                <w:sz w:val="19"/>
                <w:szCs w:val="19"/>
                <w:lang w:val="pt-PT"/>
              </w:rPr>
              <w:t xml:space="preserve"> </w:t>
            </w:r>
            <w:r>
              <w:rPr>
                <w:sz w:val="19"/>
                <w:szCs w:val="19"/>
                <w:lang w:val="pt-PT"/>
              </w:rPr>
              <w:t xml:space="preserve">(segmentos JSON) → aplicativo</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Transitório</w:t>
            </w:r>
          </w:p>
        </w:tc>
      </w:tr>
      <w:tr>
        <w:trPr>
          <w:cantSplit/>
        </w:trPr>
        <w:tc>
          <w:tcPr>
            <w:tcW w:type="dxa" w:w="1872"/>
            <w:tcMar>
              <w:left w:type="dxa" w:w="80"/>
              <w:right w:type="dxa" w:w="80"/>
            </w:tcMar>
          </w:tcPr>
          <w:p>
            <w:pPr>
              <w:pStyle w:val="Compact"/>
            </w:pPr>
            <w:r>
              <w:rPr>
                <w:sz w:val="19"/>
                <w:szCs w:val="19"/>
                <w:lang w:val="pt-PT"/>
              </w:rPr>
              <w:t xml:space="preserve">Armazenamento</w:t>
            </w:r>
          </w:p>
        </w:tc>
        <w:tc>
          <w:tcPr>
            <w:tcW w:type="dxa" w:w="1872"/>
            <w:tcMar>
              <w:left w:type="dxa" w:w="80"/>
              <w:right w:type="dxa" w:w="80"/>
            </w:tcMar>
          </w:tcPr>
          <w:p>
            <w:pPr>
              <w:pStyle w:val="Compact"/>
            </w:pPr>
            <w:r>
              <w:rPr>
                <w:sz w:val="19"/>
                <w:szCs w:val="19"/>
                <w:lang w:val="pt-PT"/>
              </w:rPr>
              <w:t xml:space="preserve">PostgreSQL (esquema dedicado à organização)</w:t>
            </w:r>
          </w:p>
        </w:tc>
        <w:tc>
          <w:tcPr>
            <w:tcW w:type="dxa" w:w="1872"/>
            <w:tcMar>
              <w:left w:type="dxa" w:w="80"/>
              <w:right w:type="dxa" w:w="80"/>
            </w:tcMar>
          </w:tcPr>
          <w:p>
            <w:pPr>
              <w:pStyle w:val="Compact"/>
            </w:pPr>
            <w:r>
              <w:rPr>
                <w:sz w:val="19"/>
                <w:szCs w:val="19"/>
                <w:lang w:val="pt-PT"/>
              </w:rPr>
              <w:t xml:space="preserve">Servidor de produção, França</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Definir duração/duração do contrato</w:t>
            </w:r>
          </w:p>
        </w:tc>
      </w:tr>
      <w:tr>
        <w:trPr>
          <w:cantSplit/>
        </w:trPr>
        <w:tc>
          <w:tcPr>
            <w:tcW w:type="dxa" w:w="1872"/>
            <w:tcMar>
              <w:left w:type="dxa" w:w="80"/>
              <w:right w:type="dxa" w:w="80"/>
            </w:tcMar>
          </w:tcPr>
          <w:p>
            <w:pPr>
              <w:pStyle w:val="Compact"/>
            </w:pPr>
            <w:r>
              <w:rPr>
                <w:sz w:val="19"/>
                <w:szCs w:val="19"/>
                <w:lang w:val="pt-PT"/>
              </w:rPr>
              <w:t xml:space="preserve">Operação</w:t>
            </w:r>
          </w:p>
        </w:tc>
        <w:tc>
          <w:tcPr>
            <w:tcW w:type="dxa" w:w="1872"/>
            <w:tcMar>
              <w:left w:type="dxa" w:w="80"/>
              <w:right w:type="dxa" w:w="80"/>
            </w:tcMar>
          </w:tcPr>
          <w:p>
            <w:pPr>
              <w:pStyle w:val="Compact"/>
            </w:pPr>
            <w:r>
              <w:rPr>
                <w:sz w:val="19"/>
                <w:szCs w:val="19"/>
                <w:lang w:val="pt-PT"/>
              </w:rPr>
              <w:t xml:space="preserve">Edição, correção, versionamento pelo utilizador</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Igual</w:t>
            </w:r>
          </w:p>
        </w:tc>
      </w:tr>
      <w:tr>
        <w:trPr>
          <w:cantSplit/>
        </w:trPr>
        <w:tc>
          <w:tcPr>
            <w:tcW w:type="dxa" w:w="1872"/>
            <w:tcMar>
              <w:left w:type="dxa" w:w="80"/>
              <w:right w:type="dxa" w:w="80"/>
            </w:tcMar>
          </w:tcPr>
          <w:p>
            <w:pPr>
              <w:pStyle w:val="Compact"/>
            </w:pPr>
            <w:r>
              <w:rPr>
                <w:sz w:val="19"/>
                <w:szCs w:val="19"/>
                <w:lang w:val="pt-PT"/>
              </w:rPr>
              <w:t xml:space="preserve">Cópia de segurança</w:t>
            </w:r>
          </w:p>
        </w:tc>
        <w:tc>
          <w:tcPr>
            <w:tcW w:type="dxa" w:w="1872"/>
            <w:tcMar>
              <w:left w:type="dxa" w:w="80"/>
              <w:right w:type="dxa" w:w="80"/>
            </w:tcMar>
          </w:tcPr>
          <w:p>
            <w:pPr>
              <w:pStyle w:val="Compact"/>
            </w:pPr>
            <w:r>
              <w:rPr>
                <w:sz w:val="19"/>
                <w:szCs w:val="19"/>
                <w:lang w:val="pt-PT"/>
              </w:rPr>
              <w:t xml:space="preserve">age → rclone</w:t>
            </w:r>
          </w:p>
        </w:tc>
        <w:tc>
          <w:tcPr>
            <w:tcW w:type="dxa" w:w="1872"/>
            <w:tcMar>
              <w:left w:type="dxa" w:w="80"/>
              <w:right w:type="dxa" w:w="80"/>
            </w:tcMar>
          </w:tcPr>
          <w:p>
            <w:pPr>
              <w:pStyle w:val="Compact"/>
            </w:pPr>
            <w:r>
              <w:rPr>
                <w:sz w:val="19"/>
                <w:szCs w:val="19"/>
                <w:lang w:val="pt-PT"/>
              </w:rPr>
              <w:t xml:space="preserve">Scaleway (França, UE) (Opção A)</w:t>
            </w:r>
          </w:p>
        </w:tc>
        <w:tc>
          <w:tcPr>
            <w:tcW w:type="dxa" w:w="1872"/>
            <w:tcMar>
              <w:left w:type="dxa" w:w="80"/>
              <w:right w:type="dxa" w:w="80"/>
            </w:tcMar>
          </w:tcPr>
          <w:p>
            <w:pPr>
              <w:pStyle w:val="Compact"/>
            </w:pPr>
            <w:r>
              <w:rPr>
                <w:sz w:val="19"/>
                <w:szCs w:val="19"/>
                <w:lang w:val="pt-PT"/>
              </w:rPr>
              <w:t xml:space="preserve">age</w:t>
            </w:r>
          </w:p>
        </w:tc>
        <w:tc>
          <w:tcPr>
            <w:tcW w:type="dxa" w:w="1872"/>
            <w:tcMar>
              <w:left w:type="dxa" w:w="80"/>
              <w:right w:type="dxa" w:w="80"/>
            </w:tcMar>
          </w:tcPr>
          <w:p>
            <w:pPr>
              <w:pStyle w:val="Compact"/>
            </w:pPr>
            <w:r>
              <w:rPr>
                <w:sz w:val="19"/>
                <w:szCs w:val="19"/>
                <w:lang w:val="pt-PT"/>
              </w:rPr>
              <w:t xml:space="preserve">≤ 90 j</w:t>
            </w:r>
          </w:p>
        </w:tc>
      </w:tr>
    </w:tbl>
    <w:bookmarkEnd w:id="63"/>
    <w:bookmarkStart w:id="64" w:name="Xae01f554397da6c2da74971edeb9ac8502cc0e8"/>
    <w:p>
      <w:pPr>
        <w:pStyle w:val="Heading3"/>
        <w:keepNext/>
        <w:keepLines/>
      </w:pPr>
      <w:r>
        <w:rPr>
          <w:color w:val="000000"/>
          <w:lang w:val="pt-PT"/>
        </w:rPr>
        <w:t xml:space="preserve">2.3 Resumos e gerações de IA (atas, capítulos, análises)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Acionamento</w:t>
            </w:r>
          </w:p>
        </w:tc>
        <w:tc>
          <w:tcPr>
            <w:tcW w:type="dxa" w:w="1872"/>
            <w:tcMar>
              <w:left w:type="dxa" w:w="80"/>
              <w:right w:type="dxa" w:w="80"/>
            </w:tcMar>
          </w:tcPr>
          <w:p>
            <w:pPr>
              <w:pStyle w:val="Compact"/>
            </w:pPr>
            <w:r>
              <w:rPr>
                <w:sz w:val="19"/>
                <w:szCs w:val="19"/>
                <w:lang w:val="pt-PT"/>
              </w:rPr>
              <w:t xml:space="preserve">O utilizador seleciona fontes</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w:t>
            </w:r>
          </w:p>
        </w:tc>
      </w:tr>
      <w:tr>
        <w:trPr>
          <w:cantSplit/>
        </w:trPr>
        <w:tc>
          <w:tcPr>
            <w:tcW w:type="dxa" w:w="1872"/>
            <w:tcMar>
              <w:left w:type="dxa" w:w="80"/>
              <w:right w:type="dxa" w:w="80"/>
            </w:tcMar>
          </w:tcPr>
          <w:p>
            <w:pPr>
              <w:pStyle w:val="Compact"/>
            </w:pPr>
            <w:r>
              <w:rPr>
                <w:sz w:val="19"/>
                <w:szCs w:val="19"/>
                <w:lang w:val="pt-PT"/>
              </w:rPr>
              <w:t xml:space="preserve">Enviar para modelo</w:t>
            </w:r>
          </w:p>
        </w:tc>
        <w:tc>
          <w:tcPr>
            <w:tcW w:type="dxa" w:w="1872"/>
            <w:tcMar>
              <w:left w:type="dxa" w:w="80"/>
              <w:right w:type="dxa" w:w="80"/>
            </w:tcMar>
          </w:tcPr>
          <w:p>
            <w:pPr>
              <w:pStyle w:val="Compact"/>
            </w:pPr>
            <w:r>
              <w:rPr>
                <w:b/>
                <w:bCs/>
                <w:sz w:val="19"/>
                <w:szCs w:val="19"/>
                <w:lang w:val="pt-PT"/>
              </w:rPr>
              <w:t xml:space="preserve">Rota primária: servidores vLLM controlados </w:t>
            </w:r>
            <w:r>
              <w:rPr>
                <w:sz w:val="19"/>
                <w:szCs w:val="19"/>
                <w:lang w:val="pt-PT"/>
              </w:rPr>
              <w:t xml:space="preserve"/>
            </w:r>
            <w:r>
              <w:rPr>
                <w:sz w:val="19"/>
                <w:szCs w:val="19"/>
                <w:lang w:val="pt-PT"/>
              </w:rPr>
              <w:t xml:space="preserve">(EU); substituto desabilitável: OpenRouter → provedor de modelo; ou LLM auto-hospedado (opção B)</w:t>
            </w:r>
          </w:p>
        </w:tc>
        <w:tc>
          <w:tcPr>
            <w:tcW w:type="dxa" w:w="1872"/>
            <w:tcMar>
              <w:left w:type="dxa" w:w="80"/>
              <w:right w:type="dxa" w:w="80"/>
            </w:tcMar>
          </w:tcPr>
          <w:p>
            <w:pPr>
              <w:pStyle w:val="Compact"/>
            </w:pPr>
            <w:r>
              <w:rPr>
                <w:sz w:val="19"/>
                <w:szCs w:val="19"/>
                <w:lang w:val="pt-PT"/>
              </w:rPr>
              <w:t xml:space="preserve">UE (Estrasburgo/Paris) no primário; EUA só é </w:t>
            </w:r>
            <w:r>
              <w:rPr>
                <w:sz w:val="19"/>
                <w:szCs w:val="19"/>
                <w:lang w:val="pt-PT"/>
              </w:rPr>
              <w:t xml:space="preserve"/>
            </w:r>
            <w:r>
              <w:rPr>
                <w:b/>
                <w:bCs/>
                <w:sz w:val="19"/>
                <w:szCs w:val="19"/>
                <w:lang w:val="pt-PT"/>
              </w:rPr>
              <w:t xml:space="preserve">possível </w:t>
            </w:r>
            <w:r>
              <w:rPr>
                <w:sz w:val="19"/>
                <w:szCs w:val="19"/>
                <w:lang w:val="pt-PT"/>
              </w:rPr>
              <w:t xml:space="preserve"/>
            </w:r>
            <w:r>
              <w:rPr>
                <w:sz w:val="19"/>
                <w:szCs w:val="19"/>
                <w:lang w:val="pt-PT"/>
              </w:rPr>
              <w:t xml:space="preserve">via fallback do OpenRouter</w:t>
            </w:r>
          </w:p>
        </w:tc>
        <w:tc>
          <w:tcPr>
            <w:tcW w:type="dxa" w:w="1872"/>
            <w:tcMar>
              <w:left w:type="dxa" w:w="80"/>
              <w:right w:type="dxa" w:w="80"/>
            </w:tcMar>
          </w:tcPr>
          <w:p>
            <w:pPr>
              <w:pStyle w:val="Compact"/>
            </w:pPr>
            <w:r>
              <w:rPr>
                <w:sz w:val="19"/>
                <w:szCs w:val="19"/>
                <w:lang w:val="pt-PT"/>
              </w:rPr>
              <w:t xml:space="preserve">TLS; sem treino («no-train»); minimização</w:t>
            </w:r>
          </w:p>
        </w:tc>
        <w:tc>
          <w:tcPr>
            <w:tcW w:type="dxa" w:w="1872"/>
            <w:tcMar>
              <w:left w:type="dxa" w:w="80"/>
              <w:right w:type="dxa" w:w="80"/>
            </w:tcMar>
          </w:tcPr>
          <w:p>
            <w:pPr>
              <w:pStyle w:val="Compact"/>
            </w:pPr>
            <w:r>
              <w:rPr>
                <w:sz w:val="19"/>
                <w:szCs w:val="19"/>
                <w:lang w:val="pt-PT"/>
              </w:rPr>
              <w:t xml:space="preserve">O momento da inferência; nenhum armazenamento sustentável por parte do fornecedor</w:t>
            </w:r>
          </w:p>
        </w:tc>
      </w:tr>
      <w:tr>
        <w:trPr>
          <w:cantSplit/>
        </w:trPr>
        <w:tc>
          <w:tcPr>
            <w:tcW w:type="dxa" w:w="1872"/>
            <w:tcMar>
              <w:left w:type="dxa" w:w="80"/>
              <w:right w:type="dxa" w:w="80"/>
            </w:tcMar>
          </w:tcPr>
          <w:p>
            <w:pPr>
              <w:pStyle w:val="Compact"/>
            </w:pPr>
            <w:r>
              <w:rPr>
                <w:sz w:val="19"/>
                <w:szCs w:val="19"/>
                <w:lang w:val="pt-PT"/>
              </w:rPr>
              <w:t xml:space="preserve">Retorno</w:t>
            </w:r>
          </w:p>
        </w:tc>
        <w:tc>
          <w:tcPr>
            <w:tcW w:type="dxa" w:w="1872"/>
            <w:tcMar>
              <w:left w:type="dxa" w:w="80"/>
              <w:right w:type="dxa" w:w="80"/>
            </w:tcMar>
          </w:tcPr>
          <w:p>
            <w:pPr>
              <w:pStyle w:val="Compact"/>
            </w:pPr>
            <w:r>
              <w:rPr>
                <w:sz w:val="19"/>
                <w:szCs w:val="19"/>
                <w:lang w:val="pt-PT"/>
              </w:rPr>
              <w:t xml:space="preserve">Resposta gerada → aplicativo</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Transitório</w:t>
            </w:r>
          </w:p>
        </w:tc>
      </w:tr>
      <w:tr>
        <w:trPr>
          <w:cantSplit/>
        </w:trPr>
        <w:tc>
          <w:tcPr>
            <w:tcW w:type="dxa" w:w="1872"/>
            <w:tcMar>
              <w:left w:type="dxa" w:w="80"/>
              <w:right w:type="dxa" w:w="80"/>
            </w:tcMar>
          </w:tcPr>
          <w:p>
            <w:pPr>
              <w:pStyle w:val="Compact"/>
            </w:pPr>
            <w:r>
              <w:rPr>
                <w:sz w:val="19"/>
                <w:szCs w:val="19"/>
                <w:lang w:val="pt-PT"/>
              </w:rPr>
              <w:t xml:space="preserve">Armazenamento</w:t>
            </w:r>
          </w:p>
        </w:tc>
        <w:tc>
          <w:tcPr>
            <w:tcW w:type="dxa" w:w="1872"/>
            <w:tcMar>
              <w:left w:type="dxa" w:w="80"/>
              <w:right w:type="dxa" w:w="80"/>
            </w:tcMar>
          </w:tcPr>
          <w:p>
            <w:pPr>
              <w:pStyle w:val="Compact"/>
            </w:pPr>
            <w:r>
              <w:rPr>
                <w:sz w:val="19"/>
                <w:szCs w:val="19"/>
                <w:lang w:val="pt-PT"/>
              </w:rPr>
              <w:t xml:space="preserve">Tabela </w:t>
            </w:r>
            <w:r>
              <w:rPr>
                <w:sz w:val="19"/>
                <w:szCs w:val="19"/>
                <w:lang w:val="pt-PT"/>
              </w:rPr>
              <w:t xml:space="preserve"/>
            </w:r>
            <w:r>
              <w:rPr>
                <w:rStyle w:val="VerbatimChar"/>
                <w:sz w:val="19"/>
                <w:szCs w:val="19"/>
                <w:lang w:val="pt-PT"/>
              </w:rPr>
              <w:t xml:space="preserve">ai_generations</w:t>
            </w:r>
            <w:r>
              <w:rPr>
                <w:sz w:val="19"/>
                <w:szCs w:val="19"/>
                <w:lang w:val="pt-PT"/>
              </w:rPr>
              <w:t xml:space="preserve"> </w:t>
            </w:r>
            <w:r>
              <w:rPr>
                <w:sz w:val="19"/>
                <w:szCs w:val="19"/>
                <w:lang w:val="pt-PT"/>
              </w:rPr>
              <w:t xml:space="preserve">(holding)</w:t>
            </w:r>
          </w:p>
        </w:tc>
        <w:tc>
          <w:tcPr>
            <w:tcW w:type="dxa" w:w="1872"/>
            <w:tcMar>
              <w:left w:type="dxa" w:w="80"/>
              <w:right w:type="dxa" w:w="80"/>
            </w:tcMar>
          </w:tcPr>
          <w:p>
            <w:pPr>
              <w:pStyle w:val="Compact"/>
            </w:pPr>
            <w:r>
              <w:rPr>
                <w:sz w:val="19"/>
                <w:szCs w:val="19"/>
                <w:lang w:val="pt-PT"/>
              </w:rPr>
              <w:t xml:space="preserve">PostgreSQL, servidor de produção França</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Definir duração/duração do contrato</w:t>
            </w:r>
          </w:p>
        </w:tc>
      </w:tr>
      <w:tr>
        <w:trPr>
          <w:cantSplit/>
        </w:trPr>
        <w:tc>
          <w:tcPr>
            <w:tcW w:type="dxa" w:w="1872"/>
            <w:tcMar>
              <w:left w:type="dxa" w:w="80"/>
              <w:right w:type="dxa" w:w="80"/>
            </w:tcMar>
          </w:tcPr>
          <w:p>
            <w:pPr>
              <w:pStyle w:val="Compact"/>
            </w:pPr>
            <w:r>
              <w:rPr>
                <w:sz w:val="19"/>
                <w:szCs w:val="19"/>
                <w:lang w:val="pt-PT"/>
              </w:rPr>
              <w:t xml:space="preserve">Cópia de segurança</w:t>
            </w:r>
          </w:p>
        </w:tc>
        <w:tc>
          <w:tcPr>
            <w:tcW w:type="dxa" w:w="1872"/>
            <w:tcMar>
              <w:left w:type="dxa" w:w="80"/>
              <w:right w:type="dxa" w:w="80"/>
            </w:tcMar>
          </w:tcPr>
          <w:p>
            <w:pPr>
              <w:pStyle w:val="Compact"/>
            </w:pPr>
            <w:r>
              <w:rPr>
                <w:sz w:val="19"/>
                <w:szCs w:val="19"/>
                <w:lang w:val="pt-PT"/>
              </w:rPr>
              <w:t xml:space="preserve">age → rclone</w:t>
            </w:r>
          </w:p>
        </w:tc>
        <w:tc>
          <w:tcPr>
            <w:tcW w:type="dxa" w:w="1872"/>
            <w:tcMar>
              <w:left w:type="dxa" w:w="80"/>
              <w:right w:type="dxa" w:w="80"/>
            </w:tcMar>
          </w:tcPr>
          <w:p>
            <w:pPr>
              <w:pStyle w:val="Compact"/>
            </w:pPr>
            <w:r>
              <w:rPr>
                <w:sz w:val="19"/>
                <w:szCs w:val="19"/>
                <w:lang w:val="pt-PT"/>
              </w:rPr>
              <w:t xml:space="preserve">Scaleway (França, UE)</w:t>
            </w:r>
          </w:p>
        </w:tc>
        <w:tc>
          <w:tcPr>
            <w:tcW w:type="dxa" w:w="1872"/>
            <w:tcMar>
              <w:left w:type="dxa" w:w="80"/>
              <w:right w:type="dxa" w:w="80"/>
            </w:tcMar>
          </w:tcPr>
          <w:p>
            <w:pPr>
              <w:pStyle w:val="Compact"/>
            </w:pPr>
            <w:r>
              <w:rPr>
                <w:sz w:val="19"/>
                <w:szCs w:val="19"/>
                <w:lang w:val="pt-PT"/>
              </w:rPr>
              <w:t xml:space="preserve">age</w:t>
            </w:r>
          </w:p>
        </w:tc>
        <w:tc>
          <w:tcPr>
            <w:tcW w:type="dxa" w:w="1872"/>
            <w:tcMar>
              <w:left w:type="dxa" w:w="80"/>
              <w:right w:type="dxa" w:w="80"/>
            </w:tcMar>
          </w:tcPr>
          <w:p>
            <w:pPr>
              <w:pStyle w:val="Compact"/>
            </w:pPr>
            <w:r>
              <w:rPr>
                <w:sz w:val="19"/>
                <w:szCs w:val="19"/>
                <w:lang w:val="pt-PT"/>
              </w:rPr>
              <w:t xml:space="preserve">≤ 90 j</w:t>
            </w:r>
          </w:p>
        </w:tc>
      </w:tr>
    </w:tbl>
    <w:bookmarkEnd w:id="64"/>
    <w:bookmarkStart w:id="65" w:name="Xf33d00c3bf24ebe4aaf41272309e8f487b00b12"/>
    <w:p>
      <w:pPr>
        <w:pStyle w:val="Heading3"/>
        <w:keepNext/>
        <w:keepLines/>
      </w:pPr>
      <w:r>
        <w:rPr>
          <w:color w:val="000000"/>
          <w:lang w:val="pt-PT"/>
        </w:rPr>
        <w:t xml:space="preserve">2.4 Solicitações e saídas do modelo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Constituição do prompt</w:t>
            </w:r>
          </w:p>
        </w:tc>
        <w:tc>
          <w:tcPr>
            <w:tcW w:type="dxa" w:w="1872"/>
            <w:tcMar>
              <w:left w:type="dxa" w:w="80"/>
              <w:right w:type="dxa" w:w="80"/>
            </w:tcMar>
          </w:tcPr>
          <w:p>
            <w:pPr>
              <w:pStyle w:val="Compact"/>
            </w:pPr>
            <w:r>
              <w:rPr>
                <w:sz w:val="19"/>
                <w:szCs w:val="19"/>
                <w:lang w:val="pt-PT"/>
              </w:rPr>
              <w:t xml:space="preserve">Aplicação (fontes selecionadas pelo utilizador, minimização)</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Transitório</w:t>
            </w:r>
          </w:p>
        </w:tc>
      </w:tr>
      <w:tr>
        <w:trPr>
          <w:cantSplit/>
        </w:trPr>
        <w:tc>
          <w:tcPr>
            <w:tcW w:type="dxa" w:w="1872"/>
            <w:tcMar>
              <w:left w:type="dxa" w:w="80"/>
              <w:right w:type="dxa" w:w="80"/>
            </w:tcMar>
          </w:tcPr>
          <w:p>
            <w:pPr>
              <w:pStyle w:val="Compact"/>
            </w:pPr>
            <w:r>
              <w:rPr>
                <w:sz w:val="19"/>
                <w:szCs w:val="19"/>
                <w:lang w:val="pt-PT"/>
              </w:rPr>
              <w:t xml:space="preserve">Transmissão</w:t>
            </w:r>
          </w:p>
        </w:tc>
        <w:tc>
          <w:tcPr>
            <w:tcW w:type="dxa" w:w="1872"/>
            <w:tcMar>
              <w:left w:type="dxa" w:w="80"/>
              <w:right w:type="dxa" w:w="80"/>
            </w:tcMar>
          </w:tcPr>
          <w:p>
            <w:pPr>
              <w:pStyle w:val="Compact"/>
            </w:pPr>
            <w:r>
              <w:rPr>
                <w:b/>
                <w:bCs/>
                <w:sz w:val="19"/>
                <w:szCs w:val="19"/>
                <w:lang w:val="pt-PT"/>
              </w:rPr>
              <w:t xml:space="preserve">Canal primário: servidores vLLM da UE </w:t>
            </w:r>
            <w:r>
              <w:rPr>
                <w:sz w:val="19"/>
                <w:szCs w:val="19"/>
                <w:lang w:val="pt-PT"/>
              </w:rPr>
              <w:t xml:space="preserve">(controlados); </w:t>
            </w:r>
            <w:r>
              <w:rPr>
                <w:sz w:val="19"/>
                <w:szCs w:val="19"/>
                <w:lang w:val="pt-PT"/>
              </w:rPr>
              <w:t xml:space="preserve">substituto desativável: OpenRouter → provedor; ou endpoint local (opção B)</w:t>
            </w:r>
          </w:p>
        </w:tc>
        <w:tc>
          <w:tcPr>
            <w:tcW w:type="dxa" w:w="1872"/>
            <w:tcMar>
              <w:left w:type="dxa" w:w="80"/>
              <w:right w:type="dxa" w:w="80"/>
            </w:tcMar>
          </w:tcPr>
          <w:p>
            <w:pPr>
              <w:pStyle w:val="Compact"/>
            </w:pPr>
            <w:r>
              <w:rPr>
                <w:sz w:val="19"/>
                <w:szCs w:val="19"/>
                <w:lang w:val="pt-PT"/>
              </w:rPr>
              <w:t xml:space="preserve">UE no primário; EUA só são </w:t>
            </w:r>
            <w:r>
              <w:rPr>
                <w:sz w:val="19"/>
                <w:szCs w:val="19"/>
                <w:lang w:val="pt-PT"/>
              </w:rPr>
              <w:t xml:space="preserve"/>
            </w:r>
            <w:r>
              <w:rPr>
                <w:b/>
                <w:bCs/>
                <w:sz w:val="19"/>
                <w:szCs w:val="19"/>
                <w:lang w:val="pt-PT"/>
              </w:rPr>
              <w:t xml:space="preserve">possíveis </w:t>
            </w:r>
            <w:r>
              <w:rPr>
                <w:sz w:val="19"/>
                <w:szCs w:val="19"/>
                <w:lang w:val="pt-PT"/>
              </w:rPr>
              <w:t xml:space="preserve"/>
            </w:r>
            <w:r>
              <w:rPr>
                <w:sz w:val="19"/>
                <w:szCs w:val="19"/>
                <w:lang w:val="pt-PT"/>
              </w:rPr>
              <w:t xml:space="preserve">através de resgate</w:t>
            </w:r>
          </w:p>
        </w:tc>
        <w:tc>
          <w:tcPr>
            <w:tcW w:type="dxa" w:w="1872"/>
            <w:tcMar>
              <w:left w:type="dxa" w:w="80"/>
              <w:right w:type="dxa" w:w="80"/>
            </w:tcMar>
          </w:tcPr>
          <w:p>
            <w:pPr>
              <w:pStyle w:val="Compact"/>
            </w:pPr>
            <w:r>
              <w:rPr>
                <w:sz w:val="19"/>
                <w:szCs w:val="19"/>
                <w:lang w:val="pt-PT"/>
              </w:rPr>
              <w:t xml:space="preserve">TLS; sem treino («no-train»)</w:t>
            </w:r>
          </w:p>
        </w:tc>
        <w:tc>
          <w:tcPr>
            <w:tcW w:type="dxa" w:w="1872"/>
            <w:tcMar>
              <w:left w:type="dxa" w:w="80"/>
              <w:right w:type="dxa" w:w="80"/>
            </w:tcMar>
          </w:tcPr>
          <w:p>
            <w:pPr>
              <w:pStyle w:val="Compact"/>
            </w:pPr>
            <w:r>
              <w:rPr>
                <w:sz w:val="19"/>
                <w:szCs w:val="19"/>
                <w:lang w:val="pt-PT"/>
              </w:rPr>
              <w:t xml:space="preserve">Hora de inferência</w:t>
            </w:r>
          </w:p>
        </w:tc>
      </w:tr>
      <w:tr>
        <w:trPr>
          <w:cantSplit/>
        </w:trPr>
        <w:tc>
          <w:tcPr>
            <w:tcW w:type="dxa" w:w="1872"/>
            <w:tcMar>
              <w:left w:type="dxa" w:w="80"/>
              <w:right w:type="dxa" w:w="80"/>
            </w:tcMar>
          </w:tcPr>
          <w:p>
            <w:pPr>
              <w:pStyle w:val="Compact"/>
            </w:pPr>
            <w:r>
              <w:rPr>
                <w:sz w:val="19"/>
                <w:szCs w:val="19"/>
                <w:lang w:val="pt-PT"/>
              </w:rPr>
              <w:t xml:space="preserve">Sair</w:t>
            </w:r>
          </w:p>
        </w:tc>
        <w:tc>
          <w:tcPr>
            <w:tcW w:type="dxa" w:w="1872"/>
            <w:tcMar>
              <w:left w:type="dxa" w:w="80"/>
              <w:right w:type="dxa" w:w="80"/>
            </w:tcMar>
          </w:tcPr>
          <w:p>
            <w:pPr>
              <w:pStyle w:val="Compact"/>
            </w:pPr>
            <w:r>
              <w:rPr>
                <w:sz w:val="19"/>
                <w:szCs w:val="19"/>
                <w:lang w:val="pt-PT"/>
              </w:rPr>
              <w:t xml:space="preserve">Mantido no locatário (editável, validado por um humano)</w:t>
            </w:r>
          </w:p>
        </w:tc>
        <w:tc>
          <w:tcPr>
            <w:tcW w:type="dxa" w:w="1872"/>
            <w:tcMar>
              <w:left w:type="dxa" w:w="80"/>
              <w:right w:type="dxa" w:w="80"/>
            </w:tcMar>
          </w:tcPr>
          <w:p>
            <w:pPr>
              <w:pStyle w:val="Compact"/>
            </w:pPr>
            <w:r>
              <w:rPr>
                <w:sz w:val="19"/>
                <w:szCs w:val="19"/>
                <w:lang w:val="pt-PT"/>
              </w:rPr>
              <w:t xml:space="preserve">PostgreSQL (locatário)</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Definir duração/duração do contrato</w:t>
            </w:r>
          </w:p>
        </w:tc>
      </w:tr>
      <w:tr>
        <w:trPr>
          <w:cantSplit/>
        </w:trPr>
        <w:tc>
          <w:tcPr>
            <w:tcW w:type="dxa" w:w="1872"/>
            <w:tcMar>
              <w:left w:type="dxa" w:w="80"/>
              <w:right w:type="dxa" w:w="80"/>
            </w:tcMar>
          </w:tcPr>
          <w:p>
            <w:pPr>
              <w:pStyle w:val="Compact"/>
            </w:pPr>
            <w:r>
              <w:rPr>
                <w:sz w:val="19"/>
                <w:szCs w:val="19"/>
                <w:lang w:val="pt-PT"/>
              </w:rPr>
              <w:t xml:space="preserve">Lado do fornecedor</w:t>
            </w:r>
          </w:p>
        </w:tc>
        <w:tc>
          <w:tcPr>
            <w:tcW w:type="dxa" w:w="1872"/>
            <w:tcMar>
              <w:left w:type="dxa" w:w="80"/>
              <w:right w:type="dxa" w:w="80"/>
            </w:tcMar>
          </w:tcPr>
          <w:p>
            <w:pPr>
              <w:pStyle w:val="Compact"/>
            </w:pPr>
            <w:r>
              <w:rPr>
                <w:sz w:val="19"/>
                <w:szCs w:val="19"/>
                <w:lang w:val="pt-PT"/>
              </w:rPr>
              <w:t xml:space="preserve">Rota primária: sem terceiros; backup: sem armazenamento duradouro, sem treino</w:t>
            </w:r>
          </w:p>
        </w:tc>
        <w:tc>
          <w:tcPr>
            <w:tcW w:type="dxa" w:w="1872"/>
            <w:tcMar>
              <w:left w:type="dxa" w:w="80"/>
              <w:right w:type="dxa" w:w="80"/>
            </w:tcMar>
          </w:tcPr>
          <w:p>
            <w:pPr>
              <w:pStyle w:val="Compact"/>
            </w:pPr>
            <w:r>
              <w:rPr>
                <w:sz w:val="19"/>
                <w:szCs w:val="19"/>
                <w:lang w:val="pt-PT"/>
              </w:rPr>
              <w:t xml:space="preserve">UE (rota principal); EUA/UE dependendo do modelo (resgate)</w:t>
            </w:r>
          </w:p>
        </w:tc>
        <w:tc>
          <w:tcPr>
            <w:tcW w:type="dxa" w:w="1872"/>
            <w:tcMar>
              <w:left w:type="dxa" w:w="80"/>
              <w:right w:type="dxa" w:w="80"/>
            </w:tcMar>
          </w:tcPr>
          <w:p>
            <w:pPr>
              <w:pStyle w:val="Compact"/>
            </w:pPr>
            <w:r>
              <w:rPr>
                <w:sz w:val="19"/>
                <w:szCs w:val="19"/>
                <w:lang w:val="pt-PT"/>
              </w:rPr>
              <w:t xml:space="preserve">Segundo fornecedor DPA (resgate)</w:t>
            </w:r>
          </w:p>
        </w:tc>
        <w:tc>
          <w:tcPr>
            <w:tcW w:type="dxa" w:w="1872"/>
            <w:tcMar>
              <w:left w:type="dxa" w:w="80"/>
              <w:right w:type="dxa" w:w="80"/>
            </w:tcMar>
          </w:tcPr>
          <w:p>
            <w:pPr>
              <w:pStyle w:val="Compact"/>
            </w:pPr>
            <w:r>
              <w:rPr>
                <w:sz w:val="19"/>
                <w:szCs w:val="19"/>
                <w:lang w:val="pt-PT"/>
              </w:rPr>
              <w:t xml:space="preserve">[A SER CONCLUÍDO: retenção exata pelo fornecedor]</w:t>
            </w:r>
          </w:p>
        </w:tc>
      </w:tr>
    </w:tbl>
    <w:bookmarkEnd w:id="65"/>
    <w:bookmarkStart w:id="66" w:name="X11292ab5bd72f4d399359c76ca524b5506db9c0"/>
    <w:p>
      <w:pPr>
        <w:pStyle w:val="Heading3"/>
        <w:keepNext/>
        <w:keepLines/>
      </w:pPr>
      <w:r>
        <w:rPr>
          <w:color w:val="000000"/>
          <w:lang w:val="pt-PT"/>
        </w:rPr>
        <w:t xml:space="preserve">2.5 Dados temporários (incorporação de voz na RAM, ficheiros de processamento temporário)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Cálculo</w:t>
            </w:r>
          </w:p>
        </w:tc>
        <w:tc>
          <w:tcPr>
            <w:tcW w:type="dxa" w:w="1872"/>
            <w:tcMar>
              <w:left w:type="dxa" w:w="80"/>
              <w:right w:type="dxa" w:w="80"/>
            </w:tcMar>
          </w:tcPr>
          <w:p>
            <w:pPr>
              <w:pStyle w:val="Compact"/>
            </w:pPr>
            <w:r>
              <w:rPr>
                <w:sz w:val="19"/>
                <w:szCs w:val="19"/>
                <w:lang w:val="pt-PT"/>
              </w:rPr>
              <w:t xml:space="preserve">Worker (diarização/correlação de voz)</w:t>
            </w:r>
          </w:p>
        </w:tc>
        <w:tc>
          <w:tcPr>
            <w:tcW w:type="dxa" w:w="1872"/>
            <w:tcMar>
              <w:left w:type="dxa" w:w="80"/>
              <w:right w:type="dxa" w:w="80"/>
            </w:tcMar>
          </w:tcPr>
          <w:p>
            <w:pPr>
              <w:pStyle w:val="Compact"/>
            </w:pPr>
            <w:r>
              <w:rPr>
                <w:sz w:val="19"/>
                <w:szCs w:val="19"/>
                <w:lang w:val="pt-PT"/>
              </w:rPr>
              <w:t xml:space="preserve">RAM (RAM), </w:t>
            </w:r>
            <w:r>
              <w:rPr>
                <w:sz w:val="19"/>
                <w:szCs w:val="19"/>
                <w:lang w:val="pt-PT"/>
              </w:rPr>
              <w:t xml:space="preserve"/>
            </w:r>
            <w:r>
              <w:rPr>
                <w:rStyle w:val="VerbatimChar"/>
                <w:sz w:val="19"/>
                <w:szCs w:val="19"/>
                <w:lang w:val="pt-PT"/>
              </w:rPr>
              <w:t xml:space="preserve">tmpfs</w:t>
            </w:r>
            <w:r>
              <w:rPr>
                <w:sz w:val="19"/>
                <w:szCs w:val="19"/>
                <w:lang w:val="pt-PT"/>
              </w:rPr>
              <w:t xml:space="preserve"> </w:t>
            </w:r>
            <w:r>
              <w:rPr>
                <w:sz w:val="19"/>
                <w:szCs w:val="19"/>
                <w:lang w:val="pt-PT"/>
              </w:rPr>
              <w:t xml:space="preserve">quando possível</w:t>
            </w:r>
          </w:p>
        </w:tc>
        <w:tc>
          <w:tcPr>
            <w:tcW w:type="dxa" w:w="1872"/>
            <w:tcMar>
              <w:left w:type="dxa" w:w="80"/>
              <w:right w:type="dxa" w:w="80"/>
            </w:tcMar>
          </w:tcPr>
          <w:p>
            <w:pPr>
              <w:pStyle w:val="Compact"/>
            </w:pPr>
            <w:r>
              <w:rPr>
                <w:sz w:val="19"/>
                <w:szCs w:val="19"/>
                <w:lang w:val="pt-PT"/>
              </w:rPr>
              <w:t xml:space="preserve">- (nunca terceirizado)</w:t>
            </w:r>
          </w:p>
        </w:tc>
        <w:tc>
          <w:tcPr>
            <w:tcW w:type="dxa" w:w="1872"/>
            <w:tcMar>
              <w:left w:type="dxa" w:w="80"/>
              <w:right w:type="dxa" w:w="80"/>
            </w:tcMar>
          </w:tcPr>
          <w:p>
            <w:pPr>
              <w:pStyle w:val="Compact"/>
            </w:pPr>
            <w:r>
              <w:rPr>
                <w:sz w:val="19"/>
                <w:szCs w:val="19"/>
                <w:lang w:val="pt-PT"/>
              </w:rPr>
              <w:t xml:space="preserve">Somente duração da consulta</w:t>
            </w:r>
          </w:p>
        </w:tc>
      </w:tr>
      <w:tr>
        <w:trPr>
          <w:cantSplit/>
        </w:trPr>
        <w:tc>
          <w:tcPr>
            <w:tcW w:type="dxa" w:w="1872"/>
            <w:tcMar>
              <w:left w:type="dxa" w:w="80"/>
              <w:right w:type="dxa" w:w="80"/>
            </w:tcMar>
          </w:tcPr>
          <w:p>
            <w:pPr>
              <w:pStyle w:val="Compact"/>
            </w:pPr>
            <w:r>
              <w:rPr>
                <w:sz w:val="19"/>
                <w:szCs w:val="19"/>
                <w:lang w:val="pt-PT"/>
              </w:rPr>
              <w:t xml:space="preserve">Limpeza</w:t>
            </w:r>
          </w:p>
        </w:tc>
        <w:tc>
          <w:tcPr>
            <w:tcW w:type="dxa" w:w="1872"/>
            <w:tcMar>
              <w:left w:type="dxa" w:w="80"/>
              <w:right w:type="dxa" w:w="80"/>
            </w:tcMar>
          </w:tcPr>
          <w:p>
            <w:pPr>
              <w:pStyle w:val="Compact"/>
            </w:pPr>
            <w:r>
              <w:rPr>
                <w:sz w:val="19"/>
                <w:szCs w:val="19"/>
                <w:lang w:val="pt-PT"/>
              </w:rPr>
              <w:t xml:space="preserve">Destruição no final do tratamento (bloco </w:t>
            </w:r>
            <w:r>
              <w:rPr>
                <w:sz w:val="19"/>
                <w:szCs w:val="19"/>
                <w:lang w:val="pt-PT"/>
              </w:rPr>
              <w:t xml:space="preserve"/>
            </w:r>
            <w:r>
              <w:rPr>
                <w:rStyle w:val="VerbatimChar"/>
                <w:sz w:val="19"/>
                <w:szCs w:val="19"/>
                <w:lang w:val="pt-PT"/>
              </w:rPr>
              <w:t xml:space="preserve">finally</w:t>
            </w: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Destruído; nenhum modelo persistente</w:t>
            </w:r>
          </w:p>
        </w:tc>
      </w:tr>
      <w:tr>
        <w:trPr>
          <w:cantSplit/>
        </w:trPr>
        <w:tc>
          <w:tcPr>
            <w:tcW w:type="dxa" w:w="1872"/>
            <w:tcMar>
              <w:left w:type="dxa" w:w="80"/>
              <w:right w:type="dxa" w:w="80"/>
            </w:tcMar>
          </w:tcPr>
          <w:p>
            <w:pPr>
              <w:pStyle w:val="Compact"/>
            </w:pPr>
            <w:r>
              <w:rPr>
                <w:sz w:val="19"/>
                <w:szCs w:val="19"/>
                <w:lang w:val="pt-PT"/>
              </w:rPr>
              <w:t xml:space="preserve">Ficheiros temporários</w:t>
            </w:r>
          </w:p>
        </w:tc>
        <w:tc>
          <w:tcPr>
            <w:tcW w:type="dxa" w:w="1872"/>
            <w:tcMar>
              <w:left w:type="dxa" w:w="80"/>
              <w:right w:type="dxa" w:w="80"/>
            </w:tcMar>
          </w:tcPr>
          <w:p>
            <w:pPr>
              <w:pStyle w:val="Compact"/>
            </w:pPr>
            <w:r>
              <w:rPr>
                <w:sz w:val="19"/>
                <w:szCs w:val="19"/>
                <w:lang w:val="pt-PT"/>
              </w:rPr>
              <w:t xml:space="preserve">Espaços controlados temporários</w:t>
            </w:r>
          </w:p>
        </w:tc>
        <w:tc>
          <w:tcPr>
            <w:tcW w:type="dxa" w:w="1872"/>
            <w:tcMar>
              <w:left w:type="dxa" w:w="80"/>
              <w:right w:type="dxa" w:w="80"/>
            </w:tcMar>
          </w:tcPr>
          <w:p>
            <w:pPr>
              <w:pStyle w:val="Compact"/>
            </w:pPr>
            <w:r>
              <w:rPr>
                <w:sz w:val="19"/>
                <w:szCs w:val="19"/>
                <w:lang w:val="pt-PT"/>
              </w:rPr>
              <w:t xml:space="preserve">GPU/trabalhador</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Excluído no final do trabalho</w:t>
            </w:r>
          </w:p>
        </w:tc>
      </w:tr>
    </w:tbl>
    <w:p>
      <w:pPr>
        <w:pStyle w:val="BlockText"/>
      </w:pPr>
      <w:r>
        <w:rPr>
          <w:lang w:val="pt-PT"/>
        </w:rPr>
        <w:t xml:space="preserve">Os embeddings de fala </w:t>
      </w:r>
      <w:r>
        <w:rPr>
          <w:lang w:val="pt-PT"/>
        </w:rPr>
        <w:t xml:space="preserve">nunca </w:t>
      </w:r>
      <w:r>
        <w:rPr>
          <w:b/>
          <w:bCs/>
          <w:lang w:val="pt-PT"/>
        </w:rPr>
        <w:t xml:space="preserve">são </w:t>
      </w:r>
      <w:r>
        <w:rPr>
          <w:lang w:val="pt-PT"/>
        </w:rPr>
        <w:t xml:space="preserve"/>
      </w:r>
      <w:r>
        <w:rPr>
          <w:lang w:val="pt-PT"/>
        </w:rPr>
        <w:t xml:space="preserve">mantidos como perfis persistentes, </w:t>
      </w:r>
      <w:r>
        <w:rPr>
          <w:lang w:val="pt-PT"/>
        </w:rPr>
        <w:t xml:space="preserve">nunca </w:t>
      </w:r>
      <w:r>
        <w:rPr>
          <w:b/>
          <w:bCs/>
          <w:lang w:val="pt-PT"/>
        </w:rPr>
        <w:t xml:space="preserve">são </w:t>
      </w:r>
      <w:r>
        <w:rPr>
          <w:lang w:val="pt-PT"/>
        </w:rPr>
        <w:t xml:space="preserve"/>
      </w:r>
      <w:r>
        <w:rPr>
          <w:lang w:val="pt-PT"/>
        </w:rPr>
        <w:t xml:space="preserve">usados para treinar modelos e não saem do ambiente de processamento. Detalhe no documento OHA-RGPD-07.</w:t>
      </w:r>
    </w:p>
    <w:bookmarkEnd w:id="66"/>
    <w:bookmarkStart w:id="67" w:name="Xaae710b518c07f6e514c289b6fa23ddd1b46e32"/>
    <w:p>
      <w:pPr>
        <w:pStyle w:val="Heading3"/>
        <w:keepNext/>
        <w:keepLines/>
      </w:pPr>
      <w:r>
        <w:rPr>
          <w:color w:val="000000"/>
          <w:lang w:val="pt-PT"/>
        </w:rPr>
        <w:t xml:space="preserve">2.6 Logs (logs de auditoria de aplicativos, logs técnicos)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Geração</w:t>
            </w:r>
          </w:p>
        </w:tc>
        <w:tc>
          <w:tcPr>
            <w:tcW w:type="dxa" w:w="1872"/>
            <w:tcMar>
              <w:left w:type="dxa" w:w="80"/>
              <w:right w:type="dxa" w:w="80"/>
            </w:tcMar>
          </w:tcPr>
          <w:p>
            <w:pPr>
              <w:pStyle w:val="Compact"/>
            </w:pPr>
            <w:r>
              <w:rPr>
                <w:sz w:val="19"/>
                <w:szCs w:val="19"/>
                <w:lang w:val="pt-PT"/>
              </w:rPr>
              <w:t xml:space="preserve">Aplicativo (</w:t>
            </w:r>
            <w:r>
              <w:rPr>
                <w:rStyle w:val="VerbatimChar"/>
                <w:sz w:val="19"/>
                <w:szCs w:val="19"/>
                <w:lang w:val="pt-PT"/>
              </w:rPr>
              <w:t xml:space="preserve">activity_logs</w:t>
            </w:r>
            <w:r>
              <w:rPr>
                <w:sz w:val="19"/>
                <w:szCs w:val="19"/>
                <w:lang w:val="pt-PT"/>
              </w:rPr>
              <w:t xml:space="preserve"> </w:t>
            </w:r>
            <w:r>
              <w:rPr>
                <w:sz w:val="19"/>
                <w:szCs w:val="19"/>
                <w:lang w:val="pt-PT"/>
              </w:rPr>
              <w:t xml:space="preserve">por locatário; plataforma </w:t>
            </w:r>
            <w:r>
              <w:rPr>
                <w:sz w:val="19"/>
                <w:szCs w:val="19"/>
                <w:lang w:val="pt-PT"/>
              </w:rPr>
              <w:t xml:space="preserve"/>
            </w:r>
            <w:r>
              <w:rPr>
                <w:rStyle w:val="VerbatimChar"/>
                <w:sz w:val="19"/>
                <w:szCs w:val="19"/>
                <w:lang w:val="pt-PT"/>
              </w:rPr>
              <w:t xml:space="preserve">public.audit_logs</w:t>
            </w:r>
            <w:r>
              <w:rPr>
                <w:sz w:val="19"/>
                <w:szCs w:val="19"/>
                <w:lang w:val="pt-PT"/>
              </w:rPr>
              <w:t xml:space="preserve">)</w:t>
            </w:r>
            <w:r>
              <w:rPr>
                <w:sz w:val="19"/>
                <w:szCs w:val="19"/>
                <w:lang w:val="pt-PT"/>
              </w:rPr>
              <w:t xml:space="preserve"/>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w:t>
            </w:r>
          </w:p>
        </w:tc>
      </w:tr>
      <w:tr>
        <w:trPr>
          <w:cantSplit/>
        </w:trPr>
        <w:tc>
          <w:tcPr>
            <w:tcW w:type="dxa" w:w="1872"/>
            <w:tcMar>
              <w:left w:type="dxa" w:w="80"/>
              <w:right w:type="dxa" w:w="80"/>
            </w:tcMar>
          </w:tcPr>
          <w:p>
            <w:pPr>
              <w:pStyle w:val="Compact"/>
            </w:pPr>
            <w:r>
              <w:rPr>
                <w:sz w:val="19"/>
                <w:szCs w:val="19"/>
                <w:lang w:val="pt-PT"/>
              </w:rPr>
              <w:t xml:space="preserve">Armazenamento</w:t>
            </w:r>
          </w:p>
        </w:tc>
        <w:tc>
          <w:tcPr>
            <w:tcW w:type="dxa" w:w="1872"/>
            <w:tcMar>
              <w:left w:type="dxa" w:w="80"/>
              <w:right w:type="dxa" w:w="80"/>
            </w:tcMar>
          </w:tcPr>
          <w:p>
            <w:pPr>
              <w:pStyle w:val="Compact"/>
            </w:pPr>
            <w:r>
              <w:rPr>
                <w:sz w:val="19"/>
                <w:szCs w:val="19"/>
                <w:lang w:val="pt-PT"/>
              </w:rPr>
              <w:t xml:space="preserve">PostgreSQL</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Em repouso (ver §1)</w:t>
            </w:r>
          </w:p>
        </w:tc>
        <w:tc>
          <w:tcPr>
            <w:tcW w:type="dxa" w:w="1872"/>
            <w:tcMar>
              <w:left w:type="dxa" w:w="80"/>
              <w:right w:type="dxa" w:w="80"/>
            </w:tcMar>
          </w:tcPr>
          <w:p>
            <w:pPr>
              <w:pStyle w:val="Compact"/>
            </w:pPr>
            <w:r>
              <w:rPr>
                <w:sz w:val="19"/>
                <w:szCs w:val="19"/>
                <w:lang w:val="pt-PT"/>
              </w:rPr>
              <w:t xml:space="preserve">Auditoria ≤ 12 meses; técnico ~90 dias</w:t>
            </w:r>
          </w:p>
        </w:tc>
      </w:tr>
      <w:tr>
        <w:trPr>
          <w:cantSplit/>
        </w:trPr>
        <w:tc>
          <w:tcPr>
            <w:tcW w:type="dxa" w:w="1872"/>
            <w:tcMar>
              <w:left w:type="dxa" w:w="80"/>
              <w:right w:type="dxa" w:w="80"/>
            </w:tcMar>
          </w:tcPr>
          <w:p>
            <w:pPr>
              <w:pStyle w:val="Compact"/>
            </w:pPr>
            <w:r>
              <w:rPr>
                <w:sz w:val="19"/>
                <w:szCs w:val="19"/>
                <w:lang w:val="pt-PT"/>
              </w:rPr>
              <w:t xml:space="preserve">Exportar</w:t>
            </w:r>
          </w:p>
        </w:tc>
        <w:tc>
          <w:tcPr>
            <w:tcW w:type="dxa" w:w="1872"/>
            <w:tcMar>
              <w:left w:type="dxa" w:w="80"/>
              <w:right w:type="dxa" w:w="80"/>
            </w:tcMar>
          </w:tcPr>
          <w:p>
            <w:pPr>
              <w:pStyle w:val="Compact"/>
            </w:pPr>
            <w:r>
              <w:rPr>
                <w:sz w:val="19"/>
                <w:szCs w:val="19"/>
                <w:lang w:val="pt-PT"/>
              </w:rPr>
              <w:t xml:space="preserve">CSV/JSON mediante solicitação</w:t>
            </w:r>
          </w:p>
        </w:tc>
        <w:tc>
          <w:tcPr>
            <w:tcW w:type="dxa" w:w="1872"/>
            <w:tcMar>
              <w:left w:type="dxa" w:w="80"/>
              <w:right w:type="dxa" w:w="80"/>
            </w:tcMar>
          </w:tcPr>
          <w:p>
            <w:pPr>
              <w:pStyle w:val="Compact"/>
            </w:pPr>
            <w:r>
              <w:rPr>
                <w:sz w:val="19"/>
                <w:szCs w:val="19"/>
                <w:lang w:val="pt-PT"/>
              </w:rPr>
              <w:t xml:space="preserve">Infraestrutura de servidor/cliente de produção</w:t>
            </w:r>
          </w:p>
        </w:tc>
        <w:tc>
          <w:tcPr>
            <w:tcW w:type="dxa" w:w="1872"/>
            <w:tcMar>
              <w:left w:type="dxa" w:w="80"/>
              <w:right w:type="dxa" w:w="80"/>
            </w:tcMar>
          </w:tcPr>
          <w:p>
            <w:pPr>
              <w:pStyle w:val="Compact"/>
            </w:pPr>
            <w:r>
              <w:rPr>
                <w:sz w:val="19"/>
                <w:szCs w:val="19"/>
                <w:lang w:val="pt-PT"/>
              </w:rPr>
              <w:t xml:space="preserve">TLS</w:t>
            </w:r>
          </w:p>
        </w:tc>
        <w:tc>
          <w:tcPr>
            <w:tcW w:type="dxa" w:w="1872"/>
            <w:tcMar>
              <w:left w:type="dxa" w:w="80"/>
              <w:right w:type="dxa" w:w="80"/>
            </w:tcMar>
          </w:tcPr>
          <w:p>
            <w:pPr>
              <w:pStyle w:val="Compact"/>
            </w:pPr>
            <w:r>
              <w:rPr>
                <w:sz w:val="19"/>
                <w:szCs w:val="19"/>
                <w:lang w:val="pt-PT"/>
              </w:rPr>
              <w:t xml:space="preserve">Sob demanda</w:t>
            </w:r>
          </w:p>
        </w:tc>
      </w:tr>
    </w:tbl>
    <w:p>
      <w:pPr>
        <w:pStyle w:val="BlockText"/>
      </w:pPr>
      <w:r>
        <w:rPr>
          <w:lang w:val="pt-PT"/>
        </w:rPr>
        <w:t xml:space="preserve">Os logs não contêm incorporações de voz persistentes; os traços relacionados à correlação de voz são reduzidos às informações técnicas necessárias.</w:t>
      </w:r>
    </w:p>
    <w:bookmarkEnd w:id="67"/>
    <w:bookmarkStart w:id="68" w:name="Xfaf7cc6e7748c9667d39039c6e4f994cae43f5a"/>
    <w:p>
      <w:pPr>
        <w:pStyle w:val="Heading3"/>
        <w:keepNext/>
        <w:keepLines/>
      </w:pPr>
      <w:r>
        <w:rPr>
          <w:color w:val="000000"/>
          <w:lang w:val="pt-PT"/>
        </w:rPr>
        <w:t xml:space="preserve">2.7 Backups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Passo</w:t>
            </w:r>
          </w:p>
        </w:tc>
        <w:tc>
          <w:tcPr>
            <w:tcW w:type="dxa" w:w="1872"/>
            <w:tcMar>
              <w:left w:type="dxa" w:w="80"/>
              <w:right w:type="dxa" w:w="80"/>
            </w:tcMar>
          </w:tcPr>
          <w:p>
            <w:pPr>
              <w:pStyle w:val="Compact"/>
            </w:pPr>
            <w:r>
              <w:rPr>
                <w:sz w:val="19"/>
                <w:szCs w:val="19"/>
                <w:lang w:val="pt-PT"/>
              </w:rPr>
              <w:t xml:space="preserve">Ator/componente</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Cifragem</w:t>
            </w:r>
          </w:p>
        </w:tc>
        <w:tc>
          <w:tcPr>
            <w:tcW w:type="dxa" w:w="1872"/>
            <w:tcMar>
              <w:left w:type="dxa" w:w="80"/>
              <w:right w:type="dxa" w:w="80"/>
            </w:tcMar>
          </w:tcPr>
          <w:p>
            <w:pPr>
              <w:pStyle w:val="Compact"/>
            </w:pPr>
            <w:r>
              <w:rPr>
                <w:sz w:val="19"/>
                <w:szCs w:val="19"/>
                <w:lang w:val="pt-PT"/>
              </w:rPr>
              <w:t xml:space="preserve">Duração nesta etapa</w:t>
            </w:r>
          </w:p>
        </w:tc>
      </w:tr>
      <w:tr>
        <w:trPr>
          <w:cantSplit/>
        </w:trPr>
        <w:tc>
          <w:tcPr>
            <w:tcW w:type="dxa" w:w="1872"/>
            <w:tcMar>
              <w:left w:type="dxa" w:w="80"/>
              <w:right w:type="dxa" w:w="80"/>
            </w:tcMar>
          </w:tcPr>
          <w:p>
            <w:pPr>
              <w:pStyle w:val="Compact"/>
            </w:pPr>
            <w:r>
              <w:rPr>
                <w:sz w:val="19"/>
                <w:szCs w:val="19"/>
                <w:lang w:val="pt-PT"/>
              </w:rPr>
              <w:t xml:space="preserve">Constituição</w:t>
            </w:r>
          </w:p>
        </w:tc>
        <w:tc>
          <w:tcPr>
            <w:tcW w:type="dxa" w:w="1872"/>
            <w:tcMar>
              <w:left w:type="dxa" w:w="80"/>
              <w:right w:type="dxa" w:w="80"/>
            </w:tcMar>
          </w:tcPr>
          <w:p>
            <w:pPr>
              <w:pStyle w:val="Compact"/>
            </w:pPr>
            <w:r>
              <w:rPr>
                <w:sz w:val="19"/>
                <w:szCs w:val="19"/>
                <w:lang w:val="pt-PT"/>
              </w:rPr>
              <w:t xml:space="preserve">Script de backup diário</w:t>
            </w:r>
          </w:p>
        </w:tc>
        <w:tc>
          <w:tcPr>
            <w:tcW w:type="dxa" w:w="1872"/>
            <w:tcMar>
              <w:left w:type="dxa" w:w="80"/>
              <w:right w:type="dxa" w:w="80"/>
            </w:tcMar>
          </w:tcPr>
          <w:p>
            <w:pPr>
              <w:pStyle w:val="Compact"/>
            </w:pPr>
            <w:r>
              <w:rPr>
                <w:sz w:val="19"/>
                <w:szCs w:val="19"/>
                <w:lang w:val="pt-PT"/>
              </w:rPr>
              <w:t xml:space="preserve">Servidor de produção (opção A)</w:t>
            </w:r>
          </w:p>
        </w:tc>
        <w:tc>
          <w:tcPr>
            <w:tcW w:type="dxa" w:w="1872"/>
            <w:tcMar>
              <w:left w:type="dxa" w:w="80"/>
              <w:right w:type="dxa" w:w="80"/>
            </w:tcMar>
          </w:tcPr>
          <w:p>
            <w:pPr>
              <w:pStyle w:val="Compact"/>
            </w:pPr>
            <w:r>
              <w:rPr>
                <w:sz w:val="19"/>
                <w:szCs w:val="19"/>
                <w:lang w:val="pt-PT"/>
              </w:rPr>
              <w:t xml:space="preserve">Cifrado com age </w:t>
            </w:r>
            <w:r>
              <w:rPr>
                <w:sz w:val="19"/>
                <w:szCs w:val="19"/>
                <w:lang w:val="pt-PT"/>
              </w:rPr>
              <w:t xml:space="preserve"/>
            </w:r>
            <w:r>
              <w:rPr>
                <w:b/>
                <w:bCs/>
                <w:sz w:val="19"/>
                <w:szCs w:val="19"/>
                <w:lang w:val="pt-PT"/>
              </w:rPr>
              <w:t xml:space="preserve">antes </w:t>
            </w:r>
            <w:r>
              <w:rPr>
                <w:sz w:val="19"/>
                <w:szCs w:val="19"/>
                <w:lang w:val="pt-PT"/>
              </w:rPr>
              <w:t xml:space="preserve">de </w:t>
            </w:r>
            <w:r>
              <w:rPr>
                <w:sz w:val="19"/>
                <w:szCs w:val="19"/>
                <w:lang w:val="pt-PT"/>
              </w:rPr>
              <w:t xml:space="preserve">sair do servidor</w:t>
            </w:r>
          </w:p>
        </w:tc>
        <w:tc>
          <w:tcPr>
            <w:tcW w:type="dxa" w:w="1872"/>
            <w:tcMar>
              <w:left w:type="dxa" w:w="80"/>
              <w:right w:type="dxa" w:w="80"/>
            </w:tcMar>
          </w:tcPr>
          <w:p>
            <w:pPr>
              <w:pStyle w:val="Compact"/>
            </w:pPr>
            <w:r>
              <w:rPr>
                <w:sz w:val="19"/>
                <w:szCs w:val="19"/>
                <w:lang w:val="pt-PT"/>
              </w:rPr>
              <w:t xml:space="preserve">—</w:t>
            </w:r>
          </w:p>
        </w:tc>
      </w:tr>
      <w:tr>
        <w:trPr>
          <w:cantSplit/>
        </w:trPr>
        <w:tc>
          <w:tcPr>
            <w:tcW w:type="dxa" w:w="1872"/>
            <w:tcMar>
              <w:left w:type="dxa" w:w="80"/>
              <w:right w:type="dxa" w:w="80"/>
            </w:tcMar>
          </w:tcPr>
          <w:p>
            <w:pPr>
              <w:pStyle w:val="Compact"/>
            </w:pPr>
            <w:r>
              <w:rPr>
                <w:sz w:val="19"/>
                <w:szCs w:val="19"/>
                <w:lang w:val="pt-PT"/>
              </w:rPr>
              <w:t xml:space="preserve">Terceirização</w:t>
            </w:r>
          </w:p>
        </w:tc>
        <w:tc>
          <w:tcPr>
            <w:tcW w:type="dxa" w:w="1872"/>
            <w:tcMar>
              <w:left w:type="dxa" w:w="80"/>
              <w:right w:type="dxa" w:w="80"/>
            </w:tcMar>
          </w:tcPr>
          <w:p>
            <w:pPr>
              <w:pStyle w:val="Compact"/>
            </w:pPr>
            <w:r>
              <w:rPr>
                <w:sz w:val="19"/>
                <w:szCs w:val="19"/>
                <w:lang w:val="pt-PT"/>
              </w:rPr>
              <w:t xml:space="preserve">rclone</w:t>
            </w:r>
          </w:p>
        </w:tc>
        <w:tc>
          <w:tcPr>
            <w:tcW w:type="dxa" w:w="1872"/>
            <w:tcMar>
              <w:left w:type="dxa" w:w="80"/>
              <w:right w:type="dxa" w:w="80"/>
            </w:tcMar>
          </w:tcPr>
          <w:p>
            <w:pPr>
              <w:pStyle w:val="Compact"/>
            </w:pPr>
            <w:r>
              <w:rPr>
                <w:sz w:val="19"/>
                <w:szCs w:val="19"/>
                <w:lang w:val="pt-PT"/>
              </w:rPr>
              <w:t xml:space="preserve">Scaleway (França, UE)</w:t>
            </w:r>
          </w:p>
        </w:tc>
        <w:tc>
          <w:tcPr>
            <w:tcW w:type="dxa" w:w="1872"/>
            <w:tcMar>
              <w:left w:type="dxa" w:w="80"/>
              <w:right w:type="dxa" w:w="80"/>
            </w:tcMar>
          </w:tcPr>
          <w:p>
            <w:pPr>
              <w:pStyle w:val="Compact"/>
            </w:pPr>
            <w:r>
              <w:rPr>
                <w:sz w:val="19"/>
                <w:szCs w:val="19"/>
                <w:lang w:val="pt-PT"/>
              </w:rPr>
              <w:t xml:space="preserve">age (chaves detidas por OHADJA, na UE)</w:t>
            </w:r>
          </w:p>
        </w:tc>
        <w:tc>
          <w:tcPr>
            <w:tcW w:type="dxa" w:w="1872"/>
            <w:tcMar>
              <w:left w:type="dxa" w:w="80"/>
              <w:right w:type="dxa" w:w="80"/>
            </w:tcMar>
          </w:tcPr>
          <w:p>
            <w:pPr>
              <w:pStyle w:val="Compact"/>
            </w:pPr>
            <w:r>
              <w:rPr>
                <w:sz w:val="19"/>
                <w:szCs w:val="19"/>
                <w:lang w:val="pt-PT"/>
              </w:rPr>
              <w:t xml:space="preserve">≤ 90 dias completos/30 dias por organização</w:t>
            </w:r>
          </w:p>
        </w:tc>
      </w:tr>
      <w:tr>
        <w:trPr>
          <w:cantSplit/>
        </w:trPr>
        <w:tc>
          <w:tcPr>
            <w:tcW w:type="dxa" w:w="1872"/>
            <w:tcMar>
              <w:left w:type="dxa" w:w="80"/>
              <w:right w:type="dxa" w:w="80"/>
            </w:tcMar>
          </w:tcPr>
          <w:p>
            <w:pPr>
              <w:pStyle w:val="Compact"/>
            </w:pPr>
            <w:r>
              <w:rPr>
                <w:sz w:val="19"/>
                <w:szCs w:val="19"/>
                <w:lang w:val="pt-PT"/>
              </w:rPr>
              <w:t xml:space="preserve">Restauração</w:t>
            </w:r>
          </w:p>
        </w:tc>
        <w:tc>
          <w:tcPr>
            <w:tcW w:type="dxa" w:w="1872"/>
            <w:tcMar>
              <w:left w:type="dxa" w:w="80"/>
              <w:right w:type="dxa" w:w="80"/>
            </w:tcMar>
          </w:tcPr>
          <w:p>
            <w:pPr>
              <w:pStyle w:val="Compact"/>
            </w:pPr>
            <w:r>
              <w:rPr>
                <w:sz w:val="19"/>
                <w:szCs w:val="19"/>
                <w:lang w:val="pt-PT"/>
              </w:rPr>
              <w:t xml:space="preserve">Instantâneo de pré-segurança, recuperação granular por organização</w:t>
            </w:r>
          </w:p>
        </w:tc>
        <w:tc>
          <w:tcPr>
            <w:tcW w:type="dxa" w:w="1872"/>
            <w:tcMar>
              <w:left w:type="dxa" w:w="80"/>
              <w:right w:type="dxa" w:w="80"/>
            </w:tcMar>
          </w:tcPr>
          <w:p>
            <w:pPr>
              <w:pStyle w:val="Compact"/>
            </w:pPr>
            <w:r>
              <w:rPr>
                <w:sz w:val="19"/>
                <w:szCs w:val="19"/>
                <w:lang w:val="pt-PT"/>
              </w:rPr>
              <w:t xml:space="preserve">Servidor de produção</w:t>
            </w:r>
          </w:p>
        </w:tc>
        <w:tc>
          <w:tcPr>
            <w:tcW w:type="dxa" w:w="1872"/>
            <w:tcMar>
              <w:left w:type="dxa" w:w="80"/>
              <w:right w:type="dxa" w:w="80"/>
            </w:tcMar>
          </w:tcPr>
          <w:p>
            <w:pPr>
              <w:pStyle w:val="Compact"/>
            </w:pPr>
            <w:r>
              <w:rPr>
                <w:sz w:val="19"/>
                <w:szCs w:val="19"/>
                <w:lang w:val="pt-PT"/>
              </w:rPr>
              <w:t xml:space="preserve">age</w:t>
            </w:r>
          </w:p>
        </w:tc>
        <w:tc>
          <w:tcPr>
            <w:tcW w:type="dxa" w:w="1872"/>
            <w:tcMar>
              <w:left w:type="dxa" w:w="80"/>
              <w:right w:type="dxa" w:w="80"/>
            </w:tcMar>
          </w:tcPr>
          <w:p>
            <w:pPr>
              <w:pStyle w:val="Compact"/>
            </w:pPr>
            <w:r>
              <w:rPr>
                <w:sz w:val="19"/>
                <w:szCs w:val="19"/>
                <w:lang w:val="pt-PT"/>
              </w:rPr>
              <w:t xml:space="preserve">24h RPO / 4h RTO (objetivos)</w:t>
            </w:r>
          </w:p>
        </w:tc>
      </w:tr>
    </w:tbl>
    <w:p>
      <w:pPr>
        <w:pStyle w:val="BlockText"/>
      </w:pPr>
      <w:r>
        <w:rPr>
          <w:lang w:val="pt-PT"/>
        </w:rPr>
        <w:t xml:space="preserve">Na </w:t>
      </w:r>
      <w:r>
        <w:rPr>
          <w:lang w:val="pt-PT"/>
        </w:rPr>
        <w:t xml:space="preserve"/>
      </w:r>
      <w:r>
        <w:rPr>
          <w:b/>
          <w:bCs/>
          <w:lang w:val="pt-PT"/>
        </w:rPr>
        <w:t xml:space="preserve">Opção B, </w:t>
      </w:r>
      <w:r>
        <w:rPr>
          <w:lang w:val="pt-PT"/>
        </w:rPr>
        <w:t xml:space="preserve">os backups fazem parte da infraestrutura do Cliente (salvo missão confiada a OHADJA).</w:t>
      </w:r>
    </w:p>
    <w:bookmarkEnd w:id="68"/>
    <w:bookmarkEnd w:id="69"/>
    <w:bookmarkStart w:id="72" w:name="X6e2315e5940ab18972c59a7762a6a5d0278e4dc"/>
    <w:p>
      <w:pPr>
        <w:pStyle w:val="Heading2"/>
        <w:keepNext/>
        <w:keepLines/>
      </w:pPr>
      <w:r>
        <w:rPr>
          <w:color w:val="000000"/>
          <w:lang w:val="pt-PT"/>
        </w:rPr>
        <w:t xml:space="preserve">3. Acesso humano e técnico</w:t>
      </w:r>
    </w:p>
    <w:bookmarkStart w:id="70" w:name="X41980a5c9b489c761337874c0d6746a45d0b2fd"/>
    <w:p>
      <w:pPr>
        <w:pStyle w:val="Heading3"/>
        <w:keepNext/>
        <w:keepLines/>
      </w:pPr>
      <w:r>
        <w:rPr>
          <w:color w:val="000000"/>
          <w:lang w:val="pt-PT"/>
        </w:rPr>
        <w:t xml:space="preserve">3.1 Tabela de acesso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Ator/entidade</w:t>
            </w:r>
          </w:p>
        </w:tc>
        <w:tc>
          <w:tcPr>
            <w:tcW w:type="dxa" w:w="1872"/>
            <w:tcMar>
              <w:left w:type="dxa" w:w="80"/>
              <w:right w:type="dxa" w:w="80"/>
            </w:tcMar>
          </w:tcPr>
          <w:p>
            <w:pPr>
              <w:pStyle w:val="Compact"/>
            </w:pPr>
            <w:r>
              <w:rPr>
                <w:sz w:val="19"/>
                <w:szCs w:val="19"/>
                <w:lang w:val="pt-PT"/>
              </w:rPr>
              <w:t xml:space="preserve">Natureza do acesso</w:t>
            </w:r>
          </w:p>
        </w:tc>
        <w:tc>
          <w:tcPr>
            <w:tcW w:type="dxa" w:w="1872"/>
            <w:tcMar>
              <w:left w:type="dxa" w:w="80"/>
              <w:right w:type="dxa" w:w="80"/>
            </w:tcMar>
          </w:tcPr>
          <w:p>
            <w:pPr>
              <w:pStyle w:val="Compact"/>
            </w:pPr>
            <w:r>
              <w:rPr>
                <w:sz w:val="19"/>
                <w:szCs w:val="19"/>
                <w:lang w:val="pt-PT"/>
              </w:rPr>
              <w:t xml:space="preserve">De onde</w:t>
            </w:r>
          </w:p>
        </w:tc>
        <w:tc>
          <w:tcPr>
            <w:tcW w:type="dxa" w:w="1872"/>
            <w:tcMar>
              <w:left w:type="dxa" w:w="80"/>
              <w:right w:type="dxa" w:w="80"/>
            </w:tcMar>
          </w:tcPr>
          <w:p>
            <w:pPr>
              <w:pStyle w:val="Compact"/>
            </w:pPr>
            <w:r>
              <w:rPr>
                <w:sz w:val="19"/>
                <w:szCs w:val="19"/>
                <w:lang w:val="pt-PT"/>
              </w:rPr>
              <w:t xml:space="preserve">Enquadramento</w:t>
            </w:r>
          </w:p>
        </w:tc>
        <w:tc>
          <w:tcPr>
            <w:tcW w:type="dxa" w:w="1872"/>
            <w:tcMar>
              <w:left w:type="dxa" w:w="80"/>
              <w:right w:type="dxa" w:w="80"/>
            </w:tcMar>
          </w:tcPr>
          <w:p>
            <w:pPr>
              <w:pStyle w:val="Compact"/>
            </w:pPr>
            <w:r>
              <w:rPr>
                <w:sz w:val="19"/>
                <w:szCs w:val="19"/>
                <w:lang w:val="pt-PT"/>
              </w:rPr>
              <w:t xml:space="preserve">Acesso ao conteúdo?</w:t>
            </w:r>
          </w:p>
        </w:tc>
      </w:tr>
      <w:tr>
        <w:trPr>
          <w:cantSplit/>
        </w:trPr>
        <w:tc>
          <w:tcPr>
            <w:tcW w:type="dxa" w:w="1872"/>
            <w:tcMar>
              <w:left w:type="dxa" w:w="80"/>
              <w:right w:type="dxa" w:w="80"/>
            </w:tcMar>
          </w:tcPr>
          <w:p>
            <w:pPr>
              <w:pStyle w:val="Compact"/>
            </w:pPr>
            <w:r>
              <w:rPr>
                <w:b/>
                <w:bCs/>
                <w:sz w:val="19"/>
                <w:szCs w:val="19"/>
                <w:lang w:val="pt-PT"/>
              </w:rPr>
              <w:t xml:space="preserve">Equipa OHADJA</w:t>
            </w:r>
          </w:p>
        </w:tc>
        <w:tc>
          <w:tcPr>
            <w:tcW w:type="dxa" w:w="1872"/>
            <w:tcMar>
              <w:left w:type="dxa" w:w="80"/>
              <w:right w:type="dxa" w:w="80"/>
            </w:tcMar>
          </w:tcPr>
          <w:p>
            <w:pPr>
              <w:pStyle w:val="Compact"/>
            </w:pPr>
            <w:r>
              <w:rPr>
                <w:sz w:val="19"/>
                <w:szCs w:val="19"/>
                <w:lang w:val="pt-PT"/>
              </w:rPr>
              <w:t xml:space="preserve">Operação, suporte, segurança</w:t>
            </w:r>
          </w:p>
        </w:tc>
        <w:tc>
          <w:tcPr>
            <w:tcW w:type="dxa" w:w="1872"/>
            <w:tcMar>
              <w:left w:type="dxa" w:w="80"/>
              <w:right w:type="dxa" w:w="80"/>
            </w:tcMar>
          </w:tcPr>
          <w:p>
            <w:pPr>
              <w:pStyle w:val="Compact"/>
            </w:pPr>
            <w:r>
              <w:rPr>
                <w:b/>
                <w:bCs/>
                <w:sz w:val="19"/>
                <w:szCs w:val="19"/>
                <w:lang w:val="pt-PT"/>
              </w:rPr>
              <w:t xml:space="preserve">França/UE </w:t>
            </w:r>
            <w:r>
              <w:rPr>
                <w:sz w:val="19"/>
                <w:szCs w:val="19"/>
                <w:lang w:val="pt-PT"/>
              </w:rPr>
              <w:t xml:space="preserve"/>
            </w:r>
            <w:r>
              <w:rPr>
                <w:sz w:val="19"/>
                <w:szCs w:val="19"/>
                <w:lang w:val="pt-PT"/>
              </w:rPr>
              <w:t xml:space="preserve">(compromisso de acesso exclusivamente França/UE)</w:t>
            </w:r>
          </w:p>
        </w:tc>
        <w:tc>
          <w:tcPr>
            <w:tcW w:type="dxa" w:w="1872"/>
            <w:tcMar>
              <w:left w:type="dxa" w:w="80"/>
              <w:right w:type="dxa" w:w="80"/>
            </w:tcMar>
          </w:tcPr>
          <w:p>
            <w:pPr>
              <w:pStyle w:val="Compact"/>
            </w:pPr>
            <w:r>
              <w:rPr>
                <w:sz w:val="19"/>
                <w:szCs w:val="19"/>
                <w:lang w:val="pt-PT"/>
              </w:rPr>
              <w:t xml:space="preserve">Personalizado, chave SSH, 2FA TOTP, TLS, registado em </w:t>
            </w:r>
            <w:r>
              <w:rPr>
                <w:sz w:val="19"/>
                <w:szCs w:val="19"/>
                <w:lang w:val="pt-PT"/>
              </w:rPr>
              <w:t xml:space="preserve"/>
            </w:r>
            <w:r>
              <w:rPr>
                <w:b/>
                <w:bCs/>
                <w:sz w:val="19"/>
                <w:szCs w:val="19"/>
                <w:lang w:val="pt-PT"/>
              </w:rPr>
              <w:t xml:space="preserve">diário, sem cópia local</w:t>
            </w:r>
          </w:p>
        </w:tc>
        <w:tc>
          <w:tcPr>
            <w:tcW w:type="dxa" w:w="1872"/>
            <w:tcMar>
              <w:left w:type="dxa" w:w="80"/>
              <w:right w:type="dxa" w:w="80"/>
            </w:tcMar>
          </w:tcPr>
          <w:p>
            <w:pPr>
              <w:pStyle w:val="Compact"/>
            </w:pPr>
            <w:r>
              <w:rPr>
                <w:sz w:val="19"/>
                <w:szCs w:val="19"/>
                <w:lang w:val="pt-PT"/>
              </w:rPr>
              <w:t xml:space="preserve">Sim, com base na necessidade de saber</w:t>
            </w:r>
          </w:p>
        </w:tc>
      </w:tr>
      <w:tr>
        <w:trPr>
          <w:cantSplit/>
        </w:trPr>
        <w:tc>
          <w:tcPr>
            <w:tcW w:type="dxa" w:w="1872"/>
            <w:tcMar>
              <w:left w:type="dxa" w:w="80"/>
              <w:right w:type="dxa" w:w="80"/>
            </w:tcMar>
          </w:tcPr>
          <w:p>
            <w:pPr>
              <w:pStyle w:val="Compact"/>
            </w:pPr>
            <w:r>
              <w:rPr>
                <w:b/>
                <w:bCs/>
                <w:sz w:val="19"/>
                <w:szCs w:val="19"/>
                <w:lang w:val="pt-PT"/>
              </w:rPr>
              <w:t xml:space="preserve">AMBASSADIA SARL </w:t>
            </w:r>
            <w:r>
              <w:rPr>
                <w:sz w:val="19"/>
                <w:szCs w:val="19"/>
                <w:lang w:val="pt-PT"/>
              </w:rPr>
              <w:t xml:space="preserve"/>
            </w:r>
            <w:r>
              <w:rPr>
                <w:sz w:val="19"/>
                <w:szCs w:val="19"/>
                <w:lang w:val="pt-PT"/>
              </w:rPr>
              <w:t xml:space="preserve">(revendedor)</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Sem acesso à produção (função comercial de revendedor)</w:t>
            </w:r>
          </w:p>
        </w:tc>
        <w:tc>
          <w:tcPr>
            <w:tcW w:type="dxa" w:w="1872"/>
            <w:tcMar>
              <w:left w:type="dxa" w:w="80"/>
              <w:right w:type="dxa" w:w="80"/>
            </w:tcMar>
          </w:tcPr>
          <w:p>
            <w:pPr>
              <w:pStyle w:val="Compact"/>
            </w:pPr>
            <w:r>
              <w:rPr>
                <w:b/>
                <w:bCs/>
                <w:sz w:val="19"/>
                <w:szCs w:val="19"/>
                <w:lang w:val="pt-PT"/>
              </w:rPr>
              <w:t xml:space="preserve">Não</w:t>
            </w:r>
          </w:p>
        </w:tc>
      </w:tr>
      <w:tr>
        <w:trPr>
          <w:cantSplit/>
        </w:trPr>
        <w:tc>
          <w:tcPr>
            <w:tcW w:type="dxa" w:w="1872"/>
            <w:tcMar>
              <w:left w:type="dxa" w:w="80"/>
              <w:right w:type="dxa" w:w="80"/>
            </w:tcMar>
          </w:tcPr>
          <w:p>
            <w:pPr>
              <w:pStyle w:val="Compact"/>
            </w:pPr>
            <w:r>
              <w:rPr>
                <w:b/>
                <w:bCs/>
                <w:sz w:val="19"/>
                <w:szCs w:val="19"/>
                <w:lang w:val="pt-PT"/>
              </w:rPr>
              <w:t xml:space="preserve">seu integrador/revendedor</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Sem acesso à produção; função de administrador apenas no </w:t>
            </w:r>
            <w:r>
              <w:rPr>
                <w:sz w:val="19"/>
                <w:szCs w:val="19"/>
                <w:lang w:val="pt-PT"/>
              </w:rPr>
              <w:t xml:space="preserve"/>
            </w:r>
            <w:r>
              <w:rPr>
                <w:b/>
                <w:bCs/>
                <w:sz w:val="19"/>
                <w:szCs w:val="19"/>
                <w:lang w:val="pt-PT"/>
              </w:rPr>
              <w:t xml:space="preserve">ambiente de </w:t>
            </w:r>
            <w:r>
              <w:rPr>
                <w:sz w:val="19"/>
                <w:szCs w:val="19"/>
                <w:lang w:val="pt-PT"/>
              </w:rPr>
              <w:t xml:space="preserve"/>
            </w:r>
            <w:r>
              <w:rPr>
                <w:sz w:val="19"/>
                <w:szCs w:val="19"/>
                <w:lang w:val="pt-PT"/>
              </w:rPr>
              <w:t xml:space="preserve">demonstração</w:t>
            </w:r>
          </w:p>
        </w:tc>
        <w:tc>
          <w:tcPr>
            <w:tcW w:type="dxa" w:w="1872"/>
            <w:tcMar>
              <w:left w:type="dxa" w:w="80"/>
              <w:right w:type="dxa" w:w="80"/>
            </w:tcMar>
          </w:tcPr>
          <w:p>
            <w:pPr>
              <w:pStyle w:val="Compact"/>
            </w:pPr>
            <w:r>
              <w:rPr>
                <w:b/>
                <w:bCs/>
                <w:sz w:val="19"/>
                <w:szCs w:val="19"/>
                <w:lang w:val="pt-PT"/>
              </w:rPr>
              <w:t xml:space="preserve">Não </w:t>
            </w:r>
            <w:r>
              <w:rPr>
                <w:sz w:val="19"/>
                <w:szCs w:val="19"/>
                <w:lang w:val="pt-PT"/>
              </w:rPr>
              <w:t xml:space="preserve"/>
            </w:r>
            <w:r>
              <w:rPr>
                <w:sz w:val="19"/>
                <w:szCs w:val="19"/>
                <w:lang w:val="pt-PT"/>
              </w:rPr>
              <w:t xml:space="preserve">(sem áudio ou transcrições)</w:t>
            </w:r>
          </w:p>
        </w:tc>
      </w:tr>
      <w:tr>
        <w:trPr>
          <w:cantSplit/>
        </w:trPr>
        <w:tc>
          <w:tcPr>
            <w:tcW w:type="dxa" w:w="1872"/>
            <w:tcMar>
              <w:left w:type="dxa" w:w="80"/>
              <w:right w:type="dxa" w:w="80"/>
            </w:tcMar>
          </w:tcPr>
          <w:p>
            <w:pPr>
              <w:pStyle w:val="Compact"/>
            </w:pPr>
            <w:r>
              <w:rPr>
                <w:b/>
                <w:bCs/>
                <w:sz w:val="19"/>
                <w:szCs w:val="19"/>
                <w:lang w:val="pt-PT"/>
              </w:rPr>
              <w:t xml:space="preserve">AI — canal primário </w:t>
            </w:r>
            <w:r>
              <w:rPr>
                <w:sz w:val="19"/>
                <w:szCs w:val="19"/>
                <w:lang w:val="pt-PT"/>
              </w:rPr>
              <w:t xml:space="preserve"/>
            </w:r>
            <w:r>
              <w:rPr>
                <w:sz w:val="19"/>
                <w:szCs w:val="19"/>
                <w:lang w:val="pt-PT"/>
              </w:rPr>
              <w:t xml:space="preserve">(servidores vLLM controlados)</w:t>
            </w:r>
          </w:p>
        </w:tc>
        <w:tc>
          <w:tcPr>
            <w:tcW w:type="dxa" w:w="1872"/>
            <w:tcMar>
              <w:left w:type="dxa" w:w="80"/>
              <w:right w:type="dxa" w:w="80"/>
            </w:tcMar>
          </w:tcPr>
          <w:p>
            <w:pPr>
              <w:pStyle w:val="Compact"/>
            </w:pPr>
            <w:r>
              <w:rPr>
                <w:sz w:val="19"/>
                <w:szCs w:val="19"/>
                <w:lang w:val="pt-PT"/>
              </w:rPr>
              <w:t xml:space="preserve">Processamento </w:t>
            </w:r>
            <w:r>
              <w:rPr>
                <w:sz w:val="19"/>
                <w:szCs w:val="19"/>
                <w:lang w:val="pt-PT"/>
              </w:rPr>
              <w:t xml:space="preserve"/>
            </w:r>
            <w:r>
              <w:rPr>
                <w:b/>
                <w:bCs/>
                <w:sz w:val="19"/>
                <w:szCs w:val="19"/>
                <w:lang w:val="pt-PT"/>
              </w:rPr>
              <w:t xml:space="preserve">automatizado </w:t>
            </w:r>
            <w:r>
              <w:rPr>
                <w:sz w:val="19"/>
                <w:szCs w:val="19"/>
                <w:lang w:val="pt-PT"/>
              </w:rPr>
              <w:t xml:space="preserve"/>
            </w:r>
            <w:r>
              <w:rPr>
                <w:sz w:val="19"/>
                <w:szCs w:val="19"/>
                <w:lang w:val="pt-PT"/>
              </w:rPr>
              <w:t xml:space="preserve">em servidores controlados por OHADJA</w:t>
            </w:r>
          </w:p>
        </w:tc>
        <w:tc>
          <w:tcPr>
            <w:tcW w:type="dxa" w:w="1872"/>
            <w:tcMar>
              <w:left w:type="dxa" w:w="80"/>
              <w:right w:type="dxa" w:w="80"/>
            </w:tcMar>
          </w:tcPr>
          <w:p>
            <w:pPr>
              <w:pStyle w:val="Compact"/>
            </w:pPr>
            <w:r>
              <w:rPr>
                <w:b/>
                <w:bCs/>
                <w:sz w:val="19"/>
                <w:szCs w:val="19"/>
                <w:lang w:val="pt-PT"/>
              </w:rPr>
              <w:t xml:space="preserve">UE — Estrasburgo/Paris</w:t>
            </w:r>
          </w:p>
        </w:tc>
        <w:tc>
          <w:tcPr>
            <w:tcW w:type="dxa" w:w="1872"/>
            <w:tcMar>
              <w:left w:type="dxa" w:w="80"/>
              <w:right w:type="dxa" w:w="80"/>
            </w:tcMar>
          </w:tcPr>
          <w:p>
            <w:pPr>
              <w:pStyle w:val="Compact"/>
            </w:pPr>
            <w:r>
              <w:rPr>
                <w:sz w:val="19"/>
                <w:szCs w:val="19"/>
                <w:lang w:val="pt-PT"/>
              </w:rPr>
              <w:t xml:space="preserve">Modelos de peso aberto, sem terceiros, sem treino («no-train»)</w:t>
            </w:r>
          </w:p>
        </w:tc>
        <w:tc>
          <w:tcPr>
            <w:tcW w:type="dxa" w:w="1872"/>
            <w:tcMar>
              <w:left w:type="dxa" w:w="80"/>
              <w:right w:type="dxa" w:w="80"/>
            </w:tcMar>
          </w:tcPr>
          <w:p>
            <w:pPr>
              <w:pStyle w:val="Compact"/>
            </w:pPr>
            <w:r>
              <w:rPr>
                <w:sz w:val="19"/>
                <w:szCs w:val="19"/>
                <w:lang w:val="pt-PT"/>
              </w:rPr>
              <w:t xml:space="preserve">Sem acesso de terceiros; sem acesso humano aos prompts</w:t>
            </w:r>
          </w:p>
        </w:tc>
      </w:tr>
      <w:tr>
        <w:trPr>
          <w:cantSplit/>
        </w:trPr>
        <w:tc>
          <w:tcPr>
            <w:tcW w:type="dxa" w:w="1872"/>
            <w:tcMar>
              <w:left w:type="dxa" w:w="80"/>
              <w:right w:type="dxa" w:w="80"/>
            </w:tcMar>
          </w:tcPr>
          <w:p>
            <w:pPr>
              <w:pStyle w:val="Compact"/>
            </w:pPr>
            <w:r>
              <w:rPr>
                <w:b/>
                <w:bCs/>
                <w:sz w:val="19"/>
                <w:szCs w:val="19"/>
                <w:lang w:val="pt-PT"/>
              </w:rPr>
              <w:t xml:space="preserve">IA — rota de emergência </w:t>
            </w:r>
            <w:r>
              <w:rPr>
                <w:sz w:val="19"/>
                <w:szCs w:val="19"/>
                <w:lang w:val="pt-PT"/>
              </w:rPr>
              <w:t xml:space="preserve"/>
            </w:r>
            <w:r>
              <w:rPr>
                <w:sz w:val="19"/>
                <w:szCs w:val="19"/>
                <w:lang w:val="pt-PT"/>
              </w:rPr>
              <w:t xml:space="preserve">(OpenRouter, Anthropic, OpenAI…)</w:t>
            </w:r>
          </w:p>
        </w:tc>
        <w:tc>
          <w:tcPr>
            <w:tcW w:type="dxa" w:w="1872"/>
            <w:tcMar>
              <w:left w:type="dxa" w:w="80"/>
              <w:right w:type="dxa" w:w="80"/>
            </w:tcMar>
          </w:tcPr>
          <w:p>
            <w:pPr>
              <w:pStyle w:val="Compact"/>
            </w:pPr>
            <w:r>
              <w:rPr>
                <w:sz w:val="19"/>
                <w:szCs w:val="19"/>
                <w:lang w:val="pt-PT"/>
              </w:rPr>
              <w:t xml:space="preserve">Acesso </w:t>
            </w:r>
            <w:r>
              <w:rPr>
                <w:sz w:val="19"/>
                <w:szCs w:val="19"/>
                <w:lang w:val="pt-PT"/>
              </w:rPr>
              <w:t xml:space="preserve"/>
            </w:r>
            <w:r>
              <w:rPr>
                <w:b/>
                <w:bCs/>
                <w:sz w:val="19"/>
                <w:szCs w:val="19"/>
                <w:lang w:val="pt-PT"/>
              </w:rPr>
              <w:t xml:space="preserve">técnico automatizado </w:t>
            </w:r>
            <w:r>
              <w:rPr>
                <w:sz w:val="19"/>
                <w:szCs w:val="19"/>
                <w:lang w:val="pt-PT"/>
              </w:rPr>
              <w:t xml:space="preserve"/>
            </w:r>
            <w:r>
              <w:rPr>
                <w:sz w:val="19"/>
                <w:szCs w:val="19"/>
                <w:lang w:val="pt-PT"/>
              </w:rPr>
              <w:t xml:space="preserve">(inferência), </w:t>
            </w:r>
            <w:r>
              <w:rPr>
                <w:sz w:val="19"/>
                <w:szCs w:val="19"/>
                <w:lang w:val="pt-PT"/>
              </w:rPr>
              <w:t xml:space="preserve"/>
            </w:r>
            <w:r>
              <w:rPr>
                <w:b/>
                <w:bCs/>
                <w:sz w:val="19"/>
                <w:szCs w:val="19"/>
                <w:lang w:val="pt-PT"/>
              </w:rPr>
              <w:t xml:space="preserve">desactivável</w:t>
            </w:r>
          </w:p>
        </w:tc>
        <w:tc>
          <w:tcPr>
            <w:tcW w:type="dxa" w:w="1872"/>
            <w:tcMar>
              <w:left w:type="dxa" w:w="80"/>
              <w:right w:type="dxa" w:w="80"/>
            </w:tcMar>
          </w:tcPr>
          <w:p>
            <w:pPr>
              <w:pStyle w:val="Compact"/>
            </w:pPr>
            <w:r>
              <w:rPr>
                <w:sz w:val="19"/>
                <w:szCs w:val="19"/>
                <w:lang w:val="pt-PT"/>
              </w:rPr>
              <w:t xml:space="preserve">EUA/UE dependendo do modelo</w:t>
            </w:r>
          </w:p>
        </w:tc>
        <w:tc>
          <w:tcPr>
            <w:tcW w:type="dxa" w:w="1872"/>
            <w:tcMar>
              <w:left w:type="dxa" w:w="80"/>
              <w:right w:type="dxa" w:w="80"/>
            </w:tcMar>
          </w:tcPr>
          <w:p>
            <w:pPr>
              <w:pStyle w:val="Compact"/>
            </w:pPr>
            <w:r>
              <w:rPr>
                <w:sz w:val="19"/>
                <w:szCs w:val="19"/>
                <w:lang w:val="pt-PT"/>
              </w:rPr>
              <w:t xml:space="preserve">sem treino («no-train»), sem armazenamento durável, fornecedor DPA, CCT, se aplicável</w:t>
            </w:r>
          </w:p>
        </w:tc>
        <w:tc>
          <w:tcPr>
            <w:tcW w:type="dxa" w:w="1872"/>
            <w:tcMar>
              <w:left w:type="dxa" w:w="80"/>
              <w:right w:type="dxa" w:w="80"/>
            </w:tcMar>
          </w:tcPr>
          <w:p>
            <w:pPr>
              <w:pStyle w:val="Compact"/>
            </w:pPr>
            <w:r>
              <w:rPr>
                <w:sz w:val="19"/>
                <w:szCs w:val="19"/>
                <w:lang w:val="pt-PT"/>
              </w:rPr>
              <w:t xml:space="preserve">Acesso da máquina aos prompts durante a inferência; </w:t>
            </w:r>
            <w:r>
              <w:rPr>
                <w:sz w:val="19"/>
                <w:szCs w:val="19"/>
                <w:lang w:val="pt-PT"/>
              </w:rPr>
              <w:t xml:space="preserve"/>
            </w:r>
            <w:r>
              <w:rPr>
                <w:b/>
                <w:bCs/>
                <w:sz w:val="19"/>
                <w:szCs w:val="19"/>
                <w:lang w:val="pt-PT"/>
              </w:rPr>
              <w:t xml:space="preserve">sem acesso </w:t>
            </w:r>
            <w:r>
              <w:rPr>
                <w:sz w:val="19"/>
                <w:szCs w:val="19"/>
                <w:lang w:val="pt-PT"/>
              </w:rPr>
              <w:t xml:space="preserve"/>
            </w:r>
            <w:r>
              <w:rPr>
                <w:sz w:val="19"/>
                <w:szCs w:val="19"/>
                <w:lang w:val="pt-PT"/>
              </w:rPr>
              <w:t xml:space="preserve">humano OHADJA</w:t>
            </w:r>
          </w:p>
        </w:tc>
      </w:tr>
      <w:tr>
        <w:trPr>
          <w:cantSplit/>
        </w:trPr>
        <w:tc>
          <w:tcPr>
            <w:tcW w:type="dxa" w:w="1872"/>
            <w:tcMar>
              <w:left w:type="dxa" w:w="80"/>
              <w:right w:type="dxa" w:w="80"/>
            </w:tcMar>
          </w:tcPr>
          <w:p>
            <w:pPr>
              <w:pStyle w:val="Compact"/>
            </w:pPr>
            <w:r>
              <w:rPr>
                <w:b/>
                <w:bCs/>
                <w:sz w:val="19"/>
                <w:szCs w:val="19"/>
                <w:lang w:val="pt-PT"/>
              </w:rPr>
              <w:t xml:space="preserve">Anfitrião </w:t>
            </w:r>
            <w:r>
              <w:rPr>
                <w:sz w:val="19"/>
                <w:szCs w:val="19"/>
                <w:lang w:val="pt-PT"/>
              </w:rPr>
              <w:t xml:space="preserve"/>
            </w:r>
            <w:r>
              <w:rPr>
                <w:sz w:val="19"/>
                <w:szCs w:val="19"/>
                <w:lang w:val="pt-PT"/>
              </w:rPr>
              <w:t xml:space="preserve">(Hostinger)</w:t>
            </w:r>
          </w:p>
        </w:tc>
        <w:tc>
          <w:tcPr>
            <w:tcW w:type="dxa" w:w="1872"/>
            <w:tcMar>
              <w:left w:type="dxa" w:w="80"/>
              <w:right w:type="dxa" w:w="80"/>
            </w:tcMar>
          </w:tcPr>
          <w:p>
            <w:pPr>
              <w:pStyle w:val="Compact"/>
            </w:pPr>
            <w:r>
              <w:rPr>
                <w:sz w:val="19"/>
                <w:szCs w:val="19"/>
                <w:lang w:val="pt-PT"/>
              </w:rPr>
              <w:t xml:space="preserve">Alojamento física</w:t>
            </w:r>
          </w:p>
        </w:tc>
        <w:tc>
          <w:tcPr>
            <w:tcW w:type="dxa" w:w="1872"/>
            <w:tcMar>
              <w:left w:type="dxa" w:w="80"/>
              <w:right w:type="dxa" w:w="80"/>
            </w:tcMar>
          </w:tcPr>
          <w:p>
            <w:pPr>
              <w:pStyle w:val="Compact"/>
            </w:pPr>
            <w:r>
              <w:rPr>
                <w:sz w:val="19"/>
                <w:szCs w:val="19"/>
                <w:lang w:val="pt-PT"/>
              </w:rPr>
              <w:t xml:space="preserve">Datacenter França</w:t>
            </w:r>
          </w:p>
        </w:tc>
        <w:tc>
          <w:tcPr>
            <w:tcW w:type="dxa" w:w="1872"/>
            <w:tcMar>
              <w:left w:type="dxa" w:w="80"/>
              <w:right w:type="dxa" w:w="80"/>
            </w:tcMar>
          </w:tcPr>
          <w:p>
            <w:pPr>
              <w:pStyle w:val="Compact"/>
            </w:pPr>
            <w:r>
              <w:rPr>
                <w:sz w:val="19"/>
                <w:szCs w:val="19"/>
                <w:lang w:val="pt-PT"/>
              </w:rPr>
              <w:t xml:space="preserve">Acesso físico apenas ao data center; cifragem de disco de acordo com a oferta do data center</w:t>
            </w:r>
          </w:p>
        </w:tc>
        <w:tc>
          <w:tcPr>
            <w:tcW w:type="dxa" w:w="1872"/>
            <w:tcMar>
              <w:left w:type="dxa" w:w="80"/>
              <w:right w:type="dxa" w:w="80"/>
            </w:tcMar>
          </w:tcPr>
          <w:p>
            <w:pPr>
              <w:pStyle w:val="Compact"/>
            </w:pPr>
            <w:r>
              <w:rPr>
                <w:b/>
                <w:bCs/>
                <w:sz w:val="19"/>
                <w:szCs w:val="19"/>
                <w:lang w:val="pt-PT"/>
              </w:rPr>
              <w:t xml:space="preserve">Não </w:t>
            </w:r>
            <w:r>
              <w:rPr>
                <w:sz w:val="19"/>
                <w:szCs w:val="19"/>
                <w:lang w:val="pt-PT"/>
              </w:rPr>
              <w:t xml:space="preserve"/>
            </w:r>
            <w:r>
              <w:rPr>
                <w:sz w:val="19"/>
                <w:szCs w:val="19"/>
                <w:lang w:val="pt-PT"/>
              </w:rPr>
              <w:t xml:space="preserve">(sem acesso lógico)</w:t>
            </w:r>
          </w:p>
        </w:tc>
      </w:tr>
      <w:tr>
        <w:trPr>
          <w:cantSplit/>
        </w:trPr>
        <w:tc>
          <w:tcPr>
            <w:tcW w:type="dxa" w:w="1872"/>
            <w:tcMar>
              <w:left w:type="dxa" w:w="80"/>
              <w:right w:type="dxa" w:w="80"/>
            </w:tcMar>
          </w:tcPr>
          <w:p>
            <w:pPr>
              <w:pStyle w:val="Compact"/>
            </w:pPr>
            <w:r>
              <w:rPr>
                <w:b/>
                <w:bCs/>
                <w:sz w:val="19"/>
                <w:szCs w:val="19"/>
                <w:lang w:val="pt-PT"/>
              </w:rPr>
              <w:t xml:space="preserve">Cópias de </w:t>
            </w:r>
            <w:r>
              <w:rPr>
                <w:sz w:val="19"/>
                <w:szCs w:val="19"/>
                <w:lang w:val="pt-PT"/>
              </w:rPr>
              <w:t xml:space="preserve">segurança </w:t>
            </w:r>
            <w:r>
              <w:rPr>
                <w:sz w:val="19"/>
                <w:szCs w:val="19"/>
                <w:lang w:val="pt-PT"/>
              </w:rPr>
              <w:t xml:space="preserve">(Scaleway)</w:t>
            </w:r>
          </w:p>
        </w:tc>
        <w:tc>
          <w:tcPr>
            <w:tcW w:type="dxa" w:w="1872"/>
            <w:tcMar>
              <w:left w:type="dxa" w:w="80"/>
              <w:right w:type="dxa" w:w="80"/>
            </w:tcMar>
          </w:tcPr>
          <w:p>
            <w:pPr>
              <w:pStyle w:val="Compact"/>
            </w:pPr>
            <w:r>
              <w:rPr>
                <w:sz w:val="19"/>
                <w:szCs w:val="19"/>
                <w:lang w:val="pt-PT"/>
              </w:rPr>
              <w:t xml:space="preserve">Armazenamento de objetos cifrados</w:t>
            </w:r>
          </w:p>
        </w:tc>
        <w:tc>
          <w:tcPr>
            <w:tcW w:type="dxa" w:w="1872"/>
            <w:tcMar>
              <w:left w:type="dxa" w:w="80"/>
              <w:right w:type="dxa" w:w="80"/>
            </w:tcMar>
          </w:tcPr>
          <w:p>
            <w:pPr>
              <w:pStyle w:val="Compact"/>
            </w:pPr>
            <w:r>
              <w:rPr>
                <w:sz w:val="19"/>
                <w:szCs w:val="19"/>
                <w:lang w:val="pt-PT"/>
              </w:rPr>
              <w:t xml:space="preserve">França (UE)</w:t>
            </w:r>
          </w:p>
        </w:tc>
        <w:tc>
          <w:tcPr>
            <w:tcW w:type="dxa" w:w="1872"/>
            <w:tcMar>
              <w:left w:type="dxa" w:w="80"/>
              <w:right w:type="dxa" w:w="80"/>
            </w:tcMar>
          </w:tcPr>
          <w:p>
            <w:pPr>
              <w:pStyle w:val="Compact"/>
            </w:pPr>
            <w:r>
              <w:rPr>
                <w:sz w:val="19"/>
                <w:szCs w:val="19"/>
                <w:lang w:val="pt-PT"/>
              </w:rPr>
              <w:t xml:space="preserve">Dados cifrados com age </w:t>
            </w:r>
            <w:r>
              <w:rPr>
                <w:sz w:val="19"/>
                <w:szCs w:val="19"/>
                <w:lang w:val="pt-PT"/>
              </w:rPr>
              <w:t xml:space="preserve"/>
            </w:r>
            <w:r>
              <w:rPr>
                <w:b/>
                <w:bCs/>
                <w:sz w:val="19"/>
                <w:szCs w:val="19"/>
                <w:lang w:val="pt-PT"/>
              </w:rPr>
              <w:t xml:space="preserve">antes </w:t>
            </w:r>
            <w:r>
              <w:rPr>
                <w:sz w:val="19"/>
                <w:szCs w:val="19"/>
                <w:lang w:val="pt-PT"/>
              </w:rPr>
              <w:t xml:space="preserve">do </w:t>
            </w:r>
            <w:r>
              <w:rPr>
                <w:sz w:val="19"/>
                <w:szCs w:val="19"/>
                <w:lang w:val="pt-PT"/>
              </w:rPr>
              <w:t xml:space="preserve">envio, chaves fora do seu alcance</w:t>
            </w:r>
          </w:p>
        </w:tc>
        <w:tc>
          <w:tcPr>
            <w:tcW w:type="dxa" w:w="1872"/>
            <w:tcMar>
              <w:left w:type="dxa" w:w="80"/>
              <w:right w:type="dxa" w:w="80"/>
            </w:tcMar>
          </w:tcPr>
          <w:p>
            <w:pPr>
              <w:pStyle w:val="Compact"/>
            </w:pPr>
            <w:r>
              <w:rPr>
                <w:b/>
                <w:bCs/>
                <w:sz w:val="19"/>
                <w:szCs w:val="19"/>
                <w:lang w:val="pt-PT"/>
              </w:rPr>
              <w:t xml:space="preserve">Não </w:t>
            </w:r>
            <w:r>
              <w:rPr>
                <w:sz w:val="19"/>
                <w:szCs w:val="19"/>
                <w:lang w:val="pt-PT"/>
              </w:rPr>
              <w:t xml:space="preserve"/>
            </w:r>
            <w:r>
              <w:rPr>
                <w:sz w:val="19"/>
                <w:szCs w:val="19"/>
                <w:lang w:val="pt-PT"/>
              </w:rPr>
              <w:t xml:space="preserve">(dados ilegíveis para o provedor de serviços)</w:t>
            </w:r>
          </w:p>
        </w:tc>
      </w:tr>
      <w:tr>
        <w:trPr>
          <w:cantSplit/>
        </w:trPr>
        <w:tc>
          <w:tcPr>
            <w:tcW w:type="dxa" w:w="1872"/>
            <w:tcMar>
              <w:left w:type="dxa" w:w="80"/>
              <w:right w:type="dxa" w:w="80"/>
            </w:tcMar>
          </w:tcPr>
          <w:p>
            <w:pPr>
              <w:pStyle w:val="Compact"/>
            </w:pPr>
            <w:r>
              <w:rPr>
                <w:b/>
                <w:bCs/>
                <w:sz w:val="19"/>
                <w:szCs w:val="19"/>
                <w:lang w:val="pt-PT"/>
              </w:rPr>
              <w:t xml:space="preserve">Transcrição de GPU </w:t>
            </w:r>
            <w:r>
              <w:rPr>
                <w:sz w:val="19"/>
                <w:szCs w:val="19"/>
                <w:lang w:val="pt-PT"/>
              </w:rPr>
              <w:t xml:space="preserve"/>
            </w:r>
            <w:r>
              <w:rPr>
                <w:sz w:val="19"/>
                <w:szCs w:val="19"/>
                <w:lang w:val="pt-PT"/>
              </w:rPr>
              <w:t xml:space="preserve">(GPU dedicada/Vast.ai se habilitada)</w:t>
            </w:r>
          </w:p>
        </w:tc>
        <w:tc>
          <w:tcPr>
            <w:tcW w:type="dxa" w:w="1872"/>
            <w:tcMar>
              <w:left w:type="dxa" w:w="80"/>
              <w:right w:type="dxa" w:w="80"/>
            </w:tcMar>
          </w:tcPr>
          <w:p>
            <w:pPr>
              <w:pStyle w:val="Compact"/>
            </w:pPr>
            <w:r>
              <w:rPr>
                <w:sz w:val="19"/>
                <w:szCs w:val="19"/>
                <w:lang w:val="pt-PT"/>
              </w:rPr>
              <w:t xml:space="preserve">Processamento automatizado</w:t>
            </w:r>
          </w:p>
        </w:tc>
        <w:tc>
          <w:tcPr>
            <w:tcW w:type="dxa" w:w="1872"/>
            <w:tcMar>
              <w:left w:type="dxa" w:w="80"/>
              <w:right w:type="dxa" w:w="80"/>
            </w:tcMar>
          </w:tcPr>
          <w:p>
            <w:pPr>
              <w:pStyle w:val="Compact"/>
            </w:pPr>
            <w:r>
              <w:rPr>
                <w:sz w:val="19"/>
                <w:szCs w:val="19"/>
                <w:lang w:val="pt-PT"/>
              </w:rPr>
              <w:t xml:space="preserve">UE quando necessário; fora do EEE possível através do mercado</w:t>
            </w:r>
          </w:p>
        </w:tc>
        <w:tc>
          <w:tcPr>
            <w:tcW w:type="dxa" w:w="1872"/>
            <w:tcMar>
              <w:left w:type="dxa" w:w="80"/>
              <w:right w:type="dxa" w:w="80"/>
            </w:tcMar>
          </w:tcPr>
          <w:p>
            <w:pPr>
              <w:pStyle w:val="Compact"/>
            </w:pPr>
            <w:r>
              <w:rPr>
                <w:sz w:val="19"/>
                <w:szCs w:val="19"/>
                <w:lang w:val="pt-PT"/>
              </w:rPr>
              <w:t xml:space="preserve">Exclusão após trabalho</w:t>
            </w:r>
          </w:p>
        </w:tc>
        <w:tc>
          <w:tcPr>
            <w:tcW w:type="dxa" w:w="1872"/>
            <w:tcMar>
              <w:left w:type="dxa" w:w="80"/>
              <w:right w:type="dxa" w:w="80"/>
            </w:tcMar>
          </w:tcPr>
          <w:p>
            <w:pPr>
              <w:pStyle w:val="Compact"/>
            </w:pPr>
            <w:r>
              <w:rPr>
                <w:b/>
                <w:bCs/>
                <w:sz w:val="19"/>
                <w:szCs w:val="19"/>
                <w:lang w:val="pt-PT"/>
              </w:rPr>
              <w:t xml:space="preserve">Não </w:t>
            </w:r>
            <w:r>
              <w:rPr>
                <w:sz w:val="19"/>
                <w:szCs w:val="19"/>
                <w:lang w:val="pt-PT"/>
              </w:rPr>
              <w:t xml:space="preserve"/>
            </w:r>
            <w:r>
              <w:rPr>
                <w:sz w:val="19"/>
                <w:szCs w:val="19"/>
                <w:lang w:val="pt-PT"/>
              </w:rPr>
              <w:t xml:space="preserve">(processamento automatizado, sem acesso humano)</w:t>
            </w:r>
          </w:p>
        </w:tc>
      </w:tr>
    </w:tbl>
    <w:bookmarkEnd w:id="70"/>
    <w:bookmarkStart w:id="71" w:name="Xa3064877aefcfc8385bf14f5b705943c6869bcf"/>
    <w:p>
      <w:pPr>
        <w:pStyle w:val="Heading3"/>
        <w:keepNext/>
        <w:keepLines/>
      </w:pPr>
      <w:r>
        <w:rPr>
          <w:color w:val="000000"/>
          <w:lang w:val="pt-PT"/>
        </w:rPr>
        <w:t xml:space="preserve">3.2 Acesso a partir de fora do EEE: exposição transparente</w:t>
      </w:r>
    </w:p>
    <w:p>
      <w:pPr>
        <w:pStyle w:val="FirstParagraph"/>
      </w:pPr>
      <w:r>
        <w:rPr>
          <w:lang w:val="pt-PT"/>
        </w:rPr>
        <w:t xml:space="preserve">Na Opção A, apenas uma categoria de fluxos pode sair do EEE, e é </w:t>
      </w:r>
      <w:r>
        <w:rPr>
          <w:lang w:val="pt-PT"/>
        </w:rPr>
        <w:t xml:space="preserve"/>
      </w:r>
      <w:r>
        <w:rPr>
          <w:b/>
          <w:bCs/>
          <w:lang w:val="pt-PT"/>
        </w:rPr>
        <w:t xml:space="preserve">técnica (acesso à máquina), e não </w:t>
      </w:r>
      <w:r>
        <w:rPr>
          <w:lang w:val="pt-PT"/>
        </w:rPr>
        <w:t xml:space="preserve"/>
      </w:r>
      <w:r>
        <w:rPr>
          <w:lang w:val="pt-PT"/>
        </w:rPr>
        <w:t xml:space="preserve">humana:</w:t>
      </w:r>
    </w:p>
    <w:p>
      <w:pPr>
        <w:pStyle w:val="Compact"/>
        <w:numPr>
          <w:ilvl w:val="0"/>
          <w:numId w:val="1018"/>
        </w:numPr>
      </w:pPr>
      <w:r>
        <w:rPr>
          <w:b/>
          <w:bCs/>
          <w:lang w:val="pt-PT"/>
        </w:rPr>
        <w:t xml:space="preserve">Fluxos técnicos de IA na via de contingência. </w:t>
      </w:r>
      <w:r>
        <w:rPr>
          <w:lang w:val="pt-PT"/>
        </w:rPr>
        <w:t xml:space="preserve"/>
      </w:r>
      <w:r>
        <w:rPr>
          <w:lang w:val="pt-PT"/>
        </w:rPr>
        <w:t xml:space="preserve"/>
      </w:r>
      <w:r>
        <w:rPr>
          <w:lang w:val="pt-PT"/>
        </w:rPr>
        <w:t xml:space="preserve"/>
      </w:r>
      <w:r>
        <w:rPr>
          <w:b/>
          <w:bCs/>
          <w:lang w:val="pt-PT"/>
        </w:rPr>
        <w:t xml:space="preserve">A via primária de </w:t>
      </w:r>
      <w:r>
        <w:rPr>
          <w:lang w:val="pt-PT"/>
        </w:rPr>
        <w:t xml:space="preserve"/>
      </w:r>
      <w:r>
        <w:rPr>
          <w:lang w:val="pt-PT"/>
        </w:rPr>
        <w:t xml:space="preserve">IA (servidores vLLM controlados em Estrasburgo/Paris) </w:t>
      </w:r>
      <w:r>
        <w:rPr>
          <w:lang w:val="pt-PT"/>
        </w:rPr>
        <w:t xml:space="preserve"/>
      </w:r>
      <w:r>
        <w:rPr>
          <w:b/>
          <w:bCs/>
          <w:lang w:val="pt-PT"/>
        </w:rPr>
        <w:t xml:space="preserve">não gera fluxos para fora do </w:t>
      </w:r>
      <w:r>
        <w:rPr>
          <w:lang w:val="pt-PT"/>
        </w:rPr>
        <w:t xml:space="preserve">EEE. Um fluxo para </w:t>
      </w:r>
      <w:r>
        <w:rPr>
          <w:lang w:val="pt-PT"/>
        </w:rPr>
        <w:t xml:space="preserve">os </w:t>
      </w:r>
      <w:r>
        <w:rPr>
          <w:b/>
          <w:bCs/>
          <w:lang w:val="pt-PT"/>
        </w:rPr>
        <w:t xml:space="preserve">Estados </w:t>
      </w:r>
      <w:r>
        <w:rPr>
          <w:lang w:val="pt-PT"/>
        </w:rPr>
        <w:t xml:space="preserve"/>
      </w:r>
      <w:r>
        <w:rPr>
          <w:lang w:val="pt-PT"/>
        </w:rPr>
        <w:t xml:space="preserve">Unidos só ocorre pela via de </w:t>
      </w:r>
      <w:r>
        <w:rPr>
          <w:lang w:val="pt-PT"/>
        </w:rPr>
        <w:t xml:space="preserve"/>
      </w:r>
      <w:r>
        <w:rPr>
          <w:b/>
          <w:bCs/>
          <w:lang w:val="pt-PT"/>
        </w:rPr>
        <w:t xml:space="preserve">contingência </w:t>
      </w:r>
      <w:r>
        <w:rPr>
          <w:lang w:val="pt-PT"/>
        </w:rPr>
        <w:t xml:space="preserve"/>
      </w:r>
      <w:r>
        <w:rPr>
          <w:lang w:val="pt-PT"/>
        </w:rPr>
        <w:t xml:space="preserve">OpenRouter (e pelos fornecedores de modelos, como a Anthropic ou a OpenAI), quando a via primária está indisponível; esta via de contingência pode ser desativada </w:t>
      </w:r>
      <w:r>
        <w:rPr>
          <w:lang w:val="pt-PT"/>
        </w:rPr>
        <w:t xml:space="preserve"/>
      </w:r>
      <w:r>
        <w:rPr>
          <w:b/>
          <w:bCs/>
          <w:lang w:val="pt-PT"/>
        </w:rPr>
        <w:t xml:space="preserve">por organização. O processamento </w:t>
      </w:r>
      <w:r>
        <w:rPr>
          <w:lang w:val="pt-PT"/>
        </w:rPr>
        <w:t xml:space="preserve">GPU através da Vast.ai, quando ativado, utiliza uma plataforma americana (as máquinas são </w:t>
      </w:r>
      <w:r>
        <w:rPr>
          <w:lang w:val="pt-PT"/>
        </w:rPr>
        <w:t xml:space="preserve"/>
      </w:r>
      <w:r>
        <w:rPr>
          <w:b/>
          <w:bCs/>
          <w:lang w:val="pt-PT"/>
        </w:rPr>
        <w:t xml:space="preserve">selecionadas </w:t>
      </w:r>
      <w:r>
        <w:rPr>
          <w:lang w:val="pt-PT"/>
        </w:rPr>
        <w:t xml:space="preserve"/>
      </w:r>
      <w:r>
        <w:rPr>
          <w:lang w:val="pt-PT"/>
        </w:rPr>
        <w:t xml:space="preserve">na UE quando tal é exigido). Estes fluxos são enquadrados por cláusulas contratuais-tipo (CCT), no-train, minimização e ausência de conservação duradoura, conforme o documento </w:t>
      </w:r>
      <w:r>
        <w:rPr>
          <w:lang w:val="pt-PT"/>
        </w:rPr>
        <w:t xml:space="preserve"/>
      </w:r>
      <w:r>
        <w:rPr>
          <w:b/>
          <w:bCs/>
          <w:lang w:val="pt-PT"/>
        </w:rPr>
        <w:t xml:space="preserve">OHA-RGPD-04. </w:t>
      </w:r>
      <w:r>
        <w:rPr>
          <w:lang w:val="pt-PT"/>
        </w:rPr>
        <w:t xml:space="preserve">O perfil «UE estrita» (apenas via primária, LLM na UE ou autoalojado e GPU na UE) permite eliminar estes fluxos.</w:t>
      </w:r>
    </w:p>
    <w:p>
      <w:pPr>
        <w:pStyle w:val="FirstParagraph"/>
      </w:pPr>
      <w:r>
        <w:rPr>
          <w:b/>
          <w:bCs/>
          <w:lang w:val="pt-PT"/>
        </w:rPr>
        <w:t xml:space="preserve">Acesso de administração humana: apenas França/UE. A </w:t>
      </w:r>
      <w:r>
        <w:rPr>
          <w:lang w:val="pt-PT"/>
        </w:rPr>
        <w:t xml:space="preserve"/>
      </w:r>
      <w:r>
        <w:rPr>
          <w:lang w:val="pt-PT"/>
        </w:rPr>
        <w:t xml:space="preserve">administração e suporte da plataforma são realizados por OHADJA (com sede em Paris) </w:t>
      </w:r>
      <w:r>
        <w:rPr>
          <w:lang w:val="pt-PT"/>
        </w:rPr>
        <w:t xml:space="preserve"/>
      </w:r>
      <w:r>
        <w:rPr>
          <w:b/>
          <w:bCs/>
          <w:lang w:val="pt-PT"/>
        </w:rPr>
        <w:t xml:space="preserve">exclusivamente da França/União Europeia (compromisso </w:t>
      </w:r>
      <w:r>
        <w:rPr>
          <w:lang w:val="pt-PT"/>
        </w:rPr>
        <w:t xml:space="preserve"/>
      </w:r>
      <w:r>
        <w:rPr>
          <w:lang w:val="pt-PT"/>
        </w:rPr>
        <w:t xml:space="preserve">contratual, ver OHA-RGPD-04). Nenhum acesso humano aos dados de produção ocorre a partir de um país terceiro. O grupo fundador também desenvolve uma atividade comercial como revendedor, incluindo Mónaco (AMBASSADIA SARL), mas isso </w:t>
      </w:r>
      <w:r>
        <w:rPr>
          <w:lang w:val="pt-PT"/>
        </w:rPr>
        <w:t xml:space="preserve"/>
      </w:r>
      <w:r>
        <w:rPr>
          <w:b/>
          <w:bCs/>
          <w:lang w:val="pt-PT"/>
        </w:rPr>
        <w:t xml:space="preserve">não fornece nenhum acesso aos dados: o </w:t>
      </w:r>
      <w:r>
        <w:rPr>
          <w:lang w:val="pt-PT"/>
        </w:rPr>
        <w:t xml:space="preserve"/>
      </w:r>
      <w:r>
        <w:rPr>
          <w:lang w:val="pt-PT"/>
        </w:rPr>
        <w:t xml:space="preserve">assunto é tratado e fechado pelo compromisso de acesso França/UE.</w:t>
      </w:r>
    </w:p>
    <w:p>
      <w:pPr>
        <w:pStyle w:val="BodyText"/>
      </w:pPr>
      <w:r>
        <w:rPr>
          <w:lang w:val="pt-PT"/>
        </w:rPr>
        <w:t xml:space="preserve">Na </w:t>
      </w:r>
      <w:r>
        <w:rPr>
          <w:lang w:val="pt-PT"/>
        </w:rPr>
        <w:t xml:space="preserve"/>
      </w:r>
      <w:r>
        <w:rPr>
          <w:b/>
          <w:bCs/>
          <w:lang w:val="pt-PT"/>
        </w:rPr>
        <w:t xml:space="preserve">Opção B isolada, </w:t>
      </w:r>
      <w:r>
        <w:rPr>
          <w:lang w:val="pt-PT"/>
        </w:rPr>
        <w:t xml:space="preserve">nenhum destes acessos existe: nem fluxo de saída de IA nem acesso de administração externa imposto.</w:t>
      </w:r>
    </w:p>
    <w:bookmarkEnd w:id="71"/>
    <w:bookmarkEnd w:id="72"/>
    <w:bookmarkStart w:id="76" w:name="X8b1f3ba40315acea0d3beb20e77272cc7a657cf"/>
    <w:p>
      <w:pPr>
        <w:pStyle w:val="Heading2"/>
        <w:keepNext/>
        <w:keepLines/>
      </w:pPr>
      <w:r>
        <w:rPr>
          <w:color w:val="000000"/>
          <w:lang w:val="pt-PT"/>
        </w:rPr>
        <w:t xml:space="preserve">4. Percurso ponta a ponta de um ficheiro de áudio (Opção A)</w:t>
      </w:r>
    </w:p>
    <w:p>
      <w:pPr>
        <w:pStyle w:val="FirstParagraph"/>
        <w:keepNext/>
      </w:pPr>
      <w:r>
        <w:drawing>
          <wp:inline>
            <wp:extent cx="5334000" cy="1105323"/>
            <wp:effectExtent b="0" l="0" r="0" t="0"/>
            <wp:docPr descr="Parcours d'un fichier audio" title="" id="74" name="Picture"/>
            <a:graphic>
              <a:graphicData uri="http://schemas.openxmlformats.org/drawingml/2006/picture">
                <pic:pic>
                  <pic:nvPicPr>
                    <pic:cNvPr descr="img/parcours-audio.png" id="75" name="Picture"/>
                    <pic:cNvPicPr>
                      <a:picLocks noChangeArrowheads="1" noChangeAspect="1"/>
                    </pic:cNvPicPr>
                  </pic:nvPicPr>
                  <pic:blipFill>
                    <a:blip r:embed="rId73"/>
                    <a:stretch>
                      <a:fillRect/>
                    </a:stretch>
                  </pic:blipFill>
                  <pic:spPr bwMode="auto">
                    <a:xfrm>
                      <a:off x="0" y="0"/>
                      <a:ext cx="5334000" cy="1105323"/>
                    </a:xfrm>
                    <a:prstGeom prst="rect">
                      <a:avLst/>
                    </a:prstGeom>
                    <a:noFill/>
                    <a:ln w="9525">
                      <a:noFill/>
                      <a:headEnd/>
                      <a:tailEnd/>
                    </a:ln>
                  </pic:spPr>
                </pic:pic>
              </a:graphicData>
            </a:graphic>
          </wp:inline>
        </w:drawing>
      </w:r>
    </w:p>
    <w:p>
      <w:pPr>
        <w:pStyle w:val="BodyText"/>
        <w:keepLines/>
      </w:pPr>
      <w:r>
        <w:rPr>
          <w:i/>
          <w:iCs/>
          <w:lang w:val="pt-PT"/>
        </w:rPr>
        <w:t xml:space="preserve">Figura 1 — Processamento de um ficheiro de áudio, desde o upload até o backup cifrado do Scaleway, em sete etapas (versão Visio .vsdx reimplementada).</w:t>
      </w:r>
    </w:p>
    <w:p>
      <w:pPr>
        <w:pStyle w:val="BodyText"/>
      </w:pPr>
      <w:r>
        <w:rPr>
          <w:b/>
          <w:bCs/>
          <w:lang w:val="pt-PT"/>
        </w:rPr>
        <w:t xml:space="preserve">Versão de texto:</w:t>
      </w:r>
    </w:p>
    <w:p>
      <w:pPr>
        <w:pStyle w:val="SourceCode"/>
      </w:pPr>
      <w:r>
        <w:rPr>
          <w:rStyle w:val="VerbatimChar"/>
          <w:rFonts w:ascii="Courier New" w:hAnsi="Courier New" w:eastAsia="Courier New" w:cs="Courier New"/>
          <w:sz w:val="18"/>
          <w:szCs w:val="18"/>
        </w:rPr>
        <w:t xml:space="preserve">[1] UTILIZADOR (Cliente)</w:t>
        <w:br/>
        <w:t xml:space="preserve">  | carregamento HTTPS (TLS 1.2+)</w:t>
        <w:br/>
        <w:t xml:space="preserve">  v</w:t>
        <w:br/>
        <w:t xml:space="preserve">[2] NGINX (proxy inverso, 443) — servidor de produção, FRANÇA</w:t>
        <w:br/>
        <w:t xml:space="preserve">  v</w:t>
        <w:br/>
        <w:t xml:space="preserve">[3] APLICAÇÃO LARAVEL</w:t>
        <w:br/>
        <w:t xml:space="preserve">  |-- ClamAV: análise antivírus ANTES da escrita</w:t>
        <w:br/>
        <w:t xml:space="preserve">  |-- escrita no servidor de produção (armazenamento em repouso, §1)</w:t>
        <w:br/>
        <w:t xml:space="preserve">  |-- estado do ficheiro: "pending"</w:t>
        <w:br/>
        <w:t xml:space="preserve">  v</w:t>
        <w:br/>
        <w:t xml:space="preserve">[4] WORKER DE TRANSCRIÇÃO (GPU dedicada UE)</w:t>
        <w:br/>
        <w:t xml:space="preserve">  | obtém tarefa (URL assinado temporário, 30 min)</w:t>
        <w:br/>
        <w:t xml:space="preserve">  |-- whisperX: transcrição</w:t>
        <w:br/>
        <w:t xml:space="preserve">  |-- pyannote: diarização posicional (Speaker N)</w:t>
        <w:br/>
        <w:t xml:space="preserve">  |-- embeddings vocais em RAM -&gt; DESTRUÍDOS no fim da tarefa</w:t>
        <w:br/>
        <w:t xml:space="preserve">  | POST /complete (segmentos JSON, TLS)</w:t>
        <w:br/>
        <w:t xml:space="preserve">  v</w:t>
        <w:br/>
        <w:t xml:space="preserve">[5] ARMAZENAMENTO (PostgreSQL, esquema da organização, produção FRANÇA)</w:t>
        <w:br/>
        <w:t xml:space="preserve">  |-- (opcional) TRATAMENTO POR IA:</w:t>
        <w:br/>
        <w:t xml:space="preserve">  |   fontes selecionadas -&gt; VIA PRINCIPAL: servidores vLLM UE</w:t>
        <w:br/>
        <w:t xml:space="preserve">  |     (Strasbourg / Paris; pesos abertos; sem terceiros)</w:t>
        <w:br/>
        <w:t xml:space="preserve">  |   [recurso desativável: OpenRouter -&gt; fornecedor LLM, EUA possíveis]</w:t>
        <w:br/>
        <w:t xml:space="preserve">  |   no-train; minimização; TLS</w:t>
        <w:br/>
        <w:t xml:space="preserve">  |   &lt;- resposta -&gt; tabela ai_generations (na organização)</w:t>
        <w:br/>
        <w:t xml:space="preserve">  v</w:t>
        <w:br/>
        <w:t xml:space="preserve">[6] CÓPIA DE SEGURANÇA DIÁRIA</w:t>
        <w:br/>
        <w:t xml:space="preserve">  |-- encriptação age (X25519 + ChaCha20-Poly1305) ANTES da saída</w:t>
        <w:br/>
        <w:t xml:space="preserve">  | rclone -&gt; Scaleway (França, UE)</w:t>
        <w:br/>
        <w:t xml:space="preserve">  v</w:t>
        <w:br/>
        <w:t xml:space="preserve">[7] CICLO DE VIDA</w:t>
        <w:br/>
        <w:t xml:space="preserve">  |-- conservação segundo política configurada pelo Cliente</w:t>
        <w:br/>
        <w:t xml:space="preserve">  |-- apagamento (art. 17.º) ou expiração -&gt; eliminação + certificado</w:t>
        <w:br/>
        <w:t xml:space="preserve">  \-- cópias de segurança eliminadas em 90 dias</w:t>
      </w:r>
    </w:p>
    <w:p>
      <w:pPr>
        <w:pStyle w:val="FirstParagraph"/>
      </w:pPr>
      <w:r>
        <w:rPr>
          <w:lang w:val="pt-PT"/>
        </w:rPr>
        <w:t xml:space="preserve">Na </w:t>
      </w:r>
      <w:r>
        <w:rPr>
          <w:lang w:val="pt-PT"/>
        </w:rPr>
        <w:t xml:space="preserve"/>
      </w:r>
      <w:r>
        <w:rPr>
          <w:b/>
          <w:bCs/>
          <w:lang w:val="pt-PT"/>
        </w:rPr>
        <w:t xml:space="preserve">Opção B isolada, </w:t>
      </w:r>
      <w:r>
        <w:rPr>
          <w:lang w:val="pt-PT"/>
        </w:rPr>
        <w:t xml:space="preserve">etapas [4], a parte de exploração de IA de [5] e etapa [6] são executadas </w:t>
      </w:r>
      <w:r>
        <w:rPr>
          <w:lang w:val="pt-PT"/>
        </w:rPr>
        <w:t xml:space="preserve"/>
      </w:r>
      <w:r>
        <w:rPr>
          <w:b/>
          <w:bCs/>
          <w:lang w:val="pt-PT"/>
        </w:rPr>
        <w:t xml:space="preserve">na infraestrutura do Cliente </w:t>
      </w:r>
      <w:r>
        <w:rPr>
          <w:lang w:val="pt-PT"/>
        </w:rPr>
        <w:t xml:space="preserve"/>
      </w:r>
      <w:r>
        <w:rPr>
          <w:lang w:val="pt-PT"/>
        </w:rPr>
        <w:t xml:space="preserve">(trabalhador de GPU local, LLM auto-hospedado, backups </w:t>
      </w:r>
      <w:r>
        <w:rPr>
          <w:lang w:val="pt-PT"/>
        </w:rPr>
        <w:t xml:space="preserve"/>
      </w:r>
      <w:r>
        <w:rPr>
          <w:b/>
          <w:bCs/>
          <w:lang w:val="pt-PT"/>
        </w:rPr>
        <w:t xml:space="preserve">internos): nenhum dado sai do ambiente do </w:t>
      </w:r>
      <w:r>
        <w:rPr>
          <w:lang w:val="pt-PT"/>
        </w:rPr>
        <w:t xml:space="preserve">Cliente.</w:t>
      </w:r>
    </w:p>
    <w:p>
      <w:pPr>
        <w:pStyle w:val="BlockText"/>
      </w:pPr>
      <w:r>
        <w:rPr>
          <w:lang w:val="pt-PT"/>
        </w:rPr>
        <w:t xml:space="preserve">O sinóptico final será submetido em formato Visio (.vsdx) durante a fase de implementação, com base neste diagrama.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76"/>
    <w:bookmarkEnd w:id="77"/>
    <w:bookmarkStart w:id="91" w:name="X1fcf1353751910428496754448e8c603dd55582"/>
    <w:p>
      <w:pPr>
        <w:pStyle w:val="Heading1"/>
        <w:keepNext/>
        <w:keepLines/>
      </w:pPr>
      <w:r>
        <w:rPr>
          <w:color w:val="000000"/>
          <w:lang w:val="pt-PT"/>
        </w:rPr>
        <w:t xml:space="preserve">Lista de subcontratantes ulteriores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OHA-RGPD-03</w:t>
            </w:r>
          </w:p>
        </w:tc>
      </w:tr>
      <w:tr>
        <w:trPr>
          <w:cantSplit/>
        </w:trPr>
        <w:tc>
          <w:tcPr/>
          <w:p>
            <w:pPr>
              <w:pStyle w:val="Compact"/>
            </w:pPr>
            <w:r>
              <w:rPr>
                <w:lang w:val="pt-PT"/>
              </w:rPr>
              <w:t xml:space="preserve">Objetivo</w:t>
            </w:r>
          </w:p>
        </w:tc>
        <w:tc>
          <w:tcPr/>
          <w:p>
            <w:pPr>
              <w:pStyle w:val="Compact"/>
            </w:pPr>
            <w:r>
              <w:rPr>
                <w:lang w:val="pt-PT"/>
              </w:rPr>
              <w:t xml:space="preserve">Lista e caracterização de subcontratantes ulteriores (art. 28.2 e 28.4 RGPD)</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78" w:name="X1ed5dcafce5c18c99fc0c2e8a88a30fabdbe403"/>
    <w:p>
      <w:pPr>
        <w:pStyle w:val="Heading2"/>
        <w:keepNext/>
        <w:keepLines/>
      </w:pPr>
      <w:r>
        <w:rPr>
          <w:color w:val="000000"/>
          <w:lang w:val="pt-PT"/>
        </w:rPr>
        <w:t xml:space="preserve">1. Objetivo</w:t>
      </w:r>
    </w:p>
    <w:p>
      <w:pPr>
        <w:pStyle w:val="FirstParagraph"/>
      </w:pPr>
      <w:r>
        <w:rPr>
          <w:lang w:val="pt-PT"/>
        </w:rPr>
        <w:t xml:space="preserve">Este documento lista, completo e atualizado em 24/07/2026, o subcontratantes ulteriores que OHADJA utiliza para a execução do serviço TranscribIA. Para cada um são especificados: o país de estabelecimento, a função, as operações realizadas, os locais de processamento </w:t>
      </w:r>
      <w:r>
        <w:rPr>
          <w:lang w:val="pt-PT"/>
        </w:rPr>
        <w:t xml:space="preserve"/>
      </w:r>
      <w:r>
        <w:rPr>
          <w:b/>
          <w:bCs/>
          <w:lang w:val="pt-PT"/>
        </w:rPr>
        <w:t xml:space="preserve"/>
      </w:r>
      <w:r>
        <w:rPr>
          <w:lang w:val="pt-PT"/>
        </w:rPr>
        <w:t xml:space="preserve"/>
      </w:r>
      <w:r>
        <w:rPr>
          <w:lang w:val="pt-PT"/>
        </w:rPr>
        <w:t xml:space="preserve">e armazenamento, o acesso humano aos dados e as garantias contratuais.</w:t>
      </w:r>
    </w:p>
    <w:p>
      <w:pPr>
        <w:pStyle w:val="BodyText"/>
      </w:pPr>
      <w:r>
        <w:rPr>
          <w:lang w:val="pt-PT"/>
        </w:rPr>
        <w:t xml:space="preserve">A lista abaixo é para a </w:t>
      </w:r>
      <w:r>
        <w:rPr>
          <w:b/>
          <w:bCs/>
          <w:lang w:val="pt-PT"/>
        </w:rPr>
        <w:t xml:space="preserve">Opção A (SaaS). </w:t>
      </w:r>
      <w:r>
        <w:rPr>
          <w:lang w:val="pt-PT"/>
        </w:rPr>
        <w:t xml:space="preserve">Na </w:t>
      </w:r>
      <w:r>
        <w:rPr>
          <w:lang w:val="pt-PT"/>
        </w:rPr>
        <w:t xml:space="preserve"/>
      </w:r>
      <w:r>
        <w:rPr>
          <w:b/>
          <w:bCs/>
          <w:lang w:val="pt-PT"/>
        </w:rPr>
        <w:t xml:space="preserve">Opção B isolada, </w:t>
      </w:r>
      <w:r>
        <w:rPr>
          <w:lang w:val="pt-PT"/>
        </w:rPr>
        <w:t xml:space="preserve">não há </w:t>
      </w:r>
      <w:r>
        <w:rPr>
          <w:lang w:val="pt-PT"/>
        </w:rPr>
        <w:t xml:space="preserve"/>
      </w:r>
      <w:r>
        <w:rPr>
          <w:b/>
          <w:bCs/>
          <w:lang w:val="pt-PT"/>
        </w:rPr>
        <w:t xml:space="preserve"/>
      </w:r>
      <w:r>
        <w:rPr>
          <w:lang w:val="pt-PT"/>
        </w:rPr>
        <w:t xml:space="preserve"/>
      </w:r>
      <w:r>
        <w:rPr>
          <w:lang w:val="pt-PT"/>
        </w:rPr>
        <w:t xml:space="preserve">subcontratante ulterior (secção 4).</w:t>
      </w:r>
    </w:p>
    <w:p>
      <w:pPr>
        <w:pStyle w:val="BlockText"/>
      </w:pPr>
      <w:r>
        <w:rPr>
          <w:b/>
          <w:bCs/>
          <w:lang w:val="pt-PT"/>
        </w:rPr>
        <w:t xml:space="preserve">Confirmação solicitada pelo cliente. </w:t>
      </w:r>
      <w:r>
        <w:rPr>
          <w:lang w:val="pt-PT"/>
        </w:rPr>
        <w:t xml:space="preserve"/>
      </w:r>
      <w:r>
        <w:rPr>
          <w:b/>
          <w:bCs/>
          <w:lang w:val="pt-PT"/>
        </w:rPr>
        <w:t xml:space="preserve">Servidores </w:t>
      </w:r>
      <w:r>
        <w:rPr>
          <w:lang w:val="pt-PT"/>
        </w:rPr>
        <w:t xml:space="preserve"/>
      </w:r>
      <w:r>
        <w:rPr>
          <w:lang w:val="pt-PT"/>
        </w:rPr>
        <w:t xml:space="preserve"/>
      </w:r>
      <w:r>
        <w:rPr>
          <w:b/>
          <w:bCs/>
          <w:lang w:val="pt-PT"/>
        </w:rPr>
        <w:t xml:space="preserve">HOSTINGER, </w:t>
      </w:r>
      <w:r>
        <w:rPr>
          <w:lang w:val="pt-PT"/>
        </w:rPr>
        <w:t xml:space="preserve"/>
      </w:r>
      <w:r>
        <w:rPr>
          <w:lang w:val="pt-PT"/>
        </w:rPr>
        <w:t xml:space="preserve"/>
      </w:r>
      <w:r>
        <w:rPr>
          <w:b/>
          <w:bCs/>
          <w:lang w:val="pt-PT"/>
        </w:rPr>
        <w:t xml:space="preserve">SCALEWAY, LLM vLLM na UE (Estrasburgo / Paris), </w:t>
      </w:r>
      <w:r>
        <w:rPr>
          <w:lang w:val="pt-PT"/>
        </w:rPr>
        <w:t xml:space="preserve"/>
      </w:r>
      <w:r>
        <w:rPr>
          <w:lang w:val="pt-PT"/>
        </w:rPr>
        <w:t xml:space="preserve"/>
      </w:r>
      <w:r>
        <w:rPr>
          <w:b/>
          <w:bCs/>
          <w:lang w:val="pt-PT"/>
        </w:rPr>
        <w:t xml:space="preserve">OPENROUTER (somente rota de backup) e </w:t>
      </w:r>
      <w:r>
        <w:rPr>
          <w:lang w:val="pt-PT"/>
        </w:rPr>
        <w:t xml:space="preserve"/>
      </w:r>
      <w:r>
        <w:rPr>
          <w:lang w:val="pt-PT"/>
        </w:rPr>
        <w:t xml:space="preserve">servidor </w:t>
      </w:r>
      <w:r>
        <w:rPr>
          <w:lang w:val="pt-PT"/>
        </w:rPr>
        <w:t xml:space="preserve"/>
      </w:r>
      <w:r>
        <w:rPr>
          <w:b/>
          <w:bCs/>
          <w:lang w:val="pt-PT"/>
        </w:rPr>
        <w:t xml:space="preserve">de transcrição GPU estão </w:t>
      </w:r>
      <w:r>
        <w:rPr>
          <w:lang w:val="pt-PT"/>
        </w:rPr>
        <w:t xml:space="preserve"/>
      </w:r>
      <w:r>
        <w:rPr>
          <w:lang w:val="pt-PT"/>
        </w:rPr>
        <w:t xml:space="preserve">confirmados para a oferta SaaS a partir de 24/07/2026. </w:t>
      </w:r>
      <w:r>
        <w:rPr>
          <w:lang w:val="pt-PT"/>
        </w:rPr>
        <w:t xml:space="preserve"/>
      </w:r>
      <w:r>
        <w:rPr>
          <w:b/>
          <w:bCs/>
          <w:lang w:val="pt-PT"/>
        </w:rPr>
        <w:t xml:space="preserve">BACKBLAZE: não utilizado (o </w:t>
      </w:r>
      <w:r>
        <w:rPr>
          <w:lang w:val="pt-PT"/>
        </w:rPr>
        <w:t xml:space="preserve"/>
      </w:r>
      <w:r>
        <w:rPr>
          <w:lang w:val="pt-PT"/>
        </w:rPr>
        <w:t xml:space="preserve">destino do backup realmente configurado em produção é Scaleway). Precisão da arquitetura (decisão de 2026-07-24): A inferência de IA baseia-se no canal primário </w:t>
      </w:r>
      <w:r>
        <w:rPr>
          <w:lang w:val="pt-PT"/>
        </w:rPr>
        <w:t xml:space="preserve"/>
      </w:r>
      <w:r>
        <w:rPr>
          <w:b/>
          <w:bCs/>
          <w:lang w:val="pt-PT"/>
        </w:rPr>
        <w:t xml:space="preserve">em servidores </w:t>
      </w:r>
      <w:r>
        <w:rPr>
          <w:lang w:val="pt-PT"/>
        </w:rPr>
        <w:t xml:space="preserve"/>
      </w:r>
      <w:r>
        <w:rPr>
          <w:lang w:val="pt-PT"/>
        </w:rPr>
        <w:t xml:space="preserve">vLLM </w:t>
      </w:r>
      <w:r>
        <w:rPr>
          <w:lang w:val="pt-PT"/>
        </w:rPr>
        <w:t xml:space="preserve"/>
      </w:r>
      <w:r>
        <w:rPr>
          <w:b/>
          <w:bCs/>
          <w:lang w:val="pt-PT"/>
        </w:rPr>
        <w:t xml:space="preserve">controlados na UE (modelos de </w:t>
      </w:r>
      <w:r>
        <w:rPr>
          <w:lang w:val="pt-PT"/>
        </w:rPr>
        <w:t xml:space="preserve"/>
      </w:r>
      <w:r>
        <w:rPr>
          <w:lang w:val="pt-PT"/>
        </w:rPr>
        <w:t xml:space="preserve">pesos abertos, §2.4), OpenRouter </w:t>
      </w:r>
      <w:r>
        <w:rPr>
          <w:lang w:val="pt-PT"/>
        </w:rPr>
        <w:t xml:space="preserve"/>
      </w:r>
      <w:r>
        <w:rPr>
          <w:b/>
          <w:bCs/>
          <w:lang w:val="pt-PT"/>
        </w:rPr>
        <w:t xml:space="preserve">e fornecedores de modelos intervindo apenas no canal de backup (failover), que pode ser desativado </w:t>
      </w:r>
      <w:r>
        <w:rPr>
          <w:lang w:val="pt-PT"/>
        </w:rPr>
        <w:t xml:space="preserve"/>
      </w:r>
      <w:r>
        <w:rPr>
          <w:lang w:val="pt-PT"/>
        </w:rPr>
        <w:t xml:space="preserve">(§2.5 e §2.6).</w:t>
      </w:r>
    </w:p>
    <w:bookmarkEnd w:id="78"/>
    <w:bookmarkStart w:id="87" w:name="X7d7f3d4ba56fafba29532d1f9b5368d2f9d3cb0"/>
    <w:p>
      <w:pPr>
        <w:pStyle w:val="Heading2"/>
        <w:keepNext/>
        <w:keepLines/>
      </w:pPr>
      <w:r>
        <w:rPr>
          <w:color w:val="000000"/>
          <w:lang w:val="pt-PT"/>
        </w:rPr>
        <w:t xml:space="preserve">2. Subcontratantes ulteriores — Opção A (SaaS)</w:t>
      </w:r>
    </w:p>
    <w:bookmarkStart w:id="79" w:name="X081dbe31af525cb2a235c0a1bf0fc12e9f8c06e"/>
    <w:p>
      <w:pPr>
        <w:pStyle w:val="Heading3"/>
        <w:keepNext/>
        <w:keepLines/>
      </w:pPr>
      <w:r>
        <w:rPr>
          <w:color w:val="000000"/>
          <w:lang w:val="pt-PT"/>
        </w:rPr>
        <w:t xml:space="preserve">2.1 Hostinger – Hostinger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Hostinger (operações na UE)</w:t>
            </w:r>
          </w:p>
        </w:tc>
      </w:tr>
      <w:tr>
        <w:trPr>
          <w:cantSplit/>
        </w:trPr>
        <w:tc>
          <w:tcPr/>
          <w:p>
            <w:pPr>
              <w:pStyle w:val="Compact"/>
            </w:pPr>
            <w:r>
              <w:rPr>
                <w:lang w:val="pt-PT"/>
              </w:rPr>
              <w:t xml:space="preserve">País de estabelecimento</w:t>
            </w:r>
          </w:p>
        </w:tc>
        <w:tc>
          <w:tcPr/>
          <w:p>
            <w:pPr>
              <w:pStyle w:val="Compact"/>
            </w:pPr>
            <w:r>
              <w:rPr>
                <w:lang w:val="pt-PT"/>
              </w:rPr>
              <w:t xml:space="preserve">Lituânia (UE)</w:t>
            </w:r>
          </w:p>
        </w:tc>
      </w:tr>
      <w:tr>
        <w:trPr>
          <w:cantSplit/>
        </w:trPr>
        <w:tc>
          <w:tcPr/>
          <w:p>
            <w:pPr>
              <w:pStyle w:val="Compact"/>
            </w:pPr>
            <w:r>
              <w:rPr>
                <w:lang w:val="pt-PT"/>
              </w:rPr>
              <w:t xml:space="preserve">Função</w:t>
            </w:r>
          </w:p>
        </w:tc>
        <w:tc>
          <w:tcPr/>
          <w:p>
            <w:pPr>
              <w:pStyle w:val="Compact"/>
            </w:pPr>
            <w:r>
              <w:rPr>
                <w:lang w:val="pt-PT"/>
              </w:rPr>
              <w:t xml:space="preserve">Alojamento de servidor de produção</w:t>
            </w:r>
          </w:p>
        </w:tc>
      </w:tr>
      <w:tr>
        <w:trPr>
          <w:cantSplit/>
        </w:trPr>
        <w:tc>
          <w:tcPr/>
          <w:p>
            <w:pPr>
              <w:pStyle w:val="Compact"/>
            </w:pPr>
            <w:r>
              <w:rPr>
                <w:lang w:val="pt-PT"/>
              </w:rPr>
              <w:t xml:space="preserve">Operações realizadas</w:t>
            </w:r>
          </w:p>
        </w:tc>
        <w:tc>
          <w:tcPr/>
          <w:p>
            <w:pPr>
              <w:pStyle w:val="Compact"/>
            </w:pPr>
            <w:r>
              <w:rPr>
                <w:lang w:val="pt-PT"/>
              </w:rPr>
              <w:t xml:space="preserve">Fornecimento de infraestrutura de servidores (KVM), rede, disponibilidade</w:t>
            </w:r>
          </w:p>
        </w:tc>
      </w:tr>
      <w:tr>
        <w:trPr>
          <w:cantSplit/>
        </w:trPr>
        <w:tc>
          <w:tcPr/>
          <w:p>
            <w:pPr>
              <w:pStyle w:val="Compact"/>
            </w:pPr>
            <w:r>
              <w:rPr>
                <w:lang w:val="pt-PT"/>
              </w:rPr>
              <w:t xml:space="preserve">Local de processamento</w:t>
            </w:r>
          </w:p>
        </w:tc>
        <w:tc>
          <w:tcPr/>
          <w:p>
            <w:pPr>
              <w:pStyle w:val="Compact"/>
            </w:pPr>
            <w:r>
              <w:rPr>
                <w:lang w:val="pt-PT"/>
              </w:rPr>
              <w:t xml:space="preserve">Datacenter </w:t>
            </w:r>
            <w:r>
              <w:rPr>
                <w:lang w:val="pt-PT"/>
              </w:rPr>
              <w:t xml:space="preserve"/>
            </w:r>
            <w:r>
              <w:rPr>
                <w:b/>
                <w:bCs/>
                <w:lang w:val="pt-PT"/>
              </w:rPr>
              <w:t xml:space="preserve">França</w:t>
            </w:r>
          </w:p>
        </w:tc>
      </w:tr>
      <w:tr>
        <w:trPr>
          <w:cantSplit/>
        </w:trPr>
        <w:tc>
          <w:tcPr/>
          <w:p>
            <w:pPr>
              <w:pStyle w:val="Compact"/>
            </w:pPr>
            <w:r>
              <w:rPr>
                <w:lang w:val="pt-PT"/>
              </w:rPr>
              <w:t xml:space="preserve">Local de armazenamento</w:t>
            </w:r>
          </w:p>
        </w:tc>
        <w:tc>
          <w:tcPr/>
          <w:p>
            <w:pPr>
              <w:pStyle w:val="Compact"/>
            </w:pPr>
            <w:r>
              <w:rPr>
                <w:lang w:val="pt-PT"/>
              </w:rPr>
              <w:t xml:space="preserve">Datacenter </w:t>
            </w:r>
            <w:r>
              <w:rPr>
                <w:lang w:val="pt-PT"/>
              </w:rPr>
              <w:t xml:space="preserve"/>
            </w:r>
            <w:r>
              <w:rPr>
                <w:b/>
                <w:bCs/>
                <w:lang w:val="pt-PT"/>
              </w:rPr>
              <w:t xml:space="preserve">França</w:t>
            </w:r>
          </w:p>
        </w:tc>
      </w:tr>
      <w:tr>
        <w:trPr>
          <w:cantSplit/>
        </w:trPr>
        <w:tc>
          <w:tcPr/>
          <w:p>
            <w:pPr>
              <w:pStyle w:val="Compact"/>
            </w:pPr>
            <w:r>
              <w:rPr>
                <w:lang w:val="pt-PT"/>
              </w:rPr>
              <w:t xml:space="preserve">Acesso humano aos dados</w:t>
            </w:r>
          </w:p>
        </w:tc>
        <w:tc>
          <w:tcPr/>
          <w:p>
            <w:pPr>
              <w:pStyle w:val="Compact"/>
            </w:pPr>
            <w:r>
              <w:rPr>
                <w:b/>
                <w:bCs/>
                <w:lang w:val="pt-PT"/>
              </w:rPr>
              <w:t xml:space="preserve">Não </w:t>
            </w:r>
            <w:r>
              <w:rPr>
                <w:lang w:val="pt-PT"/>
              </w:rPr>
              <w:t xml:space="preserve"/>
            </w:r>
            <w:r>
              <w:rPr>
                <w:lang w:val="pt-PT"/>
              </w:rPr>
              <w:t xml:space="preserve">— apenas acesso físico ao data center, sem acesso lógico; cifragem de disco de acordo com a oferta do datacenter (atualização LUKS/gocryptfs planejada)</w:t>
            </w:r>
          </w:p>
        </w:tc>
      </w:tr>
      <w:tr>
        <w:trPr>
          <w:cantSplit/>
        </w:trPr>
        <w:tc>
          <w:tcPr/>
          <w:p>
            <w:pPr>
              <w:pStyle w:val="Compact"/>
            </w:pPr>
            <w:r>
              <w:rPr>
                <w:lang w:val="pt-PT"/>
              </w:rPr>
              <w:t xml:space="preserve">Garantias contratuais</w:t>
            </w:r>
          </w:p>
        </w:tc>
        <w:tc>
          <w:tcPr/>
          <w:p>
            <w:pPr>
              <w:pStyle w:val="Compact"/>
            </w:pPr>
            <w:r>
              <w:rPr>
                <w:lang w:val="pt-PT"/>
              </w:rPr>
              <w:t xml:space="preserve">Contrato de serviço, cláusulas de subcontratação, compromissos RGPD</w:t>
            </w:r>
          </w:p>
        </w:tc>
      </w:tr>
    </w:tbl>
    <w:bookmarkEnd w:id="79"/>
    <w:bookmarkStart w:id="80" w:name="X2447a6290f02c28099d63de2637d6318aba6aab"/>
    <w:p>
      <w:pPr>
        <w:pStyle w:val="Heading3"/>
        <w:keepNext/>
        <w:keepLines/>
      </w:pPr>
      <w:r>
        <w:rPr>
          <w:color w:val="000000"/>
          <w:lang w:val="pt-PT"/>
        </w:rPr>
        <w:t xml:space="preserve">2.2 Backup externo – Scaleway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Scaleway</w:t>
            </w:r>
          </w:p>
        </w:tc>
      </w:tr>
      <w:tr>
        <w:trPr>
          <w:cantSplit/>
        </w:trPr>
        <w:tc>
          <w:tcPr/>
          <w:p>
            <w:pPr>
              <w:pStyle w:val="Compact"/>
            </w:pPr>
            <w:r>
              <w:rPr>
                <w:lang w:val="pt-PT"/>
              </w:rPr>
              <w:t xml:space="preserve">País de estabelecimento</w:t>
            </w:r>
          </w:p>
        </w:tc>
        <w:tc>
          <w:tcPr/>
          <w:p>
            <w:pPr>
              <w:pStyle w:val="Compact"/>
            </w:pPr>
            <w:r>
              <w:rPr>
                <w:lang w:val="pt-PT"/>
              </w:rPr>
              <w:t xml:space="preserve">França (UE)</w:t>
            </w:r>
          </w:p>
        </w:tc>
      </w:tr>
      <w:tr>
        <w:trPr>
          <w:cantSplit/>
        </w:trPr>
        <w:tc>
          <w:tcPr/>
          <w:p>
            <w:pPr>
              <w:pStyle w:val="Compact"/>
            </w:pPr>
            <w:r>
              <w:rPr>
                <w:lang w:val="pt-PT"/>
              </w:rPr>
              <w:t xml:space="preserve">Função</w:t>
            </w:r>
          </w:p>
        </w:tc>
        <w:tc>
          <w:tcPr/>
          <w:p>
            <w:pPr>
              <w:pStyle w:val="Compact"/>
            </w:pPr>
            <w:r>
              <w:rPr>
                <w:lang w:val="pt-PT"/>
              </w:rPr>
              <w:t xml:space="preserve">Armazenando backups cifrados</w:t>
            </w:r>
          </w:p>
        </w:tc>
      </w:tr>
      <w:tr>
        <w:trPr>
          <w:cantSplit/>
        </w:trPr>
        <w:tc>
          <w:tcPr/>
          <w:p>
            <w:pPr>
              <w:pStyle w:val="Compact"/>
            </w:pPr>
            <w:r>
              <w:rPr>
                <w:lang w:val="pt-PT"/>
              </w:rPr>
              <w:t xml:space="preserve">Operações realizadas</w:t>
            </w:r>
          </w:p>
        </w:tc>
        <w:tc>
          <w:tcPr/>
          <w:p>
            <w:pPr>
              <w:pStyle w:val="Compact"/>
            </w:pPr>
            <w:r>
              <w:rPr>
                <w:lang w:val="pt-PT"/>
              </w:rPr>
              <w:t xml:space="preserve">Armazenamento de objetos de backups terceirizados</w:t>
            </w:r>
          </w:p>
        </w:tc>
      </w:tr>
      <w:tr>
        <w:trPr>
          <w:cantSplit/>
        </w:trPr>
        <w:tc>
          <w:tcPr/>
          <w:p>
            <w:pPr>
              <w:pStyle w:val="Compact"/>
            </w:pPr>
            <w:r>
              <w:rPr>
                <w:lang w:val="pt-PT"/>
              </w:rPr>
              <w:t xml:space="preserve">Local de processamento/armazenamento</w:t>
            </w:r>
          </w:p>
        </w:tc>
        <w:tc>
          <w:tcPr/>
          <w:p>
            <w:pPr>
              <w:pStyle w:val="Compact"/>
            </w:pPr>
            <w:r>
              <w:rPr>
                <w:b/>
                <w:bCs/>
                <w:lang w:val="pt-PT"/>
              </w:rPr>
              <w:t xml:space="preserve">França (região da UE)</w:t>
            </w:r>
          </w:p>
        </w:tc>
      </w:tr>
      <w:tr>
        <w:trPr>
          <w:cantSplit/>
        </w:trPr>
        <w:tc>
          <w:tcPr/>
          <w:p>
            <w:pPr>
              <w:pStyle w:val="Compact"/>
            </w:pPr>
            <w:r>
              <w:rPr>
                <w:lang w:val="pt-PT"/>
              </w:rPr>
              <w:t xml:space="preserve">Acesso humano aos dados</w:t>
            </w:r>
          </w:p>
        </w:tc>
        <w:tc>
          <w:tcPr/>
          <w:p>
            <w:pPr>
              <w:pStyle w:val="Compact"/>
            </w:pPr>
            <w:r>
              <w:rPr>
                <w:b/>
                <w:bCs/>
                <w:lang w:val="pt-PT"/>
              </w:rPr>
              <w:t xml:space="preserve">Não </w:t>
            </w:r>
            <w:r>
              <w:rPr>
                <w:lang w:val="pt-PT"/>
              </w:rPr>
              <w:t xml:space="preserve"/>
            </w:r>
            <w:r>
              <w:rPr>
                <w:lang w:val="pt-PT"/>
              </w:rPr>
              <w:t xml:space="preserve">— dados cifrados com age </w:t>
            </w:r>
            <w:r>
              <w:rPr>
                <w:lang w:val="pt-PT"/>
              </w:rPr>
              <w:t xml:space="preserve">antes </w:t>
            </w:r>
            <w:r>
              <w:rPr>
                <w:b/>
                <w:bCs/>
                <w:lang w:val="pt-PT"/>
              </w:rPr>
              <w:t xml:space="preserve">da </w:t>
            </w:r>
            <w:r>
              <w:rPr>
                <w:lang w:val="pt-PT"/>
              </w:rPr>
              <w:t xml:space="preserve"/>
            </w:r>
            <w:r>
              <w:rPr>
                <w:lang w:val="pt-PT"/>
              </w:rPr>
              <w:t xml:space="preserve">externalização; chaves detidas por OHADJA (na UE). O provedor de serviços mantém apenas blocos cifrados ilegíveis</w:t>
            </w:r>
          </w:p>
        </w:tc>
      </w:tr>
      <w:tr>
        <w:trPr>
          <w:cantSplit/>
        </w:trPr>
        <w:tc>
          <w:tcPr/>
          <w:p>
            <w:pPr>
              <w:pStyle w:val="Compact"/>
            </w:pPr>
            <w:r>
              <w:rPr>
                <w:lang w:val="pt-PT"/>
              </w:rPr>
              <w:t xml:space="preserve">Garantias contratuais</w:t>
            </w:r>
          </w:p>
        </w:tc>
        <w:tc>
          <w:tcPr/>
          <w:p>
            <w:pPr>
              <w:pStyle w:val="Compact"/>
            </w:pPr>
            <w:r>
              <w:rPr>
                <w:lang w:val="pt-PT"/>
              </w:rPr>
              <w:t xml:space="preserve">Contrato de serviço, compromissos RGPD (provedor de serviços estabelecido e hospedado na França)</w:t>
            </w:r>
          </w:p>
        </w:tc>
      </w:tr>
    </w:tbl>
    <w:p>
      <w:pPr>
        <w:pStyle w:val="BlockText"/>
      </w:pPr>
      <w:r>
        <w:rPr>
          <w:b/>
          <w:bCs/>
          <w:lang w:val="pt-PT"/>
        </w:rPr>
        <w:t xml:space="preserve">Nota. </w:t>
      </w:r>
      <w:r>
        <w:rPr>
          <w:lang w:val="pt-PT"/>
        </w:rPr>
        <w:t xml:space="preserve"/>
      </w:r>
      <w:r>
        <w:rPr>
          <w:lang w:val="pt-PT"/>
        </w:rPr>
        <w:t xml:space="preserve">O destino de backup efetivamente configurado em produção é Scaleway </w:t>
      </w:r>
      <w:r>
        <w:rPr>
          <w:lang w:val="pt-PT"/>
        </w:rPr>
        <w:t xml:space="preserve"/>
      </w:r>
      <w:r>
        <w:rPr>
          <w:b/>
          <w:bCs/>
          <w:lang w:val="pt-PT"/>
        </w:rPr>
        <w:t xml:space="preserve">(França), verificado </w:t>
      </w:r>
      <w:r>
        <w:rPr>
          <w:lang w:val="pt-PT"/>
        </w:rPr>
        <w:t xml:space="preserve">no ambiente de produção em 24/07/2026. Backblaze, uma vez considerado uma alternativa, não é utilizado. </w:t>
      </w:r>
      <w:r>
        <w:rPr>
          <w:lang w:val="pt-PT"/>
        </w:rPr>
        <w:t xml:space="preserve"/>
      </w:r>
      <w:r>
        <w:rPr>
          <w:b/>
          <w:bCs/>
          <w:lang w:val="pt-PT"/>
        </w:rPr>
        <w:t xml:space="preserve">A cadeia de </w:t>
      </w:r>
      <w:r>
        <w:rPr>
          <w:lang w:val="pt-PT"/>
        </w:rPr>
        <w:t xml:space="preserve">backup está, portanto, inteiramente na UE, sendo os dados também encriptados antes da saída e ilegíveis para o fornecedor de serviços.</w:t>
      </w:r>
    </w:p>
    <w:bookmarkEnd w:id="80"/>
    <w:bookmarkStart w:id="81" w:name="X5eda3f95e6ae0a3f98e9e21cefd17b111bd1d7f"/>
    <w:p>
      <w:pPr>
        <w:pStyle w:val="Heading3"/>
        <w:keepNext/>
        <w:keepLines/>
      </w:pPr>
      <w:r>
        <w:rPr>
          <w:color w:val="000000"/>
          <w:lang w:val="pt-PT"/>
        </w:rPr>
        <w:t xml:space="preserve">2.3 Transcrição de GPU – GPU dedicada/Vast.ai (se habilitado)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Servidor GPU dedicado; Vast.ai quando ativado</w:t>
            </w:r>
          </w:p>
        </w:tc>
      </w:tr>
      <w:tr>
        <w:trPr>
          <w:cantSplit/>
        </w:trPr>
        <w:tc>
          <w:tcPr/>
          <w:p>
            <w:pPr>
              <w:pStyle w:val="Compact"/>
            </w:pPr>
            <w:r>
              <w:rPr>
                <w:lang w:val="pt-PT"/>
              </w:rPr>
              <w:t xml:space="preserve">País de estabelecimento</w:t>
            </w:r>
          </w:p>
        </w:tc>
        <w:tc>
          <w:tcPr/>
          <w:p>
            <w:pPr>
              <w:pStyle w:val="Compact"/>
            </w:pPr>
            <w:r>
              <w:rPr>
                <w:lang w:val="pt-PT"/>
              </w:rPr>
              <w:t xml:space="preserve">GPU dedicada: UE; Vast.ai: EUA (mercado)</w:t>
            </w:r>
          </w:p>
        </w:tc>
      </w:tr>
      <w:tr>
        <w:trPr>
          <w:cantSplit/>
        </w:trPr>
        <w:tc>
          <w:tcPr/>
          <w:p>
            <w:pPr>
              <w:pStyle w:val="Compact"/>
            </w:pPr>
            <w:r>
              <w:rPr>
                <w:lang w:val="pt-PT"/>
              </w:rPr>
              <w:t xml:space="preserve">Função</w:t>
            </w:r>
          </w:p>
        </w:tc>
        <w:tc>
          <w:tcPr/>
          <w:p>
            <w:pPr>
              <w:pStyle w:val="Compact"/>
            </w:pPr>
            <w:r>
              <w:rPr>
                <w:lang w:val="pt-PT"/>
              </w:rPr>
              <w:t xml:space="preserve">Transcrição (whisperX) e diarização (pyannote)</w:t>
            </w:r>
          </w:p>
        </w:tc>
      </w:tr>
      <w:tr>
        <w:trPr>
          <w:cantSplit/>
        </w:trPr>
        <w:tc>
          <w:tcPr/>
          <w:p>
            <w:pPr>
              <w:pStyle w:val="Compact"/>
            </w:pPr>
            <w:r>
              <w:rPr>
                <w:lang w:val="pt-PT"/>
              </w:rPr>
              <w:t xml:space="preserve">Operações realizadas</w:t>
            </w:r>
          </w:p>
        </w:tc>
        <w:tc>
          <w:tcPr/>
          <w:p>
            <w:pPr>
              <w:pStyle w:val="Compact"/>
            </w:pPr>
            <w:r>
              <w:rPr>
                <w:lang w:val="pt-PT"/>
              </w:rPr>
              <w:t xml:space="preserve">Transcrição automática, diarização posicional, quando aplicável, correlação de voz efêmera</w:t>
            </w:r>
          </w:p>
        </w:tc>
      </w:tr>
      <w:tr>
        <w:trPr>
          <w:cantSplit/>
        </w:trPr>
        <w:tc>
          <w:tcPr/>
          <w:p>
            <w:pPr>
              <w:pStyle w:val="Compact"/>
            </w:pPr>
            <w:r>
              <w:rPr>
                <w:lang w:val="pt-PT"/>
              </w:rPr>
              <w:t xml:space="preserve">Local de processamento</w:t>
            </w:r>
          </w:p>
        </w:tc>
        <w:tc>
          <w:tcPr/>
          <w:p>
            <w:pPr>
              <w:pStyle w:val="Compact"/>
            </w:pPr>
            <w:r>
              <w:rPr>
                <w:lang w:val="pt-PT"/>
              </w:rPr>
              <w:t xml:space="preserve">UE quando exigido pelo cliente (máquinas selecionadas na UE)</w:t>
            </w:r>
          </w:p>
        </w:tc>
      </w:tr>
      <w:tr>
        <w:trPr>
          <w:cantSplit/>
        </w:trPr>
        <w:tc>
          <w:tcPr/>
          <w:p>
            <w:pPr>
              <w:pStyle w:val="Compact"/>
            </w:pPr>
            <w:r>
              <w:rPr>
                <w:lang w:val="pt-PT"/>
              </w:rPr>
              <w:t xml:space="preserve">Local de armazenamento</w:t>
            </w:r>
          </w:p>
        </w:tc>
        <w:tc>
          <w:tcPr/>
          <w:p>
            <w:pPr>
              <w:pStyle w:val="Compact"/>
            </w:pPr>
            <w:r>
              <w:rPr>
                <w:lang w:val="pt-PT"/>
              </w:rPr>
              <w:t xml:space="preserve">Sem armazenamento durável – dados excluídos após o trabalho</w:t>
            </w:r>
          </w:p>
        </w:tc>
      </w:tr>
      <w:tr>
        <w:trPr>
          <w:cantSplit/>
        </w:trPr>
        <w:tc>
          <w:tcPr/>
          <w:p>
            <w:pPr>
              <w:pStyle w:val="Compact"/>
            </w:pPr>
            <w:r>
              <w:rPr>
                <w:lang w:val="pt-PT"/>
              </w:rPr>
              <w:t xml:space="preserve">Acesso humano aos dados</w:t>
            </w:r>
          </w:p>
        </w:tc>
        <w:tc>
          <w:tcPr/>
          <w:p>
            <w:pPr>
              <w:pStyle w:val="Compact"/>
            </w:pPr>
            <w:r>
              <w:rPr>
                <w:b/>
                <w:bCs/>
                <w:lang w:val="pt-PT"/>
              </w:rPr>
              <w:t xml:space="preserve">Não </w:t>
            </w:r>
            <w:r>
              <w:rPr>
                <w:lang w:val="pt-PT"/>
              </w:rPr>
              <w:t xml:space="preserve"/>
            </w:r>
            <w:r>
              <w:rPr>
                <w:lang w:val="pt-PT"/>
              </w:rPr>
              <w:t xml:space="preserve">— processamento automatizado; exclusão no final do trabalho</w:t>
            </w:r>
          </w:p>
        </w:tc>
      </w:tr>
      <w:tr>
        <w:trPr>
          <w:cantSplit/>
        </w:trPr>
        <w:tc>
          <w:tcPr/>
          <w:p>
            <w:pPr>
              <w:pStyle w:val="Compact"/>
            </w:pPr>
            <w:r>
              <w:rPr>
                <w:lang w:val="pt-PT"/>
              </w:rPr>
              <w:t xml:space="preserve">Garantias contratuais</w:t>
            </w:r>
          </w:p>
        </w:tc>
        <w:tc>
          <w:tcPr/>
          <w:p>
            <w:pPr>
              <w:pStyle w:val="Compact"/>
            </w:pPr>
            <w:r>
              <w:rPr>
                <w:lang w:val="pt-PT"/>
              </w:rPr>
              <w:t xml:space="preserve">Contrato/condições do fornecedor; seleção de recursos da UE quando necessário; CCT ou garantias equivalentes se estiver fora da UE</w:t>
            </w:r>
          </w:p>
        </w:tc>
      </w:tr>
    </w:tbl>
    <w:bookmarkEnd w:id="81"/>
    <w:bookmarkStart w:id="82" w:name="X0b150814d8678abee802aa800d15a6e2f5b57ee"/>
    <w:p>
      <w:pPr>
        <w:pStyle w:val="Heading3"/>
        <w:keepNext/>
        <w:keepLines/>
      </w:pPr>
      <w:r>
        <w:rPr>
          <w:color w:val="000000"/>
          <w:lang w:val="pt-PT"/>
        </w:rPr>
        <w:t xml:space="preserve">2.4 Inferência de IA — servidores vLLM controlados (canal primário)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OHADJA (servidores GPU masterizados)</w:t>
            </w:r>
          </w:p>
        </w:tc>
      </w:tr>
      <w:tr>
        <w:trPr>
          <w:cantSplit/>
        </w:trPr>
        <w:tc>
          <w:tcPr/>
          <w:p>
            <w:pPr>
              <w:pStyle w:val="Compact"/>
            </w:pPr>
            <w:r>
              <w:rPr>
                <w:lang w:val="pt-PT"/>
              </w:rPr>
              <w:t xml:space="preserve">País de estabelecimento</w:t>
            </w:r>
          </w:p>
        </w:tc>
        <w:tc>
          <w:tcPr/>
          <w:p>
            <w:pPr>
              <w:pStyle w:val="Compact"/>
            </w:pPr>
            <w:r>
              <w:rPr>
                <w:lang w:val="pt-PT"/>
              </w:rPr>
              <w:t xml:space="preserve">França / UE</w:t>
            </w:r>
          </w:p>
        </w:tc>
      </w:tr>
      <w:tr>
        <w:trPr>
          <w:cantSplit/>
        </w:trPr>
        <w:tc>
          <w:tcPr/>
          <w:p>
            <w:pPr>
              <w:pStyle w:val="Compact"/>
            </w:pPr>
            <w:r>
              <w:rPr>
                <w:lang w:val="pt-PT"/>
              </w:rPr>
              <w:t xml:space="preserve">Função</w:t>
            </w:r>
          </w:p>
        </w:tc>
        <w:tc>
          <w:tcPr/>
          <w:p>
            <w:pPr>
              <w:pStyle w:val="Compact"/>
            </w:pPr>
            <w:r>
              <w:rPr>
                <w:b/>
                <w:bCs/>
                <w:lang w:val="pt-PT"/>
              </w:rPr>
              <w:t xml:space="preserve">Rota primária </w:t>
            </w:r>
            <w:r>
              <w:rPr>
                <w:lang w:val="pt-PT"/>
              </w:rPr>
              <w:t xml:space="preserve"/>
            </w:r>
            <w:r>
              <w:rPr>
                <w:lang w:val="pt-PT"/>
              </w:rPr>
              <w:t xml:space="preserve">de inferência de modelo de linguagem (funções de IA)</w:t>
            </w:r>
          </w:p>
        </w:tc>
      </w:tr>
      <w:tr>
        <w:trPr>
          <w:cantSplit/>
        </w:trPr>
        <w:tc>
          <w:tcPr/>
          <w:p>
            <w:pPr>
              <w:pStyle w:val="Compact"/>
            </w:pPr>
            <w:r>
              <w:rPr>
                <w:lang w:val="pt-PT"/>
              </w:rPr>
              <w:t xml:space="preserve">Operações realizadas</w:t>
            </w:r>
          </w:p>
        </w:tc>
        <w:tc>
          <w:tcPr/>
          <w:p>
            <w:pPr>
              <w:pStyle w:val="Compact"/>
            </w:pPr>
            <w:r>
              <w:rPr>
                <w:lang w:val="pt-PT"/>
              </w:rPr>
              <w:t xml:space="preserve">Inferência de modelos </w:t>
            </w:r>
            <w:r>
              <w:rPr>
                <w:lang w:val="pt-PT"/>
              </w:rPr>
              <w:t xml:space="preserve">de </w:t>
            </w:r>
            <w:r>
              <w:rPr>
                <w:b/>
                <w:bCs/>
                <w:lang w:val="pt-PT"/>
              </w:rPr>
              <w:t xml:space="preserve">pesos abertos </w:t>
            </w:r>
            <w:r>
              <w:rPr>
                <w:lang w:val="pt-PT"/>
              </w:rPr>
              <w:t xml:space="preserve"/>
            </w:r>
            <w:r>
              <w:rPr>
                <w:lang w:val="pt-PT"/>
              </w:rPr>
              <w:t xml:space="preserve">(Qwen 3.6 ou Mistral [versões a serem confirmadas]) via vLLM</w:t>
            </w:r>
          </w:p>
        </w:tc>
      </w:tr>
      <w:tr>
        <w:trPr>
          <w:cantSplit/>
        </w:trPr>
        <w:tc>
          <w:tcPr/>
          <w:p>
            <w:pPr>
              <w:pStyle w:val="Compact"/>
            </w:pPr>
            <w:r>
              <w:rPr>
                <w:lang w:val="pt-PT"/>
              </w:rPr>
              <w:t xml:space="preserve">Local de processamento</w:t>
            </w:r>
          </w:p>
        </w:tc>
        <w:tc>
          <w:tcPr/>
          <w:p>
            <w:pPr>
              <w:pStyle w:val="Compact"/>
            </w:pPr>
            <w:r>
              <w:rPr>
                <w:b/>
                <w:bCs/>
                <w:lang w:val="pt-PT"/>
              </w:rPr>
              <w:t xml:space="preserve">UE — principalmente Estrasburgo e Paris </w:t>
            </w:r>
            <w:r>
              <w:rPr>
                <w:lang w:val="pt-PT"/>
              </w:rPr>
              <w:t xml:space="preserve"/>
            </w:r>
            <w:r>
              <w:rPr>
                <w:lang w:val="pt-PT"/>
              </w:rPr>
              <w:t xml:space="preserve">(ou infraestrutura do cliente na opção B)</w:t>
            </w:r>
          </w:p>
        </w:tc>
      </w:tr>
      <w:tr>
        <w:trPr>
          <w:cantSplit/>
        </w:trPr>
        <w:tc>
          <w:tcPr/>
          <w:p>
            <w:pPr>
              <w:pStyle w:val="Compact"/>
            </w:pPr>
            <w:r>
              <w:rPr>
                <w:lang w:val="pt-PT"/>
              </w:rPr>
              <w:t xml:space="preserve">Local de armazenamento</w:t>
            </w:r>
          </w:p>
        </w:tc>
        <w:tc>
          <w:tcPr/>
          <w:p>
            <w:pPr>
              <w:pStyle w:val="Compact"/>
            </w:pPr>
            <w:r>
              <w:rPr>
                <w:lang w:val="pt-PT"/>
              </w:rPr>
              <w:t xml:space="preserve">Sem armazenamento duradouro; </w:t>
            </w:r>
            <w:r>
              <w:rPr>
                <w:lang w:val="pt-PT"/>
              </w:rPr>
              <w:t xml:space="preserve"/>
            </w:r>
            <w:r>
              <w:rPr>
                <w:b/>
                <w:bCs/>
                <w:lang w:val="pt-PT"/>
              </w:rPr>
              <w:t xml:space="preserve">nenhuma transmissão para um provedor terceirizado</w:t>
            </w:r>
          </w:p>
        </w:tc>
      </w:tr>
      <w:tr>
        <w:trPr>
          <w:cantSplit/>
        </w:trPr>
        <w:tc>
          <w:tcPr/>
          <w:p>
            <w:pPr>
              <w:pStyle w:val="Compact"/>
            </w:pPr>
            <w:r>
              <w:rPr>
                <w:lang w:val="pt-PT"/>
              </w:rPr>
              <w:t xml:space="preserve">Acesso humano aos dados</w:t>
            </w:r>
          </w:p>
        </w:tc>
        <w:tc>
          <w:tcPr/>
          <w:p>
            <w:pPr>
              <w:pStyle w:val="Compact"/>
            </w:pPr>
            <w:r>
              <w:rPr>
                <w:b/>
                <w:bCs/>
                <w:lang w:val="pt-PT"/>
              </w:rPr>
              <w:t xml:space="preserve">Não </w:t>
            </w:r>
            <w:r>
              <w:rPr>
                <w:lang w:val="pt-PT"/>
              </w:rPr>
              <w:t xml:space="preserve"/>
            </w:r>
            <w:r>
              <w:rPr>
                <w:lang w:val="pt-PT"/>
              </w:rPr>
              <w:t xml:space="preserve">— processamento automatizado em servidores controlados</w:t>
            </w:r>
          </w:p>
        </w:tc>
      </w:tr>
      <w:tr>
        <w:trPr>
          <w:cantSplit/>
        </w:trPr>
        <w:tc>
          <w:tcPr/>
          <w:p>
            <w:pPr>
              <w:pStyle w:val="Compact"/>
            </w:pPr>
            <w:r>
              <w:rPr>
                <w:lang w:val="pt-PT"/>
              </w:rPr>
              <w:t xml:space="preserve">Garantias contratuais</w:t>
            </w:r>
          </w:p>
        </w:tc>
        <w:tc>
          <w:tcPr/>
          <w:p>
            <w:pPr>
              <w:pStyle w:val="Compact"/>
            </w:pPr>
            <w:r>
              <w:rPr>
                <w:lang w:val="pt-PT"/>
              </w:rPr>
              <w:t xml:space="preserve">Servidores sob controlo de OHADJA; sem treino («no-train»); APD</w:t>
            </w:r>
          </w:p>
        </w:tc>
      </w:tr>
    </w:tbl>
    <w:p>
      <w:pPr>
        <w:pStyle w:val="BlockText"/>
      </w:pPr>
      <w:r>
        <w:rPr>
          <w:lang w:val="pt-PT"/>
        </w:rPr>
        <w:t xml:space="preserve">A via principal não envolve </w:t>
      </w:r>
      <w:r>
        <w:rPr>
          <w:lang w:val="pt-PT"/>
        </w:rPr>
        <w:t xml:space="preserve"/>
      </w:r>
      <w:r>
        <w:rPr>
          <w:b/>
          <w:bCs/>
          <w:lang w:val="pt-PT"/>
        </w:rPr>
        <w:t xml:space="preserve">qualquer inferência ou transferência de </w:t>
      </w:r>
      <w:r>
        <w:rPr>
          <w:lang w:val="pt-PT"/>
        </w:rPr>
        <w:t xml:space="preserve"/>
      </w:r>
      <w:r>
        <w:rPr>
          <w:lang w:val="pt-PT"/>
        </w:rPr>
        <w:t xml:space="preserve">terceiros fora do EEE. Dependendo do método de alojamento, estes servidores GPU podem contar com os recursos de um anfitrião da UE devidamente supervisionado </w:t>
      </w:r>
      <w:r>
        <w:rPr>
          <w:lang w:val="pt-PT"/>
        </w:rPr>
        <w:t xml:space="preserve">— </w:t>
      </w:r>
      <w:r>
        <w:rPr>
          <w:b/>
          <w:bCs/>
          <w:lang w:val="pt-PT"/>
        </w:rPr>
        <w:t xml:space="preserve">[A SER CONFIRMADO: anfitrião de servidores GPU </w:t>
      </w:r>
      <w:r>
        <w:rPr>
          <w:lang w:val="pt-PT"/>
        </w:rPr>
        <w:t xml:space="preserve">vLLM].</w:t>
      </w:r>
    </w:p>
    <w:bookmarkEnd w:id="82"/>
    <w:bookmarkStart w:id="83" w:name="Xe24c5cb2d6d45e1fe077f14e9da0e604d7d99b4"/>
    <w:p>
      <w:pPr>
        <w:pStyle w:val="Heading3"/>
        <w:keepNext/>
        <w:keepLines/>
      </w:pPr>
      <w:r>
        <w:rPr>
          <w:color w:val="000000"/>
          <w:lang w:val="pt-PT"/>
        </w:rPr>
        <w:t xml:space="preserve">2.5 Gateway de IA de backup — OpenRouter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OpenRouter Inc.</w:t>
            </w:r>
          </w:p>
        </w:tc>
      </w:tr>
      <w:tr>
        <w:trPr>
          <w:cantSplit/>
        </w:trPr>
        <w:tc>
          <w:tcPr/>
          <w:p>
            <w:pPr>
              <w:pStyle w:val="Compact"/>
            </w:pPr>
            <w:r>
              <w:rPr>
                <w:lang w:val="pt-PT"/>
              </w:rPr>
              <w:t xml:space="preserve">País de estabelecimento</w:t>
            </w:r>
          </w:p>
        </w:tc>
        <w:tc>
          <w:tcPr/>
          <w:p>
            <w:pPr>
              <w:pStyle w:val="Compact"/>
            </w:pPr>
            <w:r>
              <w:rPr>
                <w:lang w:val="pt-PT"/>
              </w:rPr>
              <w:t xml:space="preserve">EUA</w:t>
            </w:r>
          </w:p>
        </w:tc>
      </w:tr>
      <w:tr>
        <w:trPr>
          <w:cantSplit/>
        </w:trPr>
        <w:tc>
          <w:tcPr/>
          <w:p>
            <w:pPr>
              <w:pStyle w:val="Compact"/>
            </w:pPr>
            <w:r>
              <w:rPr>
                <w:lang w:val="pt-PT"/>
              </w:rPr>
              <w:t xml:space="preserve">Função</w:t>
            </w:r>
          </w:p>
        </w:tc>
        <w:tc>
          <w:tcPr/>
          <w:p>
            <w:pPr>
              <w:pStyle w:val="Compact"/>
            </w:pPr>
            <w:r>
              <w:rPr>
                <w:lang w:val="pt-PT"/>
              </w:rPr>
              <w:t xml:space="preserve">Somente gateway de acesso ao modelo </w:t>
            </w:r>
            <w:r>
              <w:rPr>
                <w:lang w:val="pt-PT"/>
              </w:rPr>
              <w:t xml:space="preserve"/>
            </w:r>
            <w:r>
              <w:rPr>
                <w:b/>
                <w:bCs/>
                <w:lang w:val="pt-PT"/>
              </w:rPr>
              <w:t xml:space="preserve">de linguagem de failover, </w:t>
            </w:r>
            <w:r>
              <w:rPr>
                <w:lang w:val="pt-PT"/>
              </w:rPr>
              <w:t xml:space="preserve">desativo pela organização</w:t>
            </w:r>
          </w:p>
        </w:tc>
      </w:tr>
      <w:tr>
        <w:trPr>
          <w:cantSplit/>
        </w:trPr>
        <w:tc>
          <w:tcPr/>
          <w:p>
            <w:pPr>
              <w:pStyle w:val="Compact"/>
            </w:pPr>
            <w:r>
              <w:rPr>
                <w:lang w:val="pt-PT"/>
              </w:rPr>
              <w:t xml:space="preserve">Operações realizadas</w:t>
            </w:r>
          </w:p>
        </w:tc>
        <w:tc>
          <w:tcPr/>
          <w:p>
            <w:pPr>
              <w:pStyle w:val="Compact"/>
            </w:pPr>
            <w:r>
              <w:rPr>
                <w:lang w:val="pt-PT"/>
              </w:rPr>
              <w:t xml:space="preserve">Roteamento de solicitações de inferência em caso de indisponibilidade do canal primário</w:t>
            </w:r>
          </w:p>
        </w:tc>
      </w:tr>
      <w:tr>
        <w:trPr>
          <w:cantSplit/>
        </w:trPr>
        <w:tc>
          <w:tcPr/>
          <w:p>
            <w:pPr>
              <w:pStyle w:val="Compact"/>
            </w:pPr>
            <w:r>
              <w:rPr>
                <w:lang w:val="pt-PT"/>
              </w:rPr>
              <w:t xml:space="preserve">Local de processamento</w:t>
            </w:r>
          </w:p>
        </w:tc>
        <w:tc>
          <w:tcPr/>
          <w:p>
            <w:pPr>
              <w:pStyle w:val="Compact"/>
            </w:pPr>
            <w:r>
              <w:rPr>
                <w:lang w:val="pt-PT"/>
              </w:rPr>
              <w:t xml:space="preserve">Roteamento nos EUA possível dependendo do modelo</w:t>
            </w:r>
          </w:p>
        </w:tc>
      </w:tr>
      <w:tr>
        <w:trPr>
          <w:cantSplit/>
        </w:trPr>
        <w:tc>
          <w:tcPr/>
          <w:p>
            <w:pPr>
              <w:pStyle w:val="Compact"/>
            </w:pPr>
            <w:r>
              <w:rPr>
                <w:lang w:val="pt-PT"/>
              </w:rPr>
              <w:t xml:space="preserve">Local de armazenamento</w:t>
            </w:r>
          </w:p>
        </w:tc>
        <w:tc>
          <w:tcPr/>
          <w:p>
            <w:pPr>
              <w:pStyle w:val="Compact"/>
            </w:pPr>
            <w:r>
              <w:rPr>
                <w:lang w:val="pt-PT"/>
              </w:rPr>
              <w:t xml:space="preserve">Sem armazenamento duradouro; sem treino («no-train») ativado</w:t>
            </w:r>
          </w:p>
        </w:tc>
      </w:tr>
      <w:tr>
        <w:trPr>
          <w:cantSplit/>
        </w:trPr>
        <w:tc>
          <w:tcPr/>
          <w:p>
            <w:pPr>
              <w:pStyle w:val="Compact"/>
            </w:pPr>
            <w:r>
              <w:rPr>
                <w:lang w:val="pt-PT"/>
              </w:rPr>
              <w:t xml:space="preserve">Acesso humano aos dados</w:t>
            </w:r>
          </w:p>
        </w:tc>
        <w:tc>
          <w:tcPr/>
          <w:p>
            <w:pPr>
              <w:pStyle w:val="Compact"/>
            </w:pPr>
            <w:r>
              <w:rPr>
                <w:b/>
                <w:bCs/>
                <w:lang w:val="pt-PT"/>
              </w:rPr>
              <w:t xml:space="preserve">Não </w:t>
            </w:r>
            <w:r>
              <w:rPr>
                <w:lang w:val="pt-PT"/>
              </w:rPr>
              <w:t xml:space="preserve"/>
            </w:r>
            <w:r>
              <w:rPr>
                <w:lang w:val="pt-PT"/>
              </w:rPr>
              <w:t xml:space="preserve">— acesso técnico automatizado; prompts = dados selecionados pelo cliente, minimizados</w:t>
            </w:r>
          </w:p>
        </w:tc>
      </w:tr>
      <w:tr>
        <w:trPr>
          <w:cantSplit/>
        </w:trPr>
        <w:tc>
          <w:tcPr/>
          <w:p>
            <w:pPr>
              <w:pStyle w:val="Compact"/>
            </w:pPr>
            <w:r>
              <w:rPr>
                <w:lang w:val="pt-PT"/>
              </w:rPr>
              <w:t xml:space="preserve">Garantias contratuais</w:t>
            </w:r>
          </w:p>
        </w:tc>
        <w:tc>
          <w:tcPr/>
          <w:p>
            <w:pPr>
              <w:pStyle w:val="Compact"/>
            </w:pPr>
            <w:r>
              <w:rPr>
                <w:lang w:val="pt-PT"/>
              </w:rPr>
              <w:t xml:space="preserve">Condições do fornecedor, sinalizador no-train, cláusulas contratuais-tipo quando aplicáveis, medidas complementares (ver OHA-RGPD-04)</w:t>
            </w:r>
          </w:p>
        </w:tc>
      </w:tr>
    </w:tbl>
    <w:bookmarkEnd w:id="83"/>
    <w:bookmarkStart w:id="84" w:name="X7a9d209f5e73c542f519287662e80a7a58cad7d"/>
    <w:p>
      <w:pPr>
        <w:pStyle w:val="Heading3"/>
        <w:keepNext/>
        <w:keepLines/>
      </w:pPr>
      <w:r>
        <w:rPr>
          <w:color w:val="000000"/>
          <w:lang w:val="pt-PT"/>
        </w:rPr>
        <w:t xml:space="preserve">2.6 Provedores de modelos via OpenRouter (rota alternativa) — Anthropic, OpenAI…</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Provedores de modelos configurados (Anthropic, OpenAI…)</w:t>
            </w:r>
          </w:p>
        </w:tc>
      </w:tr>
      <w:tr>
        <w:trPr>
          <w:cantSplit/>
        </w:trPr>
        <w:tc>
          <w:tcPr/>
          <w:p>
            <w:pPr>
              <w:pStyle w:val="Compact"/>
            </w:pPr>
            <w:r>
              <w:rPr>
                <w:lang w:val="pt-PT"/>
              </w:rPr>
              <w:t xml:space="preserve">País de estabelecimento</w:t>
            </w:r>
          </w:p>
        </w:tc>
        <w:tc>
          <w:tcPr/>
          <w:p>
            <w:pPr>
              <w:pStyle w:val="Compact"/>
            </w:pPr>
            <w:r>
              <w:rPr>
                <w:lang w:val="pt-PT"/>
              </w:rPr>
              <w:t xml:space="preserve">EUA</w:t>
            </w:r>
          </w:p>
        </w:tc>
      </w:tr>
      <w:tr>
        <w:trPr>
          <w:cantSplit/>
        </w:trPr>
        <w:tc>
          <w:tcPr/>
          <w:p>
            <w:pPr>
              <w:pStyle w:val="Compact"/>
            </w:pPr>
            <w:r>
              <w:rPr>
                <w:lang w:val="pt-PT"/>
              </w:rPr>
              <w:t xml:space="preserve">Função</w:t>
            </w:r>
          </w:p>
        </w:tc>
        <w:tc>
          <w:tcPr/>
          <w:p>
            <w:pPr>
              <w:pStyle w:val="Compact"/>
            </w:pPr>
            <w:r>
              <w:rPr>
                <w:lang w:val="pt-PT"/>
              </w:rPr>
              <w:t xml:space="preserve">Inferência de modelos de linguagem </w:t>
            </w:r>
            <w:r>
              <w:rPr>
                <w:lang w:val="pt-PT"/>
              </w:rPr>
              <w:t xml:space="preserve"/>
            </w:r>
            <w:r>
              <w:rPr>
                <w:b/>
                <w:bCs/>
                <w:lang w:val="pt-PT"/>
              </w:rPr>
              <w:t xml:space="preserve">apenas como substituto</w:t>
            </w:r>
          </w:p>
        </w:tc>
      </w:tr>
      <w:tr>
        <w:trPr>
          <w:cantSplit/>
        </w:trPr>
        <w:tc>
          <w:tcPr/>
          <w:p>
            <w:pPr>
              <w:pStyle w:val="Compact"/>
            </w:pPr>
            <w:r>
              <w:rPr>
                <w:lang w:val="pt-PT"/>
              </w:rPr>
              <w:t xml:space="preserve">Operações realizadas</w:t>
            </w:r>
          </w:p>
        </w:tc>
        <w:tc>
          <w:tcPr/>
          <w:p>
            <w:pPr>
              <w:pStyle w:val="Compact"/>
            </w:pPr>
            <w:r>
              <w:rPr>
                <w:lang w:val="pt-PT"/>
              </w:rPr>
              <w:t xml:space="preserve">Geração de texto (correção, resumo, relatório, análise) baseado exclusivamente nas solicitações do cliente, em caso de mudança para backup</w:t>
            </w:r>
          </w:p>
        </w:tc>
      </w:tr>
      <w:tr>
        <w:trPr>
          <w:cantSplit/>
        </w:trPr>
        <w:tc>
          <w:tcPr/>
          <w:p>
            <w:pPr>
              <w:pStyle w:val="Compact"/>
            </w:pPr>
            <w:r>
              <w:rPr>
                <w:lang w:val="pt-PT"/>
              </w:rPr>
              <w:t xml:space="preserve">Local de processamento</w:t>
            </w:r>
          </w:p>
        </w:tc>
        <w:tc>
          <w:tcPr/>
          <w:p>
            <w:pPr>
              <w:pStyle w:val="Compact"/>
            </w:pPr>
            <w:r>
              <w:rPr>
                <w:lang w:val="pt-PT"/>
              </w:rPr>
              <w:t xml:space="preserve">EUA/UE dependendo do modelo</w:t>
            </w:r>
          </w:p>
        </w:tc>
      </w:tr>
      <w:tr>
        <w:trPr>
          <w:cantSplit/>
        </w:trPr>
        <w:tc>
          <w:tcPr/>
          <w:p>
            <w:pPr>
              <w:pStyle w:val="Compact"/>
            </w:pPr>
            <w:r>
              <w:rPr>
                <w:lang w:val="pt-PT"/>
              </w:rPr>
              <w:t xml:space="preserve">Local de armazenamento</w:t>
            </w:r>
          </w:p>
        </w:tc>
        <w:tc>
          <w:tcPr/>
          <w:p>
            <w:pPr>
              <w:pStyle w:val="Compact"/>
            </w:pPr>
            <w:r>
              <w:rPr>
                <w:lang w:val="pt-PT"/>
              </w:rPr>
              <w:t xml:space="preserve">Retenção limitada conforme DPA do fornecedor; sem treino de dados</w:t>
            </w:r>
          </w:p>
        </w:tc>
      </w:tr>
      <w:tr>
        <w:trPr>
          <w:cantSplit/>
        </w:trPr>
        <w:tc>
          <w:tcPr/>
          <w:p>
            <w:pPr>
              <w:pStyle w:val="Compact"/>
            </w:pPr>
            <w:r>
              <w:rPr>
                <w:lang w:val="pt-PT"/>
              </w:rPr>
              <w:t xml:space="preserve">Acesso humano aos dados</w:t>
            </w:r>
          </w:p>
        </w:tc>
        <w:tc>
          <w:tcPr/>
          <w:p>
            <w:pPr>
              <w:pStyle w:val="Compact"/>
            </w:pPr>
            <w:r>
              <w:rPr>
                <w:lang w:val="pt-PT"/>
              </w:rPr>
              <w:t xml:space="preserve">Supervisionado pela DPA do fornecedor; nenhum acesso humano no lado OHADJA</w:t>
            </w:r>
          </w:p>
        </w:tc>
      </w:tr>
      <w:tr>
        <w:trPr>
          <w:cantSplit/>
        </w:trPr>
        <w:tc>
          <w:tcPr/>
          <w:p>
            <w:pPr>
              <w:pStyle w:val="Compact"/>
            </w:pPr>
            <w:r>
              <w:rPr>
                <w:lang w:val="pt-PT"/>
              </w:rPr>
              <w:t xml:space="preserve">Garantias contratuais</w:t>
            </w:r>
          </w:p>
        </w:tc>
        <w:tc>
          <w:tcPr/>
          <w:p>
            <w:pPr>
              <w:pStyle w:val="Compact"/>
            </w:pPr>
            <w:r>
              <w:rPr>
                <w:lang w:val="pt-PT"/>
              </w:rPr>
              <w:t xml:space="preserve">DPA do fornecedor, sem treino («no-train»), CCT, se aplicável; retenção exata [A SER PREENCHIDA pelo fornecedor]</w:t>
            </w:r>
          </w:p>
        </w:tc>
      </w:tr>
    </w:tbl>
    <w:bookmarkEnd w:id="84"/>
    <w:bookmarkStart w:id="85" w:name="X739d67500347b1e3573abccc1a95744451fddf3"/>
    <w:p>
      <w:pPr>
        <w:pStyle w:val="Heading3"/>
        <w:keepNext/>
        <w:keepLines/>
      </w:pPr>
      <w:r>
        <w:rPr>
          <w:color w:val="000000"/>
          <w:lang w:val="pt-PT"/>
        </w:rPr>
        <w:t xml:space="preserve">2.7 E-mail transacional (se ativado)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Entidade</w:t>
            </w:r>
          </w:p>
        </w:tc>
        <w:tc>
          <w:tcPr/>
          <w:p>
            <w:pPr>
              <w:pStyle w:val="Compact"/>
            </w:pPr>
            <w:r>
              <w:rPr>
                <w:lang w:val="pt-PT"/>
              </w:rPr>
              <w:t xml:space="preserve">Provedor de serviços de e-mail transacional</w:t>
            </w:r>
          </w:p>
        </w:tc>
      </w:tr>
      <w:tr>
        <w:trPr>
          <w:cantSplit/>
        </w:trPr>
        <w:tc>
          <w:tcPr/>
          <w:p>
            <w:pPr>
              <w:pStyle w:val="Compact"/>
            </w:pPr>
            <w:r>
              <w:rPr>
                <w:lang w:val="pt-PT"/>
              </w:rPr>
              <w:t xml:space="preserve">País de estabelecimento</w:t>
            </w:r>
          </w:p>
        </w:tc>
        <w:tc>
          <w:tcPr/>
          <w:p>
            <w:pPr>
              <w:pStyle w:val="Compact"/>
            </w:pPr>
            <w:r>
              <w:rPr>
                <w:lang w:val="pt-PT"/>
              </w:rPr>
              <w:t xml:space="preserve">[A SER CONFIRMADO]</w:t>
            </w:r>
          </w:p>
        </w:tc>
      </w:tr>
      <w:tr>
        <w:trPr>
          <w:cantSplit/>
        </w:trPr>
        <w:tc>
          <w:tcPr/>
          <w:p>
            <w:pPr>
              <w:pStyle w:val="Compact"/>
            </w:pPr>
            <w:r>
              <w:rPr>
                <w:lang w:val="pt-PT"/>
              </w:rPr>
              <w:t xml:space="preserve">Função</w:t>
            </w:r>
          </w:p>
        </w:tc>
        <w:tc>
          <w:tcPr/>
          <w:p>
            <w:pPr>
              <w:pStyle w:val="Compact"/>
            </w:pPr>
            <w:r>
              <w:rPr>
                <w:lang w:val="pt-PT"/>
              </w:rPr>
              <w:t xml:space="preserve">Envio de e-mails de atendimento (convites, resets, notificações técnicas)</w:t>
            </w:r>
          </w:p>
        </w:tc>
      </w:tr>
      <w:tr>
        <w:trPr>
          <w:cantSplit/>
        </w:trPr>
        <w:tc>
          <w:tcPr/>
          <w:p>
            <w:pPr>
              <w:pStyle w:val="Compact"/>
            </w:pPr>
            <w:r>
              <w:rPr>
                <w:lang w:val="pt-PT"/>
              </w:rPr>
              <w:t xml:space="preserve">Operações realizadas</w:t>
            </w:r>
          </w:p>
        </w:tc>
        <w:tc>
          <w:tcPr/>
          <w:p>
            <w:pPr>
              <w:pStyle w:val="Compact"/>
            </w:pPr>
            <w:r>
              <w:rPr>
                <w:lang w:val="pt-PT"/>
              </w:rPr>
              <w:t xml:space="preserve">Roteamento de e-mails de serviço</w:t>
            </w:r>
          </w:p>
        </w:tc>
      </w:tr>
      <w:tr>
        <w:trPr>
          <w:cantSplit/>
        </w:trPr>
        <w:tc>
          <w:tcPr/>
          <w:p>
            <w:pPr>
              <w:pStyle w:val="Compact"/>
            </w:pPr>
            <w:r>
              <w:rPr>
                <w:lang w:val="pt-PT"/>
              </w:rPr>
              <w:t xml:space="preserve">Local de processamento/armazenamento</w:t>
            </w:r>
          </w:p>
        </w:tc>
        <w:tc>
          <w:tcPr/>
          <w:p>
            <w:pPr>
              <w:pStyle w:val="Compact"/>
            </w:pPr>
            <w:r>
              <w:rPr>
                <w:lang w:val="pt-PT"/>
              </w:rPr>
              <w:t xml:space="preserve">[A SER CONFIRMADO – preferência da UE]</w:t>
            </w:r>
          </w:p>
        </w:tc>
      </w:tr>
      <w:tr>
        <w:trPr>
          <w:cantSplit/>
        </w:trPr>
        <w:tc>
          <w:tcPr/>
          <w:p>
            <w:pPr>
              <w:pStyle w:val="Compact"/>
            </w:pPr>
            <w:r>
              <w:rPr>
                <w:lang w:val="pt-PT"/>
              </w:rPr>
              <w:t xml:space="preserve">Acesso humano aos dados</w:t>
            </w:r>
          </w:p>
        </w:tc>
        <w:tc>
          <w:tcPr/>
          <w:p>
            <w:pPr>
              <w:pStyle w:val="Compact"/>
            </w:pPr>
            <w:r>
              <w:rPr>
                <w:b/>
                <w:bCs/>
                <w:lang w:val="pt-PT"/>
              </w:rPr>
              <w:t xml:space="preserve">Não</w:t>
            </w:r>
          </w:p>
        </w:tc>
      </w:tr>
      <w:tr>
        <w:trPr>
          <w:cantSplit/>
        </w:trPr>
        <w:tc>
          <w:tcPr/>
          <w:p>
            <w:pPr>
              <w:pStyle w:val="Compact"/>
            </w:pPr>
            <w:r>
              <w:rPr>
                <w:lang w:val="pt-PT"/>
              </w:rPr>
              <w:t xml:space="preserve">Garantias contratuais</w:t>
            </w:r>
          </w:p>
        </w:tc>
        <w:tc>
          <w:tcPr/>
          <w:p>
            <w:pPr>
              <w:pStyle w:val="Compact"/>
            </w:pPr>
            <w:r>
              <w:rPr>
                <w:lang w:val="pt-PT"/>
              </w:rPr>
              <w:t xml:space="preserve">Contrato de serviço, fornecedor DPA, CCT se estiver fora da UE — [A SER CONFIRMADO]</w:t>
            </w:r>
          </w:p>
        </w:tc>
      </w:tr>
    </w:tbl>
    <w:bookmarkEnd w:id="85"/>
    <w:bookmarkStart w:id="86" w:name="X2a3999304a2b98c303cb3c8bf84bf7852a985ad"/>
    <w:p>
      <w:pPr>
        <w:pStyle w:val="Heading3"/>
        <w:keepNext/>
        <w:keepLines/>
      </w:pPr>
      <w:r>
        <w:rPr>
          <w:color w:val="000000"/>
          <w:lang w:val="pt-PT"/>
        </w:rPr>
        <w:t xml:space="preserve">2.8 Supervisão e supervisão de segurança</w:t>
      </w:r>
    </w:p>
    <w:p>
      <w:pPr>
        <w:pStyle w:val="FirstParagraph"/>
      </w:pPr>
      <w:r>
        <w:rPr>
          <w:lang w:val="pt-PT"/>
        </w:rPr>
        <w:t xml:space="preserve">A supervisão técnica (fila, disco, certificados, dependências) e supervisão de segurança são fornecidas </w:t>
      </w:r>
      <w:r>
        <w:rPr>
          <w:lang w:val="pt-PT"/>
        </w:rPr>
        <w:t xml:space="preserve">diretamente </w:t>
      </w:r>
      <w:r>
        <w:rPr>
          <w:b/>
          <w:bCs/>
          <w:lang w:val="pt-PT"/>
        </w:rPr>
        <w:t xml:space="preserve">pelo OHADJA, sem </w:t>
      </w:r>
      <w:r>
        <w:rPr>
          <w:lang w:val="pt-PT"/>
        </w:rPr>
        <w:t xml:space="preserve">provedor terceirizado. Nenhum subcontratante ulterior intervém nesta capacidade.</w:t>
      </w:r>
    </w:p>
    <w:bookmarkEnd w:id="86"/>
    <w:bookmarkEnd w:id="87"/>
    <w:bookmarkStart w:id="88" w:name="X0a7a632d6fa131b667612b4790ffc99111a837a"/>
    <w:p>
      <w:pPr>
        <w:pStyle w:val="Heading2"/>
        <w:keepNext/>
        <w:keepLines/>
      </w:pPr>
      <w:r>
        <w:rPr>
          <w:color w:val="000000"/>
          <w:lang w:val="pt-PT"/>
        </w:rPr>
        <w:t xml:space="preserve">3. Tabela de resumo — Opção 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Subcontratante</w:t>
            </w:r>
          </w:p>
        </w:tc>
        <w:tc>
          <w:tcPr>
            <w:tcW w:type="dxa" w:w="1872"/>
            <w:tcMar>
              <w:left w:type="dxa" w:w="80"/>
              <w:right w:type="dxa" w:w="80"/>
            </w:tcMar>
          </w:tcPr>
          <w:p>
            <w:pPr>
              <w:pStyle w:val="Compact"/>
            </w:pPr>
            <w:r>
              <w:rPr>
                <w:sz w:val="19"/>
                <w:szCs w:val="19"/>
                <w:lang w:val="pt-PT"/>
              </w:rPr>
              <w:t xml:space="preserve">País de estabelecimento</w:t>
            </w:r>
          </w:p>
        </w:tc>
        <w:tc>
          <w:tcPr>
            <w:tcW w:type="dxa" w:w="1872"/>
            <w:tcMar>
              <w:left w:type="dxa" w:w="80"/>
              <w:right w:type="dxa" w:w="80"/>
            </w:tcMar>
          </w:tcPr>
          <w:p>
            <w:pPr>
              <w:pStyle w:val="Compact"/>
            </w:pPr>
            <w:r>
              <w:rPr>
                <w:sz w:val="19"/>
                <w:szCs w:val="19"/>
                <w:lang w:val="pt-PT"/>
              </w:rPr>
              <w:t xml:space="preserve">Função</w:t>
            </w:r>
          </w:p>
        </w:tc>
        <w:tc>
          <w:tcPr>
            <w:tcW w:type="dxa" w:w="1872"/>
            <w:tcMar>
              <w:left w:type="dxa" w:w="80"/>
              <w:right w:type="dxa" w:w="80"/>
            </w:tcMar>
          </w:tcPr>
          <w:p>
            <w:pPr>
              <w:pStyle w:val="Compact"/>
            </w:pPr>
            <w:r>
              <w:rPr>
                <w:sz w:val="19"/>
                <w:szCs w:val="19"/>
                <w:lang w:val="pt-PT"/>
              </w:rPr>
              <w:t xml:space="preserve">Processamento/armazenamento</w:t>
            </w:r>
          </w:p>
        </w:tc>
        <w:tc>
          <w:tcPr>
            <w:tcW w:type="dxa" w:w="1872"/>
            <w:tcMar>
              <w:left w:type="dxa" w:w="80"/>
              <w:right w:type="dxa" w:w="80"/>
            </w:tcMar>
          </w:tcPr>
          <w:p>
            <w:pPr>
              <w:pStyle w:val="Compact"/>
            </w:pPr>
            <w:r>
              <w:rPr>
                <w:sz w:val="19"/>
                <w:szCs w:val="19"/>
                <w:lang w:val="pt-PT"/>
              </w:rPr>
              <w:t xml:space="preserve">Acesso humano</w:t>
            </w:r>
          </w:p>
        </w:tc>
      </w:tr>
      <w:tr>
        <w:trPr>
          <w:cantSplit/>
        </w:trPr>
        <w:tc>
          <w:tcPr>
            <w:tcW w:type="dxa" w:w="1872"/>
            <w:tcMar>
              <w:left w:type="dxa" w:w="80"/>
              <w:right w:type="dxa" w:w="80"/>
            </w:tcMar>
          </w:tcPr>
          <w:p>
            <w:pPr>
              <w:pStyle w:val="Compact"/>
            </w:pPr>
            <w:r>
              <w:rPr>
                <w:sz w:val="19"/>
                <w:szCs w:val="19"/>
                <w:lang w:val="pt-PT"/>
              </w:rPr>
              <w:t xml:space="preserve">Hostinger</w:t>
            </w:r>
          </w:p>
        </w:tc>
        <w:tc>
          <w:tcPr>
            <w:tcW w:type="dxa" w:w="1872"/>
            <w:tcMar>
              <w:left w:type="dxa" w:w="80"/>
              <w:right w:type="dxa" w:w="80"/>
            </w:tcMar>
          </w:tcPr>
          <w:p>
            <w:pPr>
              <w:pStyle w:val="Compact"/>
            </w:pPr>
            <w:r>
              <w:rPr>
                <w:sz w:val="19"/>
                <w:szCs w:val="19"/>
                <w:lang w:val="pt-PT"/>
              </w:rPr>
              <w:t xml:space="preserve">Lituânia (UE)</w:t>
            </w:r>
          </w:p>
        </w:tc>
        <w:tc>
          <w:tcPr>
            <w:tcW w:type="dxa" w:w="1872"/>
            <w:tcMar>
              <w:left w:type="dxa" w:w="80"/>
              <w:right w:type="dxa" w:w="80"/>
            </w:tcMar>
          </w:tcPr>
          <w:p>
            <w:pPr>
              <w:pStyle w:val="Compact"/>
            </w:pPr>
            <w:r>
              <w:rPr>
                <w:sz w:val="19"/>
                <w:szCs w:val="19"/>
                <w:lang w:val="pt-PT"/>
              </w:rPr>
              <w:t xml:space="preserve">Alojamento</w:t>
            </w:r>
          </w:p>
        </w:tc>
        <w:tc>
          <w:tcPr>
            <w:tcW w:type="dxa" w:w="1872"/>
            <w:tcMar>
              <w:left w:type="dxa" w:w="80"/>
              <w:right w:type="dxa" w:w="80"/>
            </w:tcMar>
          </w:tcPr>
          <w:p>
            <w:pPr>
              <w:pStyle w:val="Compact"/>
            </w:pPr>
            <w:r>
              <w:rPr>
                <w:sz w:val="19"/>
                <w:szCs w:val="19"/>
                <w:lang w:val="pt-PT"/>
              </w:rPr>
              <w:t xml:space="preserve">França / França</w:t>
            </w:r>
          </w:p>
        </w:tc>
        <w:tc>
          <w:tcPr>
            <w:tcW w:type="dxa" w:w="1872"/>
            <w:tcMar>
              <w:left w:type="dxa" w:w="80"/>
              <w:right w:type="dxa" w:w="80"/>
            </w:tcMar>
          </w:tcPr>
          <w:p>
            <w:pPr>
              <w:pStyle w:val="Compact"/>
            </w:pPr>
            <w:r>
              <w:rPr>
                <w:sz w:val="19"/>
                <w:szCs w:val="19"/>
                <w:lang w:val="pt-PT"/>
              </w:rPr>
              <w:t xml:space="preserve">Não</w:t>
            </w:r>
          </w:p>
        </w:tc>
      </w:tr>
      <w:tr>
        <w:trPr>
          <w:cantSplit/>
        </w:trPr>
        <w:tc>
          <w:tcPr>
            <w:tcW w:type="dxa" w:w="1872"/>
            <w:tcMar>
              <w:left w:type="dxa" w:w="80"/>
              <w:right w:type="dxa" w:w="80"/>
            </w:tcMar>
          </w:tcPr>
          <w:p>
            <w:pPr>
              <w:pStyle w:val="Compact"/>
            </w:pPr>
            <w:r>
              <w:rPr>
                <w:sz w:val="19"/>
                <w:szCs w:val="19"/>
                <w:lang w:val="pt-PT"/>
              </w:rPr>
              <w:t xml:space="preserve">Scaleway</w:t>
            </w:r>
          </w:p>
        </w:tc>
        <w:tc>
          <w:tcPr>
            <w:tcW w:type="dxa" w:w="1872"/>
            <w:tcMar>
              <w:left w:type="dxa" w:w="80"/>
              <w:right w:type="dxa" w:w="80"/>
            </w:tcMar>
          </w:tcPr>
          <w:p>
            <w:pPr>
              <w:pStyle w:val="Compact"/>
            </w:pPr>
            <w:r>
              <w:rPr>
                <w:sz w:val="19"/>
                <w:szCs w:val="19"/>
                <w:lang w:val="pt-PT"/>
              </w:rPr>
              <w:t xml:space="preserve">França (UE)</w:t>
            </w:r>
          </w:p>
        </w:tc>
        <w:tc>
          <w:tcPr>
            <w:tcW w:type="dxa" w:w="1872"/>
            <w:tcMar>
              <w:left w:type="dxa" w:w="80"/>
              <w:right w:type="dxa" w:w="80"/>
            </w:tcMar>
          </w:tcPr>
          <w:p>
            <w:pPr>
              <w:pStyle w:val="Compact"/>
            </w:pPr>
            <w:r>
              <w:rPr>
                <w:sz w:val="19"/>
                <w:szCs w:val="19"/>
                <w:lang w:val="pt-PT"/>
              </w:rPr>
              <w:t xml:space="preserve">Backup cifrado</w:t>
            </w:r>
          </w:p>
        </w:tc>
        <w:tc>
          <w:tcPr>
            <w:tcW w:type="dxa" w:w="1872"/>
            <w:tcMar>
              <w:left w:type="dxa" w:w="80"/>
              <w:right w:type="dxa" w:w="80"/>
            </w:tcMar>
          </w:tcPr>
          <w:p>
            <w:pPr>
              <w:pStyle w:val="Compact"/>
            </w:pPr>
            <w:r>
              <w:rPr>
                <w:sz w:val="19"/>
                <w:szCs w:val="19"/>
                <w:lang w:val="pt-PT"/>
              </w:rPr>
              <w:t xml:space="preserve">França (UE)</w:t>
            </w:r>
          </w:p>
        </w:tc>
        <w:tc>
          <w:tcPr>
            <w:tcW w:type="dxa" w:w="1872"/>
            <w:tcMar>
              <w:left w:type="dxa" w:w="80"/>
              <w:right w:type="dxa" w:w="80"/>
            </w:tcMar>
          </w:tcPr>
          <w:p>
            <w:pPr>
              <w:pStyle w:val="Compact"/>
            </w:pPr>
            <w:r>
              <w:rPr>
                <w:sz w:val="19"/>
                <w:szCs w:val="19"/>
                <w:lang w:val="pt-PT"/>
              </w:rPr>
              <w:t xml:space="preserve">Não (cifrado antes do envio)</w:t>
            </w:r>
          </w:p>
        </w:tc>
      </w:tr>
      <w:tr>
        <w:trPr>
          <w:cantSplit/>
        </w:trPr>
        <w:tc>
          <w:tcPr>
            <w:tcW w:type="dxa" w:w="1872"/>
            <w:tcMar>
              <w:left w:type="dxa" w:w="80"/>
              <w:right w:type="dxa" w:w="80"/>
            </w:tcMar>
          </w:tcPr>
          <w:p>
            <w:pPr>
              <w:pStyle w:val="Compact"/>
            </w:pPr>
            <w:r>
              <w:rPr>
                <w:sz w:val="19"/>
                <w:szCs w:val="19"/>
                <w:lang w:val="pt-PT"/>
              </w:rPr>
              <w:t xml:space="preserve">GPU dedicada / Vast.ai</w:t>
            </w:r>
          </w:p>
        </w:tc>
        <w:tc>
          <w:tcPr>
            <w:tcW w:type="dxa" w:w="1872"/>
            <w:tcMar>
              <w:left w:type="dxa" w:w="80"/>
              <w:right w:type="dxa" w:w="80"/>
            </w:tcMar>
          </w:tcPr>
          <w:p>
            <w:pPr>
              <w:pStyle w:val="Compact"/>
            </w:pPr>
            <w:r>
              <w:rPr>
                <w:sz w:val="19"/>
                <w:szCs w:val="19"/>
                <w:lang w:val="pt-PT"/>
              </w:rPr>
              <w:t xml:space="preserve">UE/EUA (mercado)</w:t>
            </w:r>
          </w:p>
        </w:tc>
        <w:tc>
          <w:tcPr>
            <w:tcW w:type="dxa" w:w="1872"/>
            <w:tcMar>
              <w:left w:type="dxa" w:w="80"/>
              <w:right w:type="dxa" w:w="80"/>
            </w:tcMar>
          </w:tcPr>
          <w:p>
            <w:pPr>
              <w:pStyle w:val="Compact"/>
            </w:pPr>
            <w:r>
              <w:rPr>
                <w:sz w:val="19"/>
                <w:szCs w:val="19"/>
                <w:lang w:val="pt-PT"/>
              </w:rPr>
              <w:t xml:space="preserve">Transcrição, diarização</w:t>
            </w:r>
          </w:p>
        </w:tc>
        <w:tc>
          <w:tcPr>
            <w:tcW w:type="dxa" w:w="1872"/>
            <w:tcMar>
              <w:left w:type="dxa" w:w="80"/>
              <w:right w:type="dxa" w:w="80"/>
            </w:tcMar>
          </w:tcPr>
          <w:p>
            <w:pPr>
              <w:pStyle w:val="Compact"/>
            </w:pPr>
            <w:r>
              <w:rPr>
                <w:sz w:val="19"/>
                <w:szCs w:val="19"/>
                <w:lang w:val="pt-PT"/>
              </w:rPr>
              <w:t xml:space="preserve">UE quando necessário/sem armazenamento durável</w:t>
            </w:r>
          </w:p>
        </w:tc>
        <w:tc>
          <w:tcPr>
            <w:tcW w:type="dxa" w:w="1872"/>
            <w:tcMar>
              <w:left w:type="dxa" w:w="80"/>
              <w:right w:type="dxa" w:w="80"/>
            </w:tcMar>
          </w:tcPr>
          <w:p>
            <w:pPr>
              <w:pStyle w:val="Compact"/>
            </w:pPr>
            <w:r>
              <w:rPr>
                <w:sz w:val="19"/>
                <w:szCs w:val="19"/>
                <w:lang w:val="pt-PT"/>
              </w:rPr>
              <w:t xml:space="preserve">Não</w:t>
            </w:r>
          </w:p>
        </w:tc>
      </w:tr>
      <w:tr>
        <w:trPr>
          <w:cantSplit/>
        </w:trPr>
        <w:tc>
          <w:tcPr>
            <w:tcW w:type="dxa" w:w="1872"/>
            <w:tcMar>
              <w:left w:type="dxa" w:w="80"/>
              <w:right w:type="dxa" w:w="80"/>
            </w:tcMar>
          </w:tcPr>
          <w:p>
            <w:pPr>
              <w:pStyle w:val="Compact"/>
            </w:pPr>
            <w:r>
              <w:rPr>
                <w:b/>
                <w:bCs/>
                <w:sz w:val="19"/>
                <w:szCs w:val="19"/>
                <w:lang w:val="pt-PT"/>
              </w:rPr>
              <w:t xml:space="preserve">Servidores vLLM dominados</w:t>
            </w:r>
          </w:p>
        </w:tc>
        <w:tc>
          <w:tcPr>
            <w:tcW w:type="dxa" w:w="1872"/>
            <w:tcMar>
              <w:left w:type="dxa" w:w="80"/>
              <w:right w:type="dxa" w:w="80"/>
            </w:tcMar>
          </w:tcPr>
          <w:p>
            <w:pPr>
              <w:pStyle w:val="Compact"/>
            </w:pPr>
            <w:r>
              <w:rPr>
                <w:sz w:val="19"/>
                <w:szCs w:val="19"/>
                <w:lang w:val="pt-PT"/>
              </w:rPr>
              <w:t xml:space="preserve">França / UE</w:t>
            </w:r>
          </w:p>
        </w:tc>
        <w:tc>
          <w:tcPr>
            <w:tcW w:type="dxa" w:w="1872"/>
            <w:tcMar>
              <w:left w:type="dxa" w:w="80"/>
              <w:right w:type="dxa" w:w="80"/>
            </w:tcMar>
          </w:tcPr>
          <w:p>
            <w:pPr>
              <w:pStyle w:val="Compact"/>
            </w:pPr>
            <w:r>
              <w:rPr>
                <w:b/>
                <w:bCs/>
                <w:sz w:val="19"/>
                <w:szCs w:val="19"/>
                <w:lang w:val="pt-PT"/>
              </w:rPr>
              <w:t xml:space="preserve">Inferência de IA – via primária</w:t>
            </w:r>
          </w:p>
        </w:tc>
        <w:tc>
          <w:tcPr>
            <w:tcW w:type="dxa" w:w="1872"/>
            <w:tcMar>
              <w:left w:type="dxa" w:w="80"/>
              <w:right w:type="dxa" w:w="80"/>
            </w:tcMar>
          </w:tcPr>
          <w:p>
            <w:pPr>
              <w:pStyle w:val="Compact"/>
            </w:pPr>
            <w:r>
              <w:rPr>
                <w:sz w:val="19"/>
                <w:szCs w:val="19"/>
                <w:lang w:val="pt-PT"/>
              </w:rPr>
              <w:t xml:space="preserve">UE (Estrasburgo/Paris)/sem armazenamento sustentável</w:t>
            </w:r>
          </w:p>
        </w:tc>
        <w:tc>
          <w:tcPr>
            <w:tcW w:type="dxa" w:w="1872"/>
            <w:tcMar>
              <w:left w:type="dxa" w:w="80"/>
              <w:right w:type="dxa" w:w="80"/>
            </w:tcMar>
          </w:tcPr>
          <w:p>
            <w:pPr>
              <w:pStyle w:val="Compact"/>
            </w:pPr>
            <w:r>
              <w:rPr>
                <w:sz w:val="19"/>
                <w:szCs w:val="19"/>
                <w:lang w:val="pt-PT"/>
              </w:rPr>
              <w:t xml:space="preserve">Não</w:t>
            </w:r>
          </w:p>
        </w:tc>
      </w:tr>
      <w:tr>
        <w:trPr>
          <w:cantSplit/>
        </w:trPr>
        <w:tc>
          <w:tcPr>
            <w:tcW w:type="dxa" w:w="1872"/>
            <w:tcMar>
              <w:left w:type="dxa" w:w="80"/>
              <w:right w:type="dxa" w:w="80"/>
            </w:tcMar>
          </w:tcPr>
          <w:p>
            <w:pPr>
              <w:pStyle w:val="Compact"/>
            </w:pPr>
            <w:r>
              <w:rPr>
                <w:sz w:val="19"/>
                <w:szCs w:val="19"/>
                <w:lang w:val="pt-PT"/>
              </w:rPr>
              <w:t xml:space="preserve">OpenRouter</w:t>
            </w:r>
          </w:p>
        </w:tc>
        <w:tc>
          <w:tcPr>
            <w:tcW w:type="dxa" w:w="1872"/>
            <w:tcMar>
              <w:left w:type="dxa" w:w="80"/>
              <w:right w:type="dxa" w:w="80"/>
            </w:tcMar>
          </w:tcPr>
          <w:p>
            <w:pPr>
              <w:pStyle w:val="Compact"/>
            </w:pPr>
            <w:r>
              <w:rPr>
                <w:sz w:val="19"/>
                <w:szCs w:val="19"/>
                <w:lang w:val="pt-PT"/>
              </w:rPr>
              <w:t xml:space="preserve">EUA</w:t>
            </w:r>
          </w:p>
        </w:tc>
        <w:tc>
          <w:tcPr>
            <w:tcW w:type="dxa" w:w="1872"/>
            <w:tcMar>
              <w:left w:type="dxa" w:w="80"/>
              <w:right w:type="dxa" w:w="80"/>
            </w:tcMar>
          </w:tcPr>
          <w:p>
            <w:pPr>
              <w:pStyle w:val="Compact"/>
            </w:pPr>
            <w:r>
              <w:rPr>
                <w:sz w:val="19"/>
                <w:szCs w:val="19"/>
                <w:lang w:val="pt-PT"/>
              </w:rPr>
              <w:t xml:space="preserve">Gateway de </w:t>
            </w:r>
            <w:r>
              <w:rPr>
                <w:sz w:val="19"/>
                <w:szCs w:val="19"/>
                <w:lang w:val="pt-PT"/>
              </w:rPr>
              <w:t xml:space="preserve"/>
            </w:r>
            <w:r>
              <w:rPr>
                <w:b/>
                <w:bCs/>
                <w:sz w:val="19"/>
                <w:szCs w:val="19"/>
                <w:lang w:val="pt-PT"/>
              </w:rPr>
              <w:t xml:space="preserve">IA — failover, desativo</w:t>
            </w:r>
          </w:p>
        </w:tc>
        <w:tc>
          <w:tcPr>
            <w:tcW w:type="dxa" w:w="1872"/>
            <w:tcMar>
              <w:left w:type="dxa" w:w="80"/>
              <w:right w:type="dxa" w:w="80"/>
            </w:tcMar>
          </w:tcPr>
          <w:p>
            <w:pPr>
              <w:pStyle w:val="Compact"/>
            </w:pPr>
            <w:r>
              <w:rPr>
                <w:sz w:val="19"/>
                <w:szCs w:val="19"/>
                <w:lang w:val="pt-PT"/>
              </w:rPr>
              <w:t xml:space="preserve">Roteamento nos EUA possível/sem armazenamento durável</w:t>
            </w:r>
          </w:p>
        </w:tc>
        <w:tc>
          <w:tcPr>
            <w:tcW w:type="dxa" w:w="1872"/>
            <w:tcMar>
              <w:left w:type="dxa" w:w="80"/>
              <w:right w:type="dxa" w:w="80"/>
            </w:tcMar>
          </w:tcPr>
          <w:p>
            <w:pPr>
              <w:pStyle w:val="Compact"/>
            </w:pPr>
            <w:r>
              <w:rPr>
                <w:sz w:val="19"/>
                <w:szCs w:val="19"/>
                <w:lang w:val="pt-PT"/>
              </w:rPr>
              <w:t xml:space="preserve">Não</w:t>
            </w:r>
          </w:p>
        </w:tc>
      </w:tr>
      <w:tr>
        <w:trPr>
          <w:cantSplit/>
        </w:trPr>
        <w:tc>
          <w:tcPr>
            <w:tcW w:type="dxa" w:w="1872"/>
            <w:tcMar>
              <w:left w:type="dxa" w:w="80"/>
              <w:right w:type="dxa" w:w="80"/>
            </w:tcMar>
          </w:tcPr>
          <w:p>
            <w:pPr>
              <w:pStyle w:val="Compact"/>
            </w:pPr>
            <w:r>
              <w:rPr>
                <w:sz w:val="19"/>
                <w:szCs w:val="19"/>
                <w:lang w:val="pt-PT"/>
              </w:rPr>
              <w:t xml:space="preserve">Fornecedores de modelos</w:t>
            </w:r>
          </w:p>
        </w:tc>
        <w:tc>
          <w:tcPr>
            <w:tcW w:type="dxa" w:w="1872"/>
            <w:tcMar>
              <w:left w:type="dxa" w:w="80"/>
              <w:right w:type="dxa" w:w="80"/>
            </w:tcMar>
          </w:tcPr>
          <w:p>
            <w:pPr>
              <w:pStyle w:val="Compact"/>
            </w:pPr>
            <w:r>
              <w:rPr>
                <w:sz w:val="19"/>
                <w:szCs w:val="19"/>
                <w:lang w:val="pt-PT"/>
              </w:rPr>
              <w:t xml:space="preserve">EUA</w:t>
            </w:r>
          </w:p>
        </w:tc>
        <w:tc>
          <w:tcPr>
            <w:tcW w:type="dxa" w:w="1872"/>
            <w:tcMar>
              <w:left w:type="dxa" w:w="80"/>
              <w:right w:type="dxa" w:w="80"/>
            </w:tcMar>
          </w:tcPr>
          <w:p>
            <w:pPr>
              <w:pStyle w:val="Compact"/>
            </w:pPr>
            <w:r>
              <w:rPr>
                <w:sz w:val="19"/>
                <w:szCs w:val="19"/>
                <w:lang w:val="pt-PT"/>
              </w:rPr>
              <w:t xml:space="preserve">Inferência </w:t>
            </w:r>
            <w:r>
              <w:rPr>
                <w:sz w:val="19"/>
                <w:szCs w:val="19"/>
                <w:lang w:val="pt-PT"/>
              </w:rPr>
              <w:t xml:space="preserve">LLM </w:t>
            </w:r>
            <w:r>
              <w:rPr>
                <w:b/>
                <w:bCs/>
                <w:sz w:val="19"/>
                <w:szCs w:val="19"/>
                <w:lang w:val="pt-PT"/>
              </w:rPr>
              <w:t xml:space="preserve">- apenas backup</w:t>
            </w:r>
          </w:p>
        </w:tc>
        <w:tc>
          <w:tcPr>
            <w:tcW w:type="dxa" w:w="1872"/>
            <w:tcMar>
              <w:left w:type="dxa" w:w="80"/>
              <w:right w:type="dxa" w:w="80"/>
            </w:tcMar>
          </w:tcPr>
          <w:p>
            <w:pPr>
              <w:pStyle w:val="Compact"/>
            </w:pPr>
            <w:r>
              <w:rPr>
                <w:sz w:val="19"/>
                <w:szCs w:val="19"/>
                <w:lang w:val="pt-PT"/>
              </w:rPr>
              <w:t xml:space="preserve">EUA/UE dependendo do modelo/retenção limitada</w:t>
            </w:r>
          </w:p>
        </w:tc>
        <w:tc>
          <w:tcPr>
            <w:tcW w:type="dxa" w:w="1872"/>
            <w:tcMar>
              <w:left w:type="dxa" w:w="80"/>
              <w:right w:type="dxa" w:w="80"/>
            </w:tcMar>
          </w:tcPr>
          <w:p>
            <w:pPr>
              <w:pStyle w:val="Compact"/>
            </w:pPr>
            <w:r>
              <w:rPr>
                <w:sz w:val="19"/>
                <w:szCs w:val="19"/>
                <w:lang w:val="pt-PT"/>
              </w:rPr>
              <w:t xml:space="preserve">Não (lado OHADJA)</w:t>
            </w:r>
          </w:p>
        </w:tc>
      </w:tr>
      <w:tr>
        <w:trPr>
          <w:cantSplit/>
        </w:trPr>
        <w:tc>
          <w:tcPr>
            <w:tcW w:type="dxa" w:w="1872"/>
            <w:tcMar>
              <w:left w:type="dxa" w:w="80"/>
              <w:right w:type="dxa" w:w="80"/>
            </w:tcMar>
          </w:tcPr>
          <w:p>
            <w:pPr>
              <w:pStyle w:val="Compact"/>
            </w:pPr>
            <w:r>
              <w:rPr>
                <w:sz w:val="19"/>
                <w:szCs w:val="19"/>
                <w:lang w:val="pt-PT"/>
              </w:rPr>
              <w:t xml:space="preserve">E-mail transacional (se ativado)</w:t>
            </w:r>
          </w:p>
        </w:tc>
        <w:tc>
          <w:tcPr>
            <w:tcW w:type="dxa" w:w="1872"/>
            <w:tcMar>
              <w:left w:type="dxa" w:w="80"/>
              <w:right w:type="dxa" w:w="80"/>
            </w:tcMar>
          </w:tcPr>
          <w:p>
            <w:pPr>
              <w:pStyle w:val="Compact"/>
            </w:pPr>
            <w:r>
              <w:rPr>
                <w:sz w:val="19"/>
                <w:szCs w:val="19"/>
                <w:lang w:val="pt-PT"/>
              </w:rPr>
              <w:t xml:space="preserve">[A SER CONFIRMADO]</w:t>
            </w:r>
          </w:p>
        </w:tc>
        <w:tc>
          <w:tcPr>
            <w:tcW w:type="dxa" w:w="1872"/>
            <w:tcMar>
              <w:left w:type="dxa" w:w="80"/>
              <w:right w:type="dxa" w:w="80"/>
            </w:tcMar>
          </w:tcPr>
          <w:p>
            <w:pPr>
              <w:pStyle w:val="Compact"/>
            </w:pPr>
            <w:r>
              <w:rPr>
                <w:sz w:val="19"/>
                <w:szCs w:val="19"/>
                <w:lang w:val="pt-PT"/>
              </w:rPr>
              <w:t xml:space="preserve">E-mails de serviço</w:t>
            </w:r>
          </w:p>
        </w:tc>
        <w:tc>
          <w:tcPr>
            <w:tcW w:type="dxa" w:w="1872"/>
            <w:tcMar>
              <w:left w:type="dxa" w:w="80"/>
              <w:right w:type="dxa" w:w="80"/>
            </w:tcMar>
          </w:tcPr>
          <w:p>
            <w:pPr>
              <w:pStyle w:val="Compact"/>
            </w:pPr>
            <w:r>
              <w:rPr>
                <w:sz w:val="19"/>
                <w:szCs w:val="19"/>
                <w:lang w:val="pt-PT"/>
              </w:rPr>
              <w:t xml:space="preserve">[A SER CONFIRMADO]</w:t>
            </w:r>
          </w:p>
        </w:tc>
        <w:tc>
          <w:tcPr>
            <w:tcW w:type="dxa" w:w="1872"/>
            <w:tcMar>
              <w:left w:type="dxa" w:w="80"/>
              <w:right w:type="dxa" w:w="80"/>
            </w:tcMar>
          </w:tcPr>
          <w:p>
            <w:pPr>
              <w:pStyle w:val="Compact"/>
            </w:pPr>
            <w:r>
              <w:rPr>
                <w:sz w:val="19"/>
                <w:szCs w:val="19"/>
                <w:lang w:val="pt-PT"/>
              </w:rPr>
              <w:t xml:space="preserve">Não</w:t>
            </w:r>
          </w:p>
        </w:tc>
      </w:tr>
    </w:tbl>
    <w:bookmarkEnd w:id="88"/>
    <w:bookmarkStart w:id="89" w:name="X08845a517ee1e7974c0c5d43964a3ce7be5e432"/>
    <w:p>
      <w:pPr>
        <w:pStyle w:val="Heading2"/>
        <w:keepNext/>
        <w:keepLines/>
      </w:pPr>
      <w:r>
        <w:rPr>
          <w:color w:val="000000"/>
          <w:lang w:val="pt-PT"/>
        </w:rPr>
        <w:t xml:space="preserve">4. Opção B — variações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Opção Variante B</w:t>
            </w:r>
          </w:p>
        </w:tc>
        <w:tc>
          <w:tcPr/>
          <w:p>
            <w:pPr>
              <w:pStyle w:val="Compact"/>
            </w:pPr>
            <w:r>
              <w:rPr>
                <w:lang w:val="pt-PT"/>
              </w:rPr>
              <w:t xml:space="preserve">Subcontratantes ulteriores</w:t>
            </w:r>
          </w:p>
        </w:tc>
      </w:tr>
      <w:tr>
        <w:trPr>
          <w:cantSplit/>
        </w:trPr>
        <w:tc>
          <w:tcPr/>
          <w:p>
            <w:pPr>
              <w:pStyle w:val="Compact"/>
            </w:pPr>
            <w:r>
              <w:rPr>
                <w:b/>
                <w:bCs/>
                <w:lang w:val="pt-PT"/>
              </w:rPr>
              <w:t xml:space="preserve">Isolado no local </w:t>
            </w:r>
            <w:r>
              <w:rPr>
                <w:lang w:val="pt-PT"/>
              </w:rPr>
              <w:t xml:space="preserve"/>
            </w:r>
            <w:r>
              <w:rPr>
                <w:lang w:val="pt-PT"/>
              </w:rPr>
              <w:t xml:space="preserve">(nuvem zero)</w:t>
            </w:r>
          </w:p>
        </w:tc>
        <w:tc>
          <w:tcPr/>
          <w:p>
            <w:pPr>
              <w:pStyle w:val="Compact"/>
            </w:pPr>
            <w:r>
              <w:rPr>
                <w:b/>
                <w:bCs/>
                <w:lang w:val="pt-PT"/>
              </w:rPr>
              <w:t xml:space="preserve">Nenhum. </w:t>
            </w:r>
            <w:r>
              <w:rPr>
                <w:lang w:val="pt-PT"/>
              </w:rPr>
              <w:t xml:space="preserve"/>
            </w:r>
            <w:r>
              <w:rPr>
                <w:lang w:val="pt-PT"/>
              </w:rPr>
              <w:t xml:space="preserve">Aplicativo, base, trabalhador de GPU de transcrição e LLM auto-hospedado são executados no Cliente. Nenhum fluxo de saída necessário para operação nominal</w:t>
            </w:r>
          </w:p>
        </w:tc>
      </w:tr>
      <w:tr>
        <w:trPr>
          <w:cantSplit/>
        </w:trPr>
        <w:tc>
          <w:tcPr/>
          <w:p>
            <w:pPr>
              <w:pStyle w:val="Compact"/>
            </w:pPr>
            <w:r>
              <w:rPr>
                <w:b/>
                <w:bCs/>
                <w:lang w:val="pt-PT"/>
              </w:rPr>
              <w:t xml:space="preserve">No local com IA na nuvem opcional</w:t>
            </w:r>
          </w:p>
        </w:tc>
        <w:tc>
          <w:tcPr/>
          <w:p>
            <w:pPr>
              <w:pStyle w:val="Compact"/>
            </w:pPr>
            <w:r>
              <w:rPr>
                <w:lang w:val="pt-PT"/>
              </w:rPr>
              <w:t xml:space="preserve">Lista reduzida: somente provedor(es) de IA habilitado(s) pelo Cliente (OpenRouter + provedor de modelo), se o Cliente optar por usar um LLM em nuvem em vez de auto-hospedado. Alojamento, backup e transcrição permanecem internos</w:t>
            </w:r>
          </w:p>
        </w:tc>
      </w:tr>
    </w:tbl>
    <w:bookmarkEnd w:id="89"/>
    <w:bookmarkStart w:id="90" w:name="X30e8a8b53a585b3c4babd4e4f4bf9ffca2de72e"/>
    <w:p>
      <w:pPr>
        <w:pStyle w:val="Heading2"/>
        <w:keepNext/>
        <w:keepLines/>
      </w:pPr>
      <w:r>
        <w:rPr>
          <w:color w:val="000000"/>
          <w:lang w:val="pt-PT"/>
        </w:rPr>
        <w:t xml:space="preserve">5. Listar procedimento de evolução</w:t>
      </w:r>
    </w:p>
    <w:p>
      <w:pPr>
        <w:pStyle w:val="FirstParagraph"/>
      </w:pPr>
      <w:r>
        <w:rPr>
          <w:lang w:val="pt-PT"/>
        </w:rPr>
        <w:t xml:space="preserve">De acordo com o §6 do DPA (art. 28.2 RGPD):</w:t>
      </w:r>
    </w:p>
    <w:p>
      <w:pPr>
        <w:pStyle w:val="Compact"/>
        <w:numPr>
          <w:ilvl w:val="0"/>
          <w:numId w:val="1019"/>
        </w:numPr>
      </w:pPr>
      <w:r>
        <w:rPr>
          <w:lang w:val="pt-PT"/>
        </w:rPr>
        <w:t xml:space="preserve">OHADJA informa o Cliente de qualquer </w:t>
      </w:r>
      <w:r>
        <w:rPr>
          <w:lang w:val="pt-PT"/>
        </w:rPr>
        <w:t xml:space="preserve"/>
      </w:r>
      <w:r>
        <w:rPr>
          <w:b/>
          <w:bCs/>
          <w:lang w:val="pt-PT"/>
        </w:rPr>
        <w:t xml:space="preserve">adição ou substituição </w:t>
      </w:r>
      <w:r>
        <w:rPr>
          <w:lang w:val="pt-PT"/>
        </w:rPr>
        <w:t xml:space="preserve"/>
      </w:r>
      <w:r>
        <w:rPr>
          <w:lang w:val="pt-PT"/>
        </w:rPr>
        <w:t xml:space="preserve">de subcontratante ulterior pelo menos </w:t>
      </w:r>
      <w:r>
        <w:rPr>
          <w:lang w:val="pt-PT"/>
        </w:rPr>
        <w:t xml:space="preserve"/>
      </w:r>
      <w:r>
        <w:rPr>
          <w:b/>
          <w:bCs/>
          <w:lang w:val="pt-PT"/>
        </w:rPr>
        <w:t xml:space="preserve">trinta (30) dias corridos antes </w:t>
      </w:r>
      <w:r>
        <w:rPr>
          <w:lang w:val="pt-PT"/>
        </w:rPr>
        <w:t xml:space="preserve"/>
      </w:r>
      <w:r>
        <w:rPr>
          <w:lang w:val="pt-PT"/>
        </w:rPr>
        <w:t xml:space="preserve">de sua implementação, por meio escrito que permita a preservação da prova da mesma.</w:t>
      </w:r>
    </w:p>
    <w:p>
      <w:pPr>
        <w:pStyle w:val="Compact"/>
        <w:numPr>
          <w:ilvl w:val="0"/>
          <w:numId w:val="1019"/>
        </w:numPr>
      </w:pPr>
      <w:r>
        <w:rPr>
          <w:lang w:val="pt-PT"/>
        </w:rPr>
        <w:t xml:space="preserve">O Cliente poderá apresentar uma </w:t>
      </w:r>
      <w:r>
        <w:rPr>
          <w:lang w:val="pt-PT"/>
        </w:rPr>
        <w:t xml:space="preserve"/>
      </w:r>
      <w:r>
        <w:rPr>
          <w:b/>
          <w:bCs/>
          <w:lang w:val="pt-PT"/>
        </w:rPr>
        <w:t xml:space="preserve">objeção por escrito, fundamentada e razoável </w:t>
      </w:r>
      <w:r>
        <w:rPr>
          <w:lang w:val="pt-PT"/>
        </w:rPr>
        <w:t xml:space="preserve"/>
      </w:r>
      <w:r>
        <w:rPr>
          <w:lang w:val="pt-PT"/>
        </w:rPr>
        <w:t xml:space="preserve">dentro deste período de 30 dias.</w:t>
      </w:r>
    </w:p>
    <w:p>
      <w:pPr>
        <w:pStyle w:val="Compact"/>
        <w:numPr>
          <w:ilvl w:val="0"/>
          <w:numId w:val="1019"/>
        </w:numPr>
      </w:pPr>
      <w:r>
        <w:rPr>
          <w:lang w:val="pt-PT"/>
        </w:rPr>
        <w:t xml:space="preserve">Em caso de oposição, as partes consultar-se-ão de boa fé; na falta de solução, o Cliente poderá rescindir a parte relevante do serviço nas condições do contrato principal.</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90"/>
    <w:bookmarkEnd w:id="91"/>
    <w:bookmarkStart w:id="102" w:name="Xb435d4e7743c18b26c55236ab6aa53f804247e6"/>
    <w:p>
      <w:pPr>
        <w:pStyle w:val="Heading1"/>
        <w:keepNext/>
        <w:keepLines/>
      </w:pPr>
      <w:r>
        <w:rPr>
          <w:color w:val="000000"/>
          <w:lang w:val="pt-PT"/>
        </w:rPr>
        <w:t xml:space="preserve">Transferências e acesso fora do EEE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OHA-RGPD-04</w:t>
            </w:r>
          </w:p>
        </w:tc>
      </w:tr>
      <w:tr>
        <w:trPr>
          <w:cantSplit/>
        </w:trPr>
        <w:tc>
          <w:tcPr/>
          <w:p>
            <w:pPr>
              <w:pStyle w:val="Compact"/>
            </w:pPr>
            <w:r>
              <w:rPr>
                <w:lang w:val="pt-PT"/>
              </w:rPr>
              <w:t xml:space="preserve">Objetivo</w:t>
            </w:r>
          </w:p>
        </w:tc>
        <w:tc>
          <w:tcPr/>
          <w:p>
            <w:pPr>
              <w:pStyle w:val="Compact"/>
            </w:pPr>
            <w:r>
              <w:rPr>
                <w:lang w:val="pt-PT"/>
              </w:rPr>
              <w:t xml:space="preserve">Transferências internacionais e acesso fora do EEE: entidades, dados, mecanismos, medidas</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92" w:name="Xa89a5fc162ec66b9f66741ff8b73c0ba0340e32"/>
    <w:p>
      <w:pPr>
        <w:pStyle w:val="Heading2"/>
        <w:keepNext/>
        <w:keepLines/>
      </w:pPr>
      <w:r>
        <w:rPr>
          <w:color w:val="000000"/>
          <w:lang w:val="pt-PT"/>
        </w:rPr>
        <w:t xml:space="preserve">1. Objeto e princípio de transparência</w:t>
      </w:r>
    </w:p>
    <w:p>
      <w:pPr>
        <w:pStyle w:val="FirstParagraph"/>
      </w:pPr>
      <w:r>
        <w:rPr>
          <w:lang w:val="pt-PT"/>
        </w:rPr>
        <w:t xml:space="preserve">Este documento lista, sem ocultação, todas as transferências e acessos a dados que possam sair do Espaço Económico Europeu (EEE) no âmbito do TranscribIA, e detalha os mecanismos legais e medidas técnicas implementadas para os regular ao abrigo do Capítulo V do RGPD.</w:t>
      </w:r>
    </w:p>
    <w:p>
      <w:pPr>
        <w:pStyle w:val="BodyText"/>
      </w:pPr>
      <w:r>
        <w:rPr>
          <w:lang w:val="pt-PT"/>
        </w:rPr>
        <w:t xml:space="preserve">Ponto do método: o armazenamento principal, os backups (Scaleway, França) e a inferência de IA no canal primário (servidores vLLM controlados na UE, principalmente Estrasburgo e Paris) permanecem na </w:t>
      </w:r>
      <w:r>
        <w:rPr>
          <w:lang w:val="pt-PT"/>
        </w:rPr>
        <w:t xml:space="preserve">UE, </w:t>
      </w:r>
      <w:r>
        <w:rPr>
          <w:b/>
          <w:bCs/>
          <w:lang w:val="pt-PT"/>
        </w:rPr>
        <w:t xml:space="preserve">sem qualquer transferência. </w:t>
      </w:r>
      <w:r>
        <w:rPr>
          <w:lang w:val="pt-PT"/>
        </w:rPr>
        <w:t xml:space="preserve">As situações “fora do EEE” são, portanto, limitadas aos </w:t>
      </w:r>
      <w:r>
        <w:rPr>
          <w:lang w:val="pt-PT"/>
        </w:rPr>
        <w:t xml:space="preserve"/>
      </w:r>
      <w:r>
        <w:rPr>
          <w:b/>
          <w:bCs/>
          <w:lang w:val="pt-PT"/>
        </w:rPr>
        <w:t xml:space="preserve">fluxos técnicos (acesso às máquinas) </w:t>
      </w:r>
      <w:r>
        <w:rPr>
          <w:lang w:val="pt-PT"/>
        </w:rPr>
        <w:t xml:space="preserve"/>
      </w:r>
      <w:r>
        <w:rPr>
          <w:lang w:val="pt-PT"/>
        </w:rPr>
        <w:t xml:space="preserve">na Opção A:</w:t>
      </w:r>
    </w:p>
    <w:p>
      <w:pPr>
        <w:pStyle w:val="Compact"/>
        <w:numPr>
          <w:ilvl w:val="0"/>
          <w:numId w:val="1020"/>
        </w:numPr>
      </w:pPr>
      <w:r>
        <w:rPr>
          <w:lang w:val="pt-PT"/>
        </w:rPr>
        <w:t xml:space="preserve">a </w:t>
      </w:r>
      <w:r>
        <w:rPr>
          <w:lang w:val="pt-PT"/>
        </w:rPr>
        <w:t xml:space="preserve"/>
      </w:r>
      <w:r>
        <w:rPr>
          <w:b/>
          <w:bCs/>
          <w:lang w:val="pt-PT"/>
        </w:rPr>
        <w:t xml:space="preserve">rota de emergência </w:t>
      </w:r>
      <w:r>
        <w:rPr>
          <w:lang w:val="pt-PT"/>
        </w:rPr>
        <w:t xml:space="preserve"/>
      </w:r>
      <w:r>
        <w:rPr>
          <w:lang w:val="pt-PT"/>
        </w:rPr>
        <w:t xml:space="preserve">AI (OpenRouter e fornecedores modelo americano), que só intervém em caso de indisponibilidade da rota primária e pode </w:t>
      </w:r>
      <w:r>
        <w:rPr>
          <w:lang w:val="pt-PT"/>
        </w:rPr>
        <w:t xml:space="preserve"/>
      </w:r>
      <w:r>
        <w:rPr>
          <w:b/>
          <w:bCs/>
          <w:lang w:val="pt-PT"/>
        </w:rPr>
        <w:t xml:space="preserve">ser desativada pela </w:t>
      </w:r>
      <w:r>
        <w:rPr>
          <w:lang w:val="pt-PT"/>
        </w:rPr>
        <w:t xml:space="preserve"/>
      </w:r>
      <w:r>
        <w:rPr>
          <w:lang w:val="pt-PT"/>
        </w:rPr>
        <w:t xml:space="preserve">organização;</w:t>
      </w:r>
    </w:p>
    <w:p>
      <w:pPr>
        <w:pStyle w:val="Compact"/>
        <w:numPr>
          <w:ilvl w:val="0"/>
          <w:numId w:val="1020"/>
        </w:numPr>
      </w:pPr>
      <w:r>
        <w:rPr>
          <w:lang w:val="pt-PT"/>
        </w:rPr>
        <w:t xml:space="preserve">Computação </w:t>
      </w:r>
      <w:r>
        <w:rPr>
          <w:lang w:val="pt-PT"/>
        </w:rPr>
        <w:t xml:space="preserve"/>
      </w:r>
      <w:r>
        <w:rPr>
          <w:b/>
          <w:bCs/>
          <w:lang w:val="pt-PT"/>
        </w:rPr>
        <w:t xml:space="preserve">GPU Vast.ai </w:t>
      </w:r>
      <w:r>
        <w:rPr>
          <w:lang w:val="pt-PT"/>
        </w:rPr>
        <w:t xml:space="preserve"/>
      </w:r>
      <w:r>
        <w:rPr>
          <w:lang w:val="pt-PT"/>
        </w:rPr>
        <w:t xml:space="preserve">quando ativada (máquinas selecionadas na UE quando necessário).</w:t>
      </w:r>
    </w:p>
    <w:p>
      <w:pPr>
        <w:pStyle w:val="FirstParagraph"/>
      </w:pPr>
      <w:r>
        <w:rPr>
          <w:lang w:val="pt-PT"/>
        </w:rPr>
        <w:t xml:space="preserve">O </w:t>
      </w:r>
      <w:r>
        <w:rPr>
          <w:lang w:val="pt-PT"/>
        </w:rPr>
        <w:t xml:space="preserve"/>
      </w:r>
      <w:r>
        <w:rPr>
          <w:b/>
          <w:bCs/>
          <w:lang w:val="pt-PT"/>
        </w:rPr>
        <w:t xml:space="preserve">acesso da administração humana </w:t>
      </w:r>
      <w:r>
        <w:rPr>
          <w:lang w:val="pt-PT"/>
        </w:rPr>
        <w:t xml:space="preserve"/>
      </w:r>
      <w:r>
        <w:rPr>
          <w:lang w:val="pt-PT"/>
        </w:rPr>
        <w:t xml:space="preserve">é, por seu lado, realizado </w:t>
      </w:r>
      <w:r>
        <w:rPr>
          <w:lang w:val="pt-PT"/>
        </w:rPr>
        <w:t xml:space="preserve"/>
      </w:r>
      <w:r>
        <w:rPr>
          <w:b/>
          <w:bCs/>
          <w:lang w:val="pt-PT"/>
        </w:rPr>
        <w:t xml:space="preserve">exclusivamente a partir de França/UE </w:t>
      </w:r>
      <w:r>
        <w:rPr>
          <w:lang w:val="pt-PT"/>
        </w:rPr>
        <w:t xml:space="preserve"/>
      </w:r>
      <w:r>
        <w:rPr>
          <w:lang w:val="pt-PT"/>
        </w:rPr>
        <w:t xml:space="preserve">(compromisso contratual — secção 7): portanto, não constituem </w:t>
      </w:r>
      <w:r>
        <w:rPr>
          <w:lang w:val="pt-PT"/>
        </w:rPr>
        <w:t xml:space="preserve"/>
      </w:r>
      <w:r>
        <w:rPr>
          <w:b/>
          <w:bCs/>
          <w:lang w:val="pt-PT"/>
        </w:rPr>
        <w:t xml:space="preserve">acesso </w:t>
      </w:r>
      <w:r>
        <w:rPr>
          <w:lang w:val="pt-PT"/>
        </w:rPr>
        <w:t xml:space="preserve"/>
      </w:r>
      <w:r>
        <w:rPr>
          <w:lang w:val="pt-PT"/>
        </w:rPr>
        <w:t xml:space="preserve">a partir de um país terceiro.</w:t>
      </w:r>
    </w:p>
    <w:p>
      <w:pPr>
        <w:pStyle w:val="BodyText"/>
      </w:pPr>
      <w:r>
        <w:rPr>
          <w:lang w:val="pt-PT"/>
        </w:rPr>
        <w:t xml:space="preserve">Na </w:t>
      </w:r>
      <w:r>
        <w:rPr>
          <w:lang w:val="pt-PT"/>
        </w:rPr>
        <w:t xml:space="preserve"/>
      </w:r>
      <w:r>
        <w:rPr>
          <w:b/>
          <w:bCs/>
          <w:lang w:val="pt-PT"/>
        </w:rPr>
        <w:t xml:space="preserve">Opção B isolada, </w:t>
      </w:r>
      <w:r>
        <w:rPr>
          <w:lang w:val="pt-PT"/>
        </w:rPr>
        <w:t xml:space="preserve">não há </w:t>
      </w:r>
      <w:r>
        <w:rPr>
          <w:lang w:val="pt-PT"/>
        </w:rPr>
        <w:t xml:space="preserve"/>
      </w:r>
      <w:r>
        <w:rPr>
          <w:b/>
          <w:bCs/>
          <w:lang w:val="pt-PT"/>
        </w:rPr>
        <w:t xml:space="preserve">transferência ou acesso fora do EEE </w:t>
      </w:r>
      <w:r>
        <w:rPr>
          <w:lang w:val="pt-PT"/>
        </w:rPr>
        <w:t xml:space="preserve"/>
      </w:r>
      <w:r>
        <w:rPr>
          <w:lang w:val="pt-PT"/>
        </w:rPr>
        <w:t xml:space="preserve">(secção 9).</w:t>
      </w:r>
    </w:p>
    <w:bookmarkEnd w:id="92"/>
    <w:bookmarkStart w:id="93" w:name="X7f2e6a9bf6ee1c3ce5e3abb00a360282c16220d"/>
    <w:p>
      <w:pPr>
        <w:pStyle w:val="Heading2"/>
        <w:keepNext/>
        <w:keepLines/>
      </w:pPr>
      <w:r>
        <w:rPr>
          <w:color w:val="000000"/>
          <w:lang w:val="pt-PT"/>
        </w:rPr>
        <w:t xml:space="preserve">2. (a) Países e entidades em causa</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Entidade</w:t>
            </w:r>
          </w:p>
        </w:tc>
        <w:tc>
          <w:tcPr>
            <w:tcW w:type="dxa" w:w="2340"/>
            <w:tcMar>
              <w:left w:type="dxa" w:w="80"/>
              <w:right w:type="dxa" w:w="80"/>
            </w:tcMar>
          </w:tcPr>
          <w:p>
            <w:pPr>
              <w:pStyle w:val="Compact"/>
            </w:pPr>
            <w:r>
              <w:rPr>
                <w:sz w:val="19"/>
                <w:szCs w:val="19"/>
                <w:lang w:val="pt-PT"/>
              </w:rPr>
              <w:t xml:space="preserve">País</w:t>
            </w:r>
          </w:p>
        </w:tc>
        <w:tc>
          <w:tcPr>
            <w:tcW w:type="dxa" w:w="2340"/>
            <w:tcMar>
              <w:left w:type="dxa" w:w="80"/>
              <w:right w:type="dxa" w:w="80"/>
            </w:tcMar>
          </w:tcPr>
          <w:p>
            <w:pPr>
              <w:pStyle w:val="Compact"/>
            </w:pPr>
            <w:r>
              <w:rPr>
                <w:sz w:val="19"/>
                <w:szCs w:val="19"/>
                <w:lang w:val="pt-PT"/>
              </w:rPr>
              <w:t xml:space="preserve">Tipo</w:t>
            </w:r>
          </w:p>
        </w:tc>
        <w:tc>
          <w:tcPr>
            <w:tcW w:type="dxa" w:w="2340"/>
            <w:tcMar>
              <w:left w:type="dxa" w:w="80"/>
              <w:right w:type="dxa" w:w="80"/>
            </w:tcMar>
          </w:tcPr>
          <w:p>
            <w:pPr>
              <w:pStyle w:val="Compact"/>
            </w:pPr>
            <w:r>
              <w:rPr>
                <w:sz w:val="19"/>
                <w:szCs w:val="19"/>
                <w:lang w:val="pt-PT"/>
              </w:rPr>
              <w:t xml:space="preserve">Localização</w:t>
            </w:r>
          </w:p>
        </w:tc>
      </w:tr>
      <w:tr>
        <w:trPr>
          <w:cantSplit/>
        </w:trPr>
        <w:tc>
          <w:tcPr>
            <w:tcW w:type="dxa" w:w="2340"/>
            <w:tcMar>
              <w:left w:type="dxa" w:w="80"/>
              <w:right w:type="dxa" w:w="80"/>
            </w:tcMar>
          </w:tcPr>
          <w:p>
            <w:pPr>
              <w:pStyle w:val="Compact"/>
            </w:pPr>
            <w:r>
              <w:rPr>
                <w:i/>
                <w:iCs/>
                <w:sz w:val="19"/>
                <w:szCs w:val="19"/>
                <w:lang w:val="pt-PT"/>
              </w:rPr>
              <w:t xml:space="preserve">(Rota primária de IA: servidores vLLM controlados)</w:t>
            </w:r>
          </w:p>
        </w:tc>
        <w:tc>
          <w:tcPr>
            <w:tcW w:type="dxa" w:w="2340"/>
            <w:tcMar>
              <w:left w:type="dxa" w:w="80"/>
              <w:right w:type="dxa" w:w="80"/>
            </w:tcMar>
          </w:tcPr>
          <w:p>
            <w:pPr>
              <w:pStyle w:val="Compact"/>
            </w:pPr>
            <w:r>
              <w:rPr>
                <w:i/>
                <w:iCs/>
                <w:sz w:val="19"/>
                <w:szCs w:val="19"/>
                <w:lang w:val="pt-PT"/>
              </w:rPr>
              <w:t xml:space="preserve">UE — Estrasburgo/Paris</w:t>
            </w:r>
          </w:p>
        </w:tc>
        <w:tc>
          <w:tcPr>
            <w:tcW w:type="dxa" w:w="2340"/>
            <w:tcMar>
              <w:left w:type="dxa" w:w="80"/>
              <w:right w:type="dxa" w:w="80"/>
            </w:tcMar>
          </w:tcPr>
          <w:p>
            <w:pPr>
              <w:pStyle w:val="Compact"/>
            </w:pPr>
            <w:r>
              <w:rPr>
                <w:i/>
                <w:iCs/>
                <w:sz w:val="19"/>
                <w:szCs w:val="19"/>
                <w:lang w:val="pt-PT"/>
              </w:rPr>
              <w:t xml:space="preserve">Tratamento da UE</w:t>
            </w:r>
          </w:p>
        </w:tc>
        <w:tc>
          <w:tcPr>
            <w:tcW w:type="dxa" w:w="2340"/>
            <w:tcMar>
              <w:left w:type="dxa" w:w="80"/>
              <w:right w:type="dxa" w:w="80"/>
            </w:tcMar>
          </w:tcPr>
          <w:p>
            <w:pPr>
              <w:pStyle w:val="Compact"/>
            </w:pPr>
            <w:r>
              <w:rPr>
                <w:i/>
                <w:iCs/>
                <w:sz w:val="19"/>
                <w:szCs w:val="19"/>
                <w:lang w:val="pt-PT"/>
              </w:rPr>
              <w:t xml:space="preserve">Nenhuma transferência fora do EEE (lembrete)</w:t>
            </w:r>
          </w:p>
        </w:tc>
      </w:tr>
      <w:tr>
        <w:trPr>
          <w:cantSplit/>
        </w:trPr>
        <w:tc>
          <w:tcPr>
            <w:tcW w:type="dxa" w:w="2340"/>
            <w:tcMar>
              <w:left w:type="dxa" w:w="80"/>
              <w:right w:type="dxa" w:w="80"/>
            </w:tcMar>
          </w:tcPr>
          <w:p>
            <w:pPr>
              <w:pStyle w:val="Compact"/>
            </w:pPr>
            <w:r>
              <w:rPr>
                <w:i/>
                <w:iCs/>
                <w:sz w:val="19"/>
                <w:szCs w:val="19"/>
                <w:lang w:val="pt-PT"/>
              </w:rPr>
              <w:t xml:space="preserve">(backups: Scaleway)</w:t>
            </w:r>
          </w:p>
        </w:tc>
        <w:tc>
          <w:tcPr>
            <w:tcW w:type="dxa" w:w="2340"/>
            <w:tcMar>
              <w:left w:type="dxa" w:w="80"/>
              <w:right w:type="dxa" w:w="80"/>
            </w:tcMar>
          </w:tcPr>
          <w:p>
            <w:pPr>
              <w:pStyle w:val="Compact"/>
            </w:pPr>
            <w:r>
              <w:rPr>
                <w:i/>
                <w:iCs/>
                <w:sz w:val="19"/>
                <w:szCs w:val="19"/>
                <w:lang w:val="pt-PT"/>
              </w:rPr>
              <w:t xml:space="preserve">França (UE)</w:t>
            </w:r>
          </w:p>
        </w:tc>
        <w:tc>
          <w:tcPr>
            <w:tcW w:type="dxa" w:w="2340"/>
            <w:tcMar>
              <w:left w:type="dxa" w:w="80"/>
              <w:right w:type="dxa" w:w="80"/>
            </w:tcMar>
          </w:tcPr>
          <w:p>
            <w:pPr>
              <w:pStyle w:val="Compact"/>
            </w:pPr>
            <w:r>
              <w:rPr>
                <w:i/>
                <w:iCs/>
                <w:sz w:val="19"/>
                <w:szCs w:val="19"/>
                <w:lang w:val="pt-PT"/>
              </w:rPr>
              <w:t xml:space="preserve">Armazenamento na UE</w:t>
            </w:r>
          </w:p>
        </w:tc>
        <w:tc>
          <w:tcPr>
            <w:tcW w:type="dxa" w:w="2340"/>
            <w:tcMar>
              <w:left w:type="dxa" w:w="80"/>
              <w:right w:type="dxa" w:w="80"/>
            </w:tcMar>
          </w:tcPr>
          <w:p>
            <w:pPr>
              <w:pStyle w:val="Compact"/>
            </w:pPr>
            <w:r>
              <w:rPr>
                <w:i/>
                <w:iCs/>
                <w:sz w:val="19"/>
                <w:szCs w:val="19"/>
                <w:lang w:val="pt-PT"/>
              </w:rPr>
              <w:t xml:space="preserve">Nenhuma transferência fora do EEE (lembrete)</w:t>
            </w:r>
          </w:p>
        </w:tc>
      </w:tr>
      <w:tr>
        <w:trPr>
          <w:cantSplit/>
        </w:trPr>
        <w:tc>
          <w:tcPr>
            <w:tcW w:type="dxa" w:w="2340"/>
            <w:tcMar>
              <w:left w:type="dxa" w:w="80"/>
              <w:right w:type="dxa" w:w="80"/>
            </w:tcMar>
          </w:tcPr>
          <w:p>
            <w:pPr>
              <w:pStyle w:val="Compact"/>
            </w:pPr>
            <w:r>
              <w:rPr>
                <w:sz w:val="19"/>
                <w:szCs w:val="19"/>
                <w:lang w:val="pt-PT"/>
              </w:rPr>
              <w:t xml:space="preserve">OpenRouter Inc.</w:t>
            </w:r>
          </w:p>
        </w:tc>
        <w:tc>
          <w:tcPr>
            <w:tcW w:type="dxa" w:w="2340"/>
            <w:tcMar>
              <w:left w:type="dxa" w:w="80"/>
              <w:right w:type="dxa" w:w="80"/>
            </w:tcMar>
          </w:tcPr>
          <w:p>
            <w:pPr>
              <w:pStyle w:val="Compact"/>
            </w:pPr>
            <w:r>
              <w:rPr>
                <w:sz w:val="19"/>
                <w:szCs w:val="19"/>
                <w:lang w:val="pt-PT"/>
              </w:rPr>
              <w:t xml:space="preserve">EUA</w:t>
            </w:r>
          </w:p>
        </w:tc>
        <w:tc>
          <w:tcPr>
            <w:tcW w:type="dxa" w:w="2340"/>
            <w:tcMar>
              <w:left w:type="dxa" w:w="80"/>
              <w:right w:type="dxa" w:w="80"/>
            </w:tcMar>
          </w:tcPr>
          <w:p>
            <w:pPr>
              <w:pStyle w:val="Compact"/>
            </w:pPr>
            <w:r>
              <w:rPr>
                <w:sz w:val="19"/>
                <w:szCs w:val="19"/>
                <w:lang w:val="pt-PT"/>
              </w:rPr>
              <w:t xml:space="preserve">Fluxo técnico (máquina)</w:t>
            </w:r>
          </w:p>
        </w:tc>
        <w:tc>
          <w:tcPr>
            <w:tcW w:type="dxa" w:w="2340"/>
            <w:tcMar>
              <w:left w:type="dxa" w:w="80"/>
              <w:right w:type="dxa" w:w="80"/>
            </w:tcMar>
          </w:tcPr>
          <w:p>
            <w:pPr>
              <w:pStyle w:val="Compact"/>
            </w:pPr>
            <w:r>
              <w:rPr>
                <w:sz w:val="19"/>
                <w:szCs w:val="19"/>
                <w:lang w:val="pt-PT"/>
              </w:rPr>
              <w:t xml:space="preserve">Gateway AI </w:t>
            </w:r>
            <w:r>
              <w:rPr>
                <w:sz w:val="19"/>
                <w:szCs w:val="19"/>
                <w:lang w:val="pt-PT"/>
              </w:rPr>
              <w:t xml:space="preserve"/>
            </w:r>
            <w:r>
              <w:rPr>
                <w:b/>
                <w:bCs/>
                <w:sz w:val="19"/>
                <w:szCs w:val="19"/>
                <w:lang w:val="pt-PT"/>
              </w:rPr>
              <w:t xml:space="preserve">como backup (failover), desativo</w:t>
            </w:r>
          </w:p>
        </w:tc>
      </w:tr>
      <w:tr>
        <w:trPr>
          <w:cantSplit/>
        </w:trPr>
        <w:tc>
          <w:tcPr>
            <w:tcW w:type="dxa" w:w="2340"/>
            <w:tcMar>
              <w:left w:type="dxa" w:w="80"/>
              <w:right w:type="dxa" w:w="80"/>
            </w:tcMar>
          </w:tcPr>
          <w:p>
            <w:pPr>
              <w:pStyle w:val="Compact"/>
            </w:pPr>
            <w:r>
              <w:rPr>
                <w:sz w:val="19"/>
                <w:szCs w:val="19"/>
                <w:lang w:val="pt-PT"/>
              </w:rPr>
              <w:t xml:space="preserve">Anthropic</w:t>
            </w:r>
          </w:p>
        </w:tc>
        <w:tc>
          <w:tcPr>
            <w:tcW w:type="dxa" w:w="2340"/>
            <w:tcMar>
              <w:left w:type="dxa" w:w="80"/>
              <w:right w:type="dxa" w:w="80"/>
            </w:tcMar>
          </w:tcPr>
          <w:p>
            <w:pPr>
              <w:pStyle w:val="Compact"/>
            </w:pPr>
            <w:r>
              <w:rPr>
                <w:sz w:val="19"/>
                <w:szCs w:val="19"/>
                <w:lang w:val="pt-PT"/>
              </w:rPr>
              <w:t xml:space="preserve">EUA</w:t>
            </w:r>
          </w:p>
        </w:tc>
        <w:tc>
          <w:tcPr>
            <w:tcW w:type="dxa" w:w="2340"/>
            <w:tcMar>
              <w:left w:type="dxa" w:w="80"/>
              <w:right w:type="dxa" w:w="80"/>
            </w:tcMar>
          </w:tcPr>
          <w:p>
            <w:pPr>
              <w:pStyle w:val="Compact"/>
            </w:pPr>
            <w:r>
              <w:rPr>
                <w:sz w:val="19"/>
                <w:szCs w:val="19"/>
                <w:lang w:val="pt-PT"/>
              </w:rPr>
              <w:t xml:space="preserve">Fluxo técnico (máquina)</w:t>
            </w:r>
          </w:p>
        </w:tc>
        <w:tc>
          <w:tcPr>
            <w:tcW w:type="dxa" w:w="2340"/>
            <w:tcMar>
              <w:left w:type="dxa" w:w="80"/>
              <w:right w:type="dxa" w:w="80"/>
            </w:tcMar>
          </w:tcPr>
          <w:p>
            <w:pPr>
              <w:pStyle w:val="Compact"/>
            </w:pPr>
            <w:r>
              <w:rPr>
                <w:sz w:val="19"/>
                <w:szCs w:val="19"/>
                <w:lang w:val="pt-PT"/>
              </w:rPr>
              <w:t xml:space="preserve">Provedor de modelo via OpenRouter </w:t>
            </w:r>
            <w:r>
              <w:rPr>
                <w:sz w:val="19"/>
                <w:szCs w:val="19"/>
                <w:lang w:val="pt-PT"/>
              </w:rPr>
              <w:t xml:space="preserve">— </w:t>
            </w:r>
            <w:r>
              <w:rPr>
                <w:b/>
                <w:bCs/>
                <w:sz w:val="19"/>
                <w:szCs w:val="19"/>
                <w:lang w:val="pt-PT"/>
              </w:rPr>
              <w:t xml:space="preserve">apenas substituto</w:t>
            </w:r>
          </w:p>
        </w:tc>
      </w:tr>
      <w:tr>
        <w:trPr>
          <w:cantSplit/>
        </w:trPr>
        <w:tc>
          <w:tcPr>
            <w:tcW w:type="dxa" w:w="2340"/>
            <w:tcMar>
              <w:left w:type="dxa" w:w="80"/>
              <w:right w:type="dxa" w:w="80"/>
            </w:tcMar>
          </w:tcPr>
          <w:p>
            <w:pPr>
              <w:pStyle w:val="Compact"/>
            </w:pPr>
            <w:r>
              <w:rPr>
                <w:sz w:val="19"/>
                <w:szCs w:val="19"/>
                <w:lang w:val="pt-PT"/>
              </w:rPr>
              <w:t xml:space="preserve">OpenAI</w:t>
            </w:r>
          </w:p>
        </w:tc>
        <w:tc>
          <w:tcPr>
            <w:tcW w:type="dxa" w:w="2340"/>
            <w:tcMar>
              <w:left w:type="dxa" w:w="80"/>
              <w:right w:type="dxa" w:w="80"/>
            </w:tcMar>
          </w:tcPr>
          <w:p>
            <w:pPr>
              <w:pStyle w:val="Compact"/>
            </w:pPr>
            <w:r>
              <w:rPr>
                <w:sz w:val="19"/>
                <w:szCs w:val="19"/>
                <w:lang w:val="pt-PT"/>
              </w:rPr>
              <w:t xml:space="preserve">EUA</w:t>
            </w:r>
          </w:p>
        </w:tc>
        <w:tc>
          <w:tcPr>
            <w:tcW w:type="dxa" w:w="2340"/>
            <w:tcMar>
              <w:left w:type="dxa" w:w="80"/>
              <w:right w:type="dxa" w:w="80"/>
            </w:tcMar>
          </w:tcPr>
          <w:p>
            <w:pPr>
              <w:pStyle w:val="Compact"/>
            </w:pPr>
            <w:r>
              <w:rPr>
                <w:sz w:val="19"/>
                <w:szCs w:val="19"/>
                <w:lang w:val="pt-PT"/>
              </w:rPr>
              <w:t xml:space="preserve">Fluxo técnico (máquina)</w:t>
            </w:r>
          </w:p>
        </w:tc>
        <w:tc>
          <w:tcPr>
            <w:tcW w:type="dxa" w:w="2340"/>
            <w:tcMar>
              <w:left w:type="dxa" w:w="80"/>
              <w:right w:type="dxa" w:w="80"/>
            </w:tcMar>
          </w:tcPr>
          <w:p>
            <w:pPr>
              <w:pStyle w:val="Compact"/>
            </w:pPr>
            <w:r>
              <w:rPr>
                <w:sz w:val="19"/>
                <w:szCs w:val="19"/>
                <w:lang w:val="pt-PT"/>
              </w:rPr>
              <w:t xml:space="preserve">Provedor de modelo via OpenRouter </w:t>
            </w:r>
            <w:r>
              <w:rPr>
                <w:sz w:val="19"/>
                <w:szCs w:val="19"/>
                <w:lang w:val="pt-PT"/>
              </w:rPr>
              <w:t xml:space="preserve">— </w:t>
            </w:r>
            <w:r>
              <w:rPr>
                <w:b/>
                <w:bCs/>
                <w:sz w:val="19"/>
                <w:szCs w:val="19"/>
                <w:lang w:val="pt-PT"/>
              </w:rPr>
              <w:t xml:space="preserve">apenas substituto</w:t>
            </w:r>
          </w:p>
        </w:tc>
      </w:tr>
      <w:tr>
        <w:trPr>
          <w:cantSplit/>
        </w:trPr>
        <w:tc>
          <w:tcPr>
            <w:tcW w:type="dxa" w:w="2340"/>
            <w:tcMar>
              <w:left w:type="dxa" w:w="80"/>
              <w:right w:type="dxa" w:w="80"/>
            </w:tcMar>
          </w:tcPr>
          <w:p>
            <w:pPr>
              <w:pStyle w:val="Compact"/>
            </w:pPr>
            <w:r>
              <w:rPr>
                <w:sz w:val="19"/>
                <w:szCs w:val="19"/>
                <w:lang w:val="pt-PT"/>
              </w:rPr>
              <w:t xml:space="preserve">Vast.ai</w:t>
            </w:r>
          </w:p>
        </w:tc>
        <w:tc>
          <w:tcPr>
            <w:tcW w:type="dxa" w:w="2340"/>
            <w:tcMar>
              <w:left w:type="dxa" w:w="80"/>
              <w:right w:type="dxa" w:w="80"/>
            </w:tcMar>
          </w:tcPr>
          <w:p>
            <w:pPr>
              <w:pStyle w:val="Compact"/>
            </w:pPr>
            <w:r>
              <w:rPr>
                <w:sz w:val="19"/>
                <w:szCs w:val="19"/>
                <w:lang w:val="pt-PT"/>
              </w:rPr>
              <w:t xml:space="preserve">EUA (mercado)</w:t>
            </w:r>
          </w:p>
        </w:tc>
        <w:tc>
          <w:tcPr>
            <w:tcW w:type="dxa" w:w="2340"/>
            <w:tcMar>
              <w:left w:type="dxa" w:w="80"/>
              <w:right w:type="dxa" w:w="80"/>
            </w:tcMar>
          </w:tcPr>
          <w:p>
            <w:pPr>
              <w:pStyle w:val="Compact"/>
            </w:pPr>
            <w:r>
              <w:rPr>
                <w:sz w:val="19"/>
                <w:szCs w:val="19"/>
                <w:lang w:val="pt-PT"/>
              </w:rPr>
              <w:t xml:space="preserve">Fluxo técnico (máquina)</w:t>
            </w:r>
          </w:p>
        </w:tc>
        <w:tc>
          <w:tcPr>
            <w:tcW w:type="dxa" w:w="2340"/>
            <w:tcMar>
              <w:left w:type="dxa" w:w="80"/>
              <w:right w:type="dxa" w:w="80"/>
            </w:tcMar>
          </w:tcPr>
          <w:p>
            <w:pPr>
              <w:pStyle w:val="Compact"/>
            </w:pPr>
            <w:r>
              <w:rPr>
                <w:sz w:val="19"/>
                <w:szCs w:val="19"/>
                <w:lang w:val="pt-PT"/>
              </w:rPr>
              <w:t xml:space="preserve">Computação GPU quando ativada — máquinas selecionadas na UE quando necessário</w:t>
            </w:r>
          </w:p>
        </w:tc>
      </w:tr>
    </w:tbl>
    <w:p>
      <w:pPr>
        <w:pStyle w:val="BlockText"/>
      </w:pPr>
      <w:r>
        <w:rPr>
          <w:lang w:val="pt-PT"/>
        </w:rPr>
        <w:t xml:space="preserve">Não há </w:t>
      </w:r>
      <w:r>
        <w:rPr>
          <w:lang w:val="pt-PT"/>
        </w:rPr>
        <w:t xml:space="preserve"/>
      </w:r>
      <w:r>
        <w:rPr>
          <w:b/>
          <w:bCs/>
          <w:lang w:val="pt-PT"/>
        </w:rPr>
        <w:t xml:space="preserve">acesso humano de um terceiro país: a </w:t>
      </w:r>
      <w:r>
        <w:rPr>
          <w:lang w:val="pt-PT"/>
        </w:rPr>
        <w:t xml:space="preserve"/>
      </w:r>
      <w:r>
        <w:rPr>
          <w:lang w:val="pt-PT"/>
        </w:rPr>
        <w:t xml:space="preserve">administração e o suporte são de responsabilidade de OHADJA (com sede em Paris) e são realizados exclusivamente a partir de França/UE (secção 7).</w:t>
      </w:r>
    </w:p>
    <w:bookmarkEnd w:id="93"/>
    <w:bookmarkStart w:id="94" w:name="X8a6ffe354f3a635abaebe378335f031f94ddf4f"/>
    <w:p>
      <w:pPr>
        <w:pStyle w:val="Heading2"/>
        <w:keepNext/>
        <w:keepLines/>
      </w:pPr>
      <w:r>
        <w:rPr>
          <w:color w:val="000000"/>
          <w:lang w:val="pt-PT"/>
        </w:rPr>
        <w:t xml:space="preserve">3. (b) Categorias de dados acessíveis por entidade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Entidade</w:t>
            </w:r>
          </w:p>
        </w:tc>
        <w:tc>
          <w:tcPr/>
          <w:p>
            <w:pPr>
              <w:pStyle w:val="Compact"/>
            </w:pPr>
            <w:r>
              <w:rPr>
                <w:lang w:val="pt-PT"/>
              </w:rPr>
              <w:t xml:space="preserve">Categorias de dados em causa</w:t>
            </w:r>
          </w:p>
        </w:tc>
      </w:tr>
      <w:tr>
        <w:trPr>
          <w:cantSplit/>
        </w:trPr>
        <w:tc>
          <w:tcPr/>
          <w:p>
            <w:pPr>
              <w:pStyle w:val="Compact"/>
            </w:pPr>
            <w:r>
              <w:rPr>
                <w:lang w:val="pt-PT"/>
              </w:rPr>
              <w:t xml:space="preserve">OpenRouter / Anthropic / OpenAI </w:t>
            </w:r>
            <w:r>
              <w:rPr>
                <w:b/>
                <w:bCs/>
                <w:lang w:val="pt-PT"/>
              </w:rPr>
              <w:t xml:space="preserve">(somente rota de </w:t>
            </w:r>
            <w:r>
              <w:rPr>
                <w:lang w:val="pt-PT"/>
              </w:rPr>
              <w:t xml:space="preserve">backup)</w:t>
            </w:r>
          </w:p>
        </w:tc>
        <w:tc>
          <w:tcPr/>
          <w:p>
            <w:pPr>
              <w:pStyle w:val="Compact"/>
            </w:pPr>
            <w:r>
              <w:rPr>
                <w:lang w:val="pt-PT"/>
              </w:rPr>
              <w:t xml:space="preserve">Prompts = fontes selecionadas pelo utilizador (trechos de transcrições, documentos, metadados), minimizadas; saídas geradas — somente em caso de mudança para emergência</w:t>
            </w:r>
          </w:p>
        </w:tc>
      </w:tr>
      <w:tr>
        <w:trPr>
          <w:cantSplit/>
        </w:trPr>
        <w:tc>
          <w:tcPr/>
          <w:p>
            <w:pPr>
              <w:pStyle w:val="Compact"/>
            </w:pPr>
            <w:r>
              <w:rPr>
                <w:lang w:val="pt-PT"/>
              </w:rPr>
              <w:t xml:space="preserve">Vast.ai</w:t>
            </w:r>
          </w:p>
        </w:tc>
        <w:tc>
          <w:tcPr/>
          <w:p>
            <w:pPr>
              <w:pStyle w:val="Compact"/>
            </w:pPr>
            <w:r>
              <w:rPr>
                <w:lang w:val="pt-PT"/>
              </w:rPr>
              <w:t xml:space="preserve">Segmentos de áudio/transcrição sendo processados (durante o trabalho) e depois excluídos</w:t>
            </w:r>
          </w:p>
        </w:tc>
      </w:tr>
    </w:tbl>
    <w:bookmarkEnd w:id="94"/>
    <w:bookmarkStart w:id="95" w:name="Xc88f5c870e9d040feecdae04696d5e79abdfa5b"/>
    <w:p>
      <w:pPr>
        <w:pStyle w:val="Heading2"/>
        <w:keepNext/>
        <w:keepLines/>
      </w:pPr>
      <w:r>
        <w:rPr>
          <w:color w:val="000000"/>
          <w:lang w:val="pt-PT"/>
        </w:rPr>
        <w:t xml:space="preserve">4. (c) Mecanismos legais mantidos</w:t>
      </w:r>
    </w:p>
    <w:p>
      <w:pPr>
        <w:pStyle w:val="Compact"/>
        <w:numPr>
          <w:ilvl w:val="0"/>
          <w:numId w:val="1021"/>
        </w:numPr>
      </w:pPr>
      <w:r>
        <w:rPr>
          <w:b/>
          <w:bCs/>
          <w:lang w:val="pt-PT"/>
        </w:rPr>
        <w:t xml:space="preserve">Cláusulas contratuais-tipo (CCT / SCC) dos </w:t>
      </w:r>
      <w:r>
        <w:rPr>
          <w:lang w:val="pt-PT"/>
        </w:rPr>
        <w:t xml:space="preserve"/>
      </w:r>
      <w:r>
        <w:rPr>
          <w:lang w:val="pt-PT"/>
        </w:rPr>
        <w:t xml:space="preserve">fornecedores (módulos aplicáveis à relação subcontratante → subcontratante ulterior, módulo 3, ou responsável pelo tratamento → subcontratante, consoante a configuração).</w:t>
      </w:r>
    </w:p>
    <w:p>
      <w:pPr>
        <w:pStyle w:val="Compact"/>
        <w:numPr>
          <w:ilvl w:val="0"/>
          <w:numId w:val="1021"/>
        </w:numPr>
      </w:pPr>
      <w:r>
        <w:rPr>
          <w:b/>
          <w:bCs/>
          <w:lang w:val="pt-PT"/>
        </w:rPr>
        <w:t xml:space="preserve">Estrutura de privacidade de </w:t>
      </w:r>
      <w:r>
        <w:rPr>
          <w:lang w:val="pt-PT"/>
        </w:rPr>
        <w:t xml:space="preserve"/>
      </w:r>
      <w:r>
        <w:rPr>
          <w:lang w:val="pt-PT"/>
        </w:rPr>
        <w:t xml:space="preserve">dados </w:t>
      </w:r>
      <w:r>
        <w:rPr>
          <w:lang w:val="pt-PT"/>
        </w:rPr>
        <w:t xml:space="preserve"/>
      </w:r>
      <w:r>
        <w:rPr>
          <w:b/>
          <w:bCs/>
          <w:lang w:val="pt-PT"/>
        </w:rPr>
        <w:t xml:space="preserve">UE-EUA (DPF) quando o fornecedor é </w:t>
      </w:r>
      <w:r>
        <w:rPr>
          <w:lang w:val="pt-PT"/>
        </w:rPr>
        <w:t xml:space="preserve"/>
      </w:r>
      <w:r>
        <w:rPr>
          <w:lang w:val="pt-PT"/>
        </w:rPr>
        <w:t xml:space="preserve"/>
      </w:r>
      <w:r>
        <w:rPr>
          <w:lang w:val="pt-PT"/>
        </w:rPr>
        <w:t xml:space="preserve"/>
      </w:r>
      <w:r>
        <w:rPr>
          <w:b/>
          <w:bCs/>
          <w:lang w:val="pt-PT"/>
        </w:rPr>
        <w:t xml:space="preserve">certificado — [A SER VERIFICADO </w:t>
      </w:r>
      <w:r>
        <w:rPr>
          <w:lang w:val="pt-PT"/>
        </w:rPr>
        <w:t xml:space="preserve">pelo </w:t>
      </w:r>
      <w:r>
        <w:rPr>
          <w:lang w:val="pt-PT"/>
        </w:rPr>
        <w:t xml:space="preserve">fornecedor]: A certificação DPF do OpenRouter, Anthropic e OpenAI deve ser verificada fornecedor por fornecedor antes de confiar nela. Não assuma uma certificação não verificada.</w:t>
      </w:r>
    </w:p>
    <w:p>
      <w:pPr>
        <w:pStyle w:val="Compact"/>
        <w:numPr>
          <w:ilvl w:val="0"/>
          <w:numId w:val="1021"/>
        </w:numPr>
      </w:pPr>
      <w:r>
        <w:rPr>
          <w:b/>
          <w:bCs/>
          <w:lang w:val="pt-PT"/>
        </w:rPr>
        <w:t xml:space="preserve">Medidas adicionais (ver </w:t>
      </w:r>
      <w:r>
        <w:rPr>
          <w:lang w:val="pt-PT"/>
        </w:rPr>
        <w:t xml:space="preserve"/>
      </w:r>
      <w:r>
        <w:rPr>
          <w:lang w:val="pt-PT"/>
        </w:rPr>
        <w:t xml:space="preserve">secção 5), em conformidade com as recomendações da AEPD sobre medidas complementares aos instrumentos de transferência.</w:t>
      </w:r>
    </w:p>
    <w:bookmarkEnd w:id="95"/>
    <w:bookmarkStart w:id="96" w:name="X0746e0ea3ea47c6136a496f999aa64ff85f02fe"/>
    <w:p>
      <w:pPr>
        <w:pStyle w:val="Heading2"/>
        <w:keepNext/>
        <w:keepLines/>
      </w:pPr>
      <w:r>
        <w:rPr>
          <w:color w:val="000000"/>
          <w:lang w:val="pt-PT"/>
        </w:rPr>
        <w:t xml:space="preserve">5. (e) Medidas adicionais implementadas</w:t>
      </w:r>
    </w:p>
    <w:p>
      <w:pPr>
        <w:pStyle w:val="Compact"/>
        <w:numPr>
          <w:ilvl w:val="0"/>
          <w:numId w:val="1022"/>
        </w:numPr>
      </w:pPr>
      <w:r>
        <w:rPr>
          <w:b/>
          <w:bCs/>
          <w:lang w:val="pt-PT"/>
        </w:rPr>
        <w:t xml:space="preserve">Cifragem em trânsito: </w:t>
      </w:r>
      <w:r>
        <w:rPr>
          <w:lang w:val="pt-PT"/>
        </w:rPr>
        <w:t xml:space="preserve"/>
      </w:r>
      <w:r>
        <w:rPr>
          <w:lang w:val="pt-PT"/>
        </w:rPr>
        <w:t xml:space="preserve">TLS 1.2+ para todos os fluxos de aplicativos e API.</w:t>
      </w:r>
    </w:p>
    <w:p>
      <w:pPr>
        <w:pStyle w:val="Compact"/>
        <w:numPr>
          <w:ilvl w:val="0"/>
          <w:numId w:val="1022"/>
        </w:numPr>
      </w:pPr>
      <w:r>
        <w:rPr>
          <w:b/>
          <w:bCs/>
          <w:lang w:val="pt-PT"/>
        </w:rPr>
        <w:t xml:space="preserve">Cifragem de backup: cifragem </w:t>
      </w:r>
      <w:r>
        <w:rPr>
          <w:lang w:val="pt-PT"/>
        </w:rPr>
        <w:t xml:space="preserve"/>
      </w:r>
      <w:r>
        <w:rPr>
          <w:lang w:val="pt-PT"/>
        </w:rPr>
        <w:t xml:space="preserve">com age </w:t>
      </w:r>
      <w:r>
        <w:rPr>
          <w:lang w:val="pt-PT"/>
        </w:rPr>
        <w:t xml:space="preserve"/>
      </w:r>
      <w:r>
        <w:rPr>
          <w:b/>
          <w:bCs/>
          <w:lang w:val="pt-PT"/>
        </w:rPr>
        <w:t xml:space="preserve">(X25519 </w:t>
      </w:r>
      <w:r>
        <w:rPr>
          <w:lang w:val="pt-PT"/>
        </w:rPr>
        <w:t xml:space="preserve"/>
      </w:r>
      <w:r>
        <w:rPr>
          <w:lang w:val="pt-PT"/>
        </w:rPr>
        <w:t xml:space="preserve">+ ChaCha20-Poly1305) </w:t>
      </w:r>
      <w:r>
        <w:rPr>
          <w:lang w:val="pt-PT"/>
        </w:rPr>
        <w:t xml:space="preserve">antes </w:t>
      </w:r>
      <w:r>
        <w:rPr>
          <w:b/>
          <w:bCs/>
          <w:lang w:val="pt-PT"/>
        </w:rPr>
        <w:t xml:space="preserve">da </w:t>
      </w:r>
      <w:r>
        <w:rPr>
          <w:lang w:val="pt-PT"/>
        </w:rPr>
        <w:t xml:space="preserve"/>
      </w:r>
      <w:r>
        <w:rPr>
          <w:lang w:val="pt-PT"/>
        </w:rPr>
        <w:t xml:space="preserve">terceirização; chaves detidas por OHADJA, mantidas </w:t>
      </w:r>
      <w:r>
        <w:rPr>
          <w:lang w:val="pt-PT"/>
        </w:rPr>
        <w:t xml:space="preserve">na </w:t>
      </w:r>
      <w:r>
        <w:rPr>
          <w:b/>
          <w:bCs/>
          <w:lang w:val="pt-PT"/>
        </w:rPr>
        <w:t xml:space="preserve">UE. </w:t>
      </w:r>
      <w:r>
        <w:rPr>
          <w:lang w:val="pt-PT"/>
        </w:rPr>
        <w:t xml:space="preserve">O provedor de armazenamento (Scaleway, França) contém apenas blocos ilegíveis.</w:t>
      </w:r>
    </w:p>
    <w:p>
      <w:pPr>
        <w:pStyle w:val="Compact"/>
        <w:numPr>
          <w:ilvl w:val="0"/>
          <w:numId w:val="1022"/>
        </w:numPr>
      </w:pPr>
      <w:r>
        <w:rPr>
          <w:b/>
          <w:bCs/>
          <w:lang w:val="pt-PT"/>
        </w:rPr>
        <w:t xml:space="preserve">Minimização de prompts: </w:t>
      </w:r>
      <w:r>
        <w:rPr>
          <w:lang w:val="pt-PT"/>
        </w:rPr>
        <w:t xml:space="preserve"/>
      </w:r>
      <w:r>
        <w:rPr>
          <w:lang w:val="pt-PT"/>
        </w:rPr>
        <w:t xml:space="preserve">apenas fontes selecionadas pelo utilizador são transmitidas aos modelos; redução de volume e conteúdo.</w:t>
      </w:r>
    </w:p>
    <w:p>
      <w:pPr>
        <w:pStyle w:val="Compact"/>
        <w:numPr>
          <w:ilvl w:val="0"/>
          <w:numId w:val="1022"/>
        </w:numPr>
      </w:pPr>
      <w:r>
        <w:rPr>
          <w:b/>
          <w:bCs/>
          <w:lang w:val="pt-PT"/>
        </w:rPr>
        <w:t xml:space="preserve">no-train: </w:t>
      </w:r>
      <w:r>
        <w:rPr>
          <w:lang w:val="pt-PT"/>
        </w:rPr>
        <w:t xml:space="preserve"/>
      </w:r>
      <w:r>
        <w:rPr>
          <w:lang w:val="pt-PT"/>
        </w:rPr>
        <w:t xml:space="preserve">compromisso de não treino (sinalizador no-train do OpenRouter, compromissos do DPA do fornecedor) — os dados não são usados para treinar modelos.</w:t>
      </w:r>
    </w:p>
    <w:p>
      <w:pPr>
        <w:pStyle w:val="Compact"/>
        <w:numPr>
          <w:ilvl w:val="0"/>
          <w:numId w:val="1022"/>
        </w:numPr>
      </w:pPr>
      <w:r>
        <w:rPr>
          <w:b/>
          <w:bCs/>
          <w:lang w:val="pt-PT"/>
        </w:rPr>
        <w:t xml:space="preserve">Nenhum armazenamento durável por parte </w:t>
      </w:r>
      <w:r>
        <w:rPr>
          <w:lang w:val="pt-PT"/>
        </w:rPr>
        <w:t xml:space="preserve"/>
      </w:r>
      <w:r>
        <w:rPr>
          <w:lang w:val="pt-PT"/>
        </w:rPr>
        <w:t xml:space="preserve">do provedor de IA: os prompts não são persistidos pelos provedores de modelo.</w:t>
      </w:r>
    </w:p>
    <w:p>
      <w:pPr>
        <w:pStyle w:val="Compact"/>
        <w:numPr>
          <w:ilvl w:val="0"/>
          <w:numId w:val="1022"/>
        </w:numPr>
      </w:pPr>
      <w:r>
        <w:rPr>
          <w:b/>
          <w:bCs/>
          <w:lang w:val="pt-PT"/>
        </w:rPr>
        <w:t xml:space="preserve">Pseudonimização parcial: </w:t>
      </w:r>
      <w:r>
        <w:rPr>
          <w:lang w:val="pt-PT"/>
        </w:rPr>
        <w:t xml:space="preserve"/>
      </w:r>
      <w:r>
        <w:rPr>
          <w:lang w:val="pt-PT"/>
        </w:rPr>
        <w:t xml:space="preserve">quando possível, redução de identificadores diretos no conteúdo transmitido.</w:t>
      </w:r>
    </w:p>
    <w:bookmarkEnd w:id="96"/>
    <w:bookmarkStart w:id="97" w:name="X6339bad733b4d8019ab28156a753cf759c0b8d9"/>
    <w:p>
      <w:pPr>
        <w:pStyle w:val="Heading2"/>
        <w:keepNext/>
        <w:keepLines/>
      </w:pPr>
      <w:r>
        <w:rPr>
          <w:color w:val="000000"/>
          <w:lang w:val="pt-PT"/>
        </w:rPr>
        <w:t xml:space="preserve">6. (d) Situação das análises de impacto de transferência (AITD/TIA)</w:t>
      </w:r>
    </w:p>
    <w:p>
      <w:pPr>
        <w:pStyle w:val="FirstParagraph"/>
      </w:pPr>
      <w:r>
        <w:rPr>
          <w:lang w:val="pt-PT"/>
        </w:rPr>
        <w:t xml:space="preserve">As </w:t>
      </w:r>
      <w:r>
        <w:rPr>
          <w:lang w:val="pt-PT"/>
        </w:rPr>
        <w:t xml:space="preserve"/>
      </w:r>
      <w:r>
        <w:rPr>
          <w:b/>
          <w:bCs/>
          <w:lang w:val="pt-PT"/>
        </w:rPr>
        <w:t xml:space="preserve">avaliações de impacto das transferências (AITD / Transfer Impact Assessment) dos </w:t>
      </w:r>
      <w:r>
        <w:rPr>
          <w:lang w:val="pt-PT"/>
        </w:rPr>
        <w:t xml:space="preserve"/>
      </w:r>
      <w:r>
        <w:rPr>
          <w:lang w:val="pt-PT"/>
        </w:rPr>
        <w:t xml:space="preserve">fornecedores de recurso e GPU continuam por finalizar e </w:t>
      </w:r>
      <w:r>
        <w:rPr>
          <w:lang w:val="pt-PT"/>
        </w:rPr>
        <w:t xml:space="preserve"/>
      </w:r>
      <w:r>
        <w:rPr>
          <w:b/>
          <w:bCs/>
          <w:lang w:val="pt-PT"/>
        </w:rPr>
        <w:t xml:space="preserve">validar antes de qualquer transferência </w:t>
      </w:r>
      <w:r>
        <w:rPr>
          <w:lang w:val="pt-PT"/>
        </w:rPr>
        <w:t xml:space="preserve"/>
      </w:r>
      <w:r>
        <w:rPr>
          <w:lang w:val="pt-PT"/>
        </w:rPr>
        <w:t xml:space="preserve">que exija essa avaliação. À data de 2026-07-24, não estão finalizadas </w:t>
      </w:r>
      <w:r>
        <w:rPr>
          <w:lang w:val="pt-PT"/>
        </w:rPr>
        <w:t xml:space="preserve"/>
      </w:r>
      <w:r>
        <w:rPr>
          <w:b/>
          <w:bCs/>
          <w:lang w:val="pt-PT"/>
        </w:rPr>
        <w:t xml:space="preserve">[A COMPLETAR: análise por fluxo, </w:t>
      </w:r>
      <w:r>
        <w:rPr>
          <w:lang w:val="pt-PT"/>
        </w:rPr>
        <w:t xml:space="preserve">fornecedor, país e mecanismo]. Nenhuma transferência deve </w:t>
      </w:r>
      <w:r>
        <w:rPr>
          <w:lang w:val="pt-PT"/>
        </w:rPr>
        <w:t xml:space="preserve"/>
      </w:r>
      <w:r>
        <w:rPr>
          <w:b/>
          <w:bCs/>
          <w:lang w:val="pt-PT"/>
        </w:rPr>
        <w:t xml:space="preserve">ser iniciada ou </w:t>
      </w:r>
      <w:r>
        <w:rPr>
          <w:lang w:val="pt-PT"/>
        </w:rPr>
        <w:t xml:space="preserve">prosseguida </w:t>
      </w:r>
      <w:r>
        <w:rPr>
          <w:lang w:val="pt-PT"/>
        </w:rPr>
        <w:t xml:space="preserve">sem um mecanismo válido e garantias efetivamente verificadas; caso contrário, a via em causa deve permanecer desativada. Será disponibilizada uma síntese, mediante pedido, após a validação.</w:t>
      </w:r>
    </w:p>
    <w:p>
      <w:pPr>
        <w:pStyle w:val="BodyText"/>
      </w:pPr>
      <w:r>
        <w:rPr>
          <w:lang w:val="pt-PT"/>
        </w:rPr>
        <w:t xml:space="preserve">Esta formalização abrangerá, para cada fornecedor: o mapeamento do fluxo, a legislação do país terceiro (em particular o acesso das autoridades), a avaliação da eficácia das medidas adicionais, e a conclusão sobre a admissibilidade da transferência. O alcance destas análises é reduzido pelo facto de a rota de emergência poder ser desativada (perfil “estrito UE”).</w:t>
      </w:r>
    </w:p>
    <w:bookmarkEnd w:id="97"/>
    <w:bookmarkStart w:id="98" w:name="X56f4867122fc146617b334329af1bcb476100bf"/>
    <w:p>
      <w:pPr>
        <w:pStyle w:val="Heading2"/>
        <w:keepNext/>
        <w:keepLines/>
      </w:pPr>
      <w:r>
        <w:rPr>
          <w:color w:val="000000"/>
          <w:lang w:val="pt-PT"/>
        </w:rPr>
        <w:t xml:space="preserve">7. (f) Acessos humanos de administração — compromisso França / UE a verificar operacionalmente</w:t>
      </w:r>
    </w:p>
    <w:p>
      <w:pPr>
        <w:pStyle w:val="FirstParagraph"/>
      </w:pPr>
      <w:r>
        <w:rPr>
          <w:b/>
          <w:bCs/>
          <w:lang w:val="pt-PT"/>
        </w:rPr>
        <w:t xml:space="preserve">Compromisso contratual. </w:t>
      </w:r>
      <w:r>
        <w:rPr>
          <w:lang w:val="pt-PT"/>
        </w:rPr>
        <w:t xml:space="preserve"/>
      </w:r>
      <w:r>
        <w:rPr>
          <w:lang w:val="pt-PT"/>
        </w:rPr>
        <w:t xml:space="preserve">A editora subcontratante </w:t>
      </w:r>
      <w:r>
        <w:rPr>
          <w:lang w:val="pt-PT"/>
        </w:rPr>
        <w:t xml:space="preserve"/>
      </w:r>
      <w:r>
        <w:rPr>
          <w:b/>
          <w:bCs/>
          <w:lang w:val="pt-PT"/>
        </w:rPr>
        <w:t xml:space="preserve">OHADJA está estabelecida em Paris </w:t>
      </w:r>
      <w:r>
        <w:rPr>
          <w:lang w:val="pt-PT"/>
        </w:rPr>
        <w:t xml:space="preserve">(França). A administração, suporte e segurança do serviço são realizados </w:t>
      </w:r>
      <w:r>
        <w:rPr>
          <w:lang w:val="pt-PT"/>
        </w:rPr>
        <w:t xml:space="preserve"/>
      </w:r>
      <w:r>
        <w:rPr>
          <w:b/>
          <w:bCs/>
          <w:lang w:val="pt-PT"/>
        </w:rPr>
        <w:t xml:space="preserve">exclusivamente a partir de França/União Europeia. </w:t>
      </w:r>
      <w:r>
        <w:rPr>
          <w:lang w:val="pt-PT"/>
        </w:rPr>
        <w:t xml:space="preserve">Este compromisso contratual garante que nenhum </w:t>
      </w:r>
      <w:r>
        <w:rPr>
          <w:b/>
          <w:bCs/>
          <w:lang w:val="pt-PT"/>
        </w:rPr>
        <w:t xml:space="preserve">acesso humano aos dados de produção ocorra a partir de um país </w:t>
      </w:r>
      <w:r>
        <w:rPr>
          <w:lang w:val="pt-PT"/>
        </w:rPr>
        <w:t xml:space="preserve">terceiro.</w:t>
      </w:r>
    </w:p>
    <w:p>
      <w:pPr>
        <w:pStyle w:val="BodyText"/>
      </w:pPr>
      <w:r>
        <w:rPr>
          <w:b/>
          <w:bCs/>
          <w:lang w:val="pt-PT"/>
        </w:rPr>
        <w:t xml:space="preserve">Transparência sobre a ligação ao Mónaco. A </w:t>
      </w:r>
      <w:r>
        <w:rPr>
          <w:lang w:val="pt-PT"/>
        </w:rPr>
        <w:t xml:space="preserve">AMBASSADIA </w:t>
      </w:r>
      <w:r>
        <w:rPr>
          <w:lang w:val="pt-PT"/>
        </w:rPr>
        <w:t xml:space="preserve">SARL é descrita como revendedor/distribuidor comercial sem acesso aos dados de produção. O compromisso de administração e suporte </w:t>
      </w:r>
      <w:r>
        <w:rPr>
          <w:lang w:val="pt-PT"/>
        </w:rPr>
        <w:t xml:space="preserve"/>
      </w:r>
      <w:r>
        <w:rPr>
          <w:b/>
          <w:bCs/>
          <w:lang w:val="pt-PT"/>
        </w:rPr>
        <w:t xml:space="preserve">a partir de França/UE </w:t>
      </w:r>
      <w:r>
        <w:rPr>
          <w:lang w:val="pt-PT"/>
        </w:rPr>
        <w:t xml:space="preserve">deve ser confirmado </w:t>
      </w:r>
      <w:r>
        <w:rPr>
          <w:lang w:val="pt-PT"/>
        </w:rPr>
        <w:t xml:space="preserve">através </w:t>
      </w:r>
      <w:r>
        <w:rPr>
          <w:b/>
          <w:bCs/>
          <w:lang w:val="pt-PT"/>
        </w:rPr>
        <w:t xml:space="preserve">das pessoas autorizadas, </w:t>
      </w:r>
      <w:r>
        <w:rPr>
          <w:lang w:val="pt-PT"/>
        </w:rPr>
        <w:t xml:space="preserve">dos </w:t>
      </w:r>
      <w:r>
        <w:rPr>
          <w:lang w:val="pt-PT"/>
        </w:rPr>
        <w:t xml:space="preserve"/>
      </w:r>
      <w:r>
        <w:rPr>
          <w:lang w:val="pt-PT"/>
        </w:rPr>
        <w:t xml:space="preserve">seus </w:t>
      </w:r>
      <w:r>
        <w:rPr>
          <w:b/>
          <w:bCs/>
          <w:lang w:val="pt-PT"/>
        </w:rPr>
        <w:t xml:space="preserve">locais efetivos de acesso e dos controlos operacionais. Uma </w:t>
      </w:r>
      <w:r>
        <w:rPr>
          <w:lang w:val="pt-PT"/>
        </w:rPr>
        <w:t xml:space="preserve"/>
      </w:r>
      <w:r>
        <w:rPr>
          <w:lang w:val="pt-PT"/>
        </w:rPr>
        <w:t xml:space="preserve">declaração contratual não prova, por si só, a ausência de acessos a partir do Mónaco ou de outro país terceiro. Qualquer </w:t>
      </w:r>
      <w:r>
        <w:rPr>
          <w:lang w:val="pt-PT"/>
        </w:rPr>
        <w:t xml:space="preserve"/>
      </w:r>
      <w:r>
        <w:rPr>
          <w:b/>
          <w:bCs/>
          <w:lang w:val="pt-PT"/>
        </w:rPr>
        <w:t xml:space="preserve">acesso fora do âmbito </w:t>
      </w:r>
      <w:r>
        <w:rPr>
          <w:lang w:val="pt-PT"/>
        </w:rPr>
        <w:t xml:space="preserve"/>
      </w:r>
      <w:r>
        <w:rPr>
          <w:lang w:val="pt-PT"/>
        </w:rPr>
        <w:t xml:space="preserve">autorizado exige uma nova avaliação dos papéis, dos riscos e, quando aplicável, do capítulo V antes da sua implementação.</w:t>
      </w:r>
    </w:p>
    <w:p>
      <w:pPr>
        <w:pStyle w:val="BodyText"/>
      </w:pPr>
      <w:r>
        <w:rPr>
          <w:b/>
          <w:bCs/>
          <w:lang w:val="pt-PT"/>
        </w:rPr>
        <w:t xml:space="preserve">Supervisão técnica de acesso (França/UE). </w:t>
      </w:r>
      <w:r>
        <w:rPr>
          <w:lang w:val="pt-PT"/>
        </w:rPr>
        <w:t xml:space="preserve"/>
      </w:r>
      <w:r>
        <w:rPr>
          <w:lang w:val="pt-PT"/>
        </w:rPr>
        <w:t xml:space="preserve">Acesso pessoal, chave SSH, 2FA TOTP, TLS, registo, </w:t>
      </w:r>
      <w:r>
        <w:rPr>
          <w:lang w:val="pt-PT"/>
        </w:rPr>
        <w:t xml:space="preserve"/>
      </w:r>
      <w:r>
        <w:rPr>
          <w:b/>
          <w:bCs/>
          <w:lang w:val="pt-PT"/>
        </w:rPr>
        <w:t xml:space="preserve">sem cópia local </w:t>
      </w:r>
      <w:r>
        <w:rPr>
          <w:lang w:val="pt-PT"/>
        </w:rPr>
        <w:t xml:space="preserve"/>
      </w:r>
      <w:r>
        <w:rPr>
          <w:lang w:val="pt-PT"/>
        </w:rPr>
        <w:t xml:space="preserve">dos dados de produção.</w:t>
      </w:r>
    </w:p>
    <w:bookmarkEnd w:id="98"/>
    <w:bookmarkStart w:id="99" w:name="X034bb2e08dbf4a36e99bf05805e087826fb2045"/>
    <w:p>
      <w:pPr>
        <w:pStyle w:val="Heading2"/>
        <w:keepNext/>
        <w:keepLines/>
      </w:pPr>
      <w:r>
        <w:rPr>
          <w:color w:val="000000"/>
          <w:lang w:val="pt-PT"/>
        </w:rPr>
        <w:t xml:space="preserve">8. (g) O perfil “estrito da UE” pode ser ativado</w:t>
      </w:r>
    </w:p>
    <w:p>
      <w:pPr>
        <w:pStyle w:val="FirstParagraph"/>
      </w:pPr>
      <w:r>
        <w:rPr>
          <w:lang w:val="pt-PT"/>
        </w:rPr>
        <w:t xml:space="preserve">A </w:t>
      </w:r>
      <w:r>
        <w:rPr>
          <w:lang w:val="pt-PT"/>
        </w:rPr>
        <w:t xml:space="preserve"/>
      </w:r>
      <w:r>
        <w:rPr>
          <w:b/>
          <w:bCs/>
          <w:lang w:val="pt-PT"/>
        </w:rPr>
        <w:t xml:space="preserve">principal rota de inferência já está na UE </w:t>
      </w:r>
      <w:r>
        <w:rPr>
          <w:lang w:val="pt-PT"/>
        </w:rPr>
        <w:t xml:space="preserve"/>
      </w:r>
      <w:r>
        <w:rPr>
          <w:lang w:val="pt-PT"/>
        </w:rPr>
        <w:t xml:space="preserve">(servidores vLLM controlados em Estrasburgo/Paris). TranscribIA oferece adicionalmente, </w:t>
      </w:r>
      <w:r>
        <w:rPr>
          <w:lang w:val="pt-PT"/>
        </w:rPr>
        <w:t xml:space="preserve"/>
      </w:r>
      <w:r>
        <w:rPr>
          <w:b/>
          <w:bCs/>
          <w:lang w:val="pt-PT"/>
        </w:rPr>
        <w:t xml:space="preserve">por organização </w:t>
      </w:r>
      <w:r>
        <w:rPr>
          <w:lang w:val="pt-PT"/>
        </w:rPr>
        <w:t xml:space="preserve">(desde </w:t>
      </w:r>
      <w:r>
        <w:rPr>
          <w:lang w:val="pt-PT"/>
        </w:rPr>
        <w:t xml:space="preserve">a versão 1.7.0), um perfil “estrito </w:t>
      </w:r>
      <w:r>
        <w:rPr>
          <w:lang w:val="pt-PT"/>
        </w:rPr>
        <w:t xml:space="preserve"/>
      </w:r>
      <w:r>
        <w:rPr>
          <w:b/>
          <w:bCs/>
          <w:lang w:val="pt-PT"/>
        </w:rPr>
        <w:t xml:space="preserve">da UE” que </w:t>
      </w:r>
      <w:r>
        <w:rPr>
          <w:lang w:val="pt-PT"/>
        </w:rPr>
        <w:t xml:space="preserve"/>
      </w:r>
      <w:r>
        <w:rPr>
          <w:lang w:val="pt-PT"/>
        </w:rPr>
        <w:t xml:space="preserve">desativa </w:t>
      </w:r>
      <w:r>
        <w:rPr>
          <w:lang w:val="pt-PT"/>
        </w:rPr>
        <w:t xml:space="preserve"/>
      </w:r>
      <w:r>
        <w:rPr>
          <w:b/>
          <w:bCs/>
          <w:lang w:val="pt-PT"/>
        </w:rPr>
        <w:t xml:space="preserve">a rota alternativa do OpenRouter e impõe </w:t>
      </w:r>
      <w:r>
        <w:rPr>
          <w:lang w:val="pt-PT"/>
        </w:rPr>
        <w:t xml:space="preserve"/>
      </w:r>
      <w:r>
        <w:rPr>
          <w:lang w:val="pt-PT"/>
        </w:rPr>
        <w:t xml:space="preserve">uma GPU na UE </w:t>
      </w:r>
      <w:r>
        <w:rPr>
          <w:lang w:val="pt-PT"/>
        </w:rPr>
        <w:t xml:space="preserve"/>
      </w:r>
      <w:r>
        <w:rPr>
          <w:b/>
          <w:bCs/>
          <w:lang w:val="pt-PT"/>
        </w:rPr>
        <w:t xml:space="preserve">(se aplicável, </w:t>
      </w:r>
      <w:r>
        <w:rPr>
          <w:lang w:val="pt-PT"/>
        </w:rPr>
        <w:t xml:space="preserve"/>
      </w:r>
      <w:r>
        <w:rPr>
          <w:lang w:val="pt-PT"/>
        </w:rPr>
        <w:t xml:space="preserve">um LLM auto-hospedado). Este perfil remove </w:t>
      </w:r>
      <w:r>
        <w:rPr>
          <w:lang w:val="pt-PT"/>
        </w:rPr>
        <w:t xml:space="preserve"/>
      </w:r>
      <w:r>
        <w:rPr>
          <w:b/>
          <w:bCs/>
          <w:lang w:val="pt-PT"/>
        </w:rPr>
        <w:t xml:space="preserve">qualquer transferência técnica para os Estados Unidos </w:t>
      </w:r>
      <w:r>
        <w:rPr>
          <w:lang w:val="pt-PT"/>
        </w:rPr>
        <w:t xml:space="preserve"/>
      </w:r>
      <w:r>
        <w:rPr>
          <w:lang w:val="pt-PT"/>
        </w:rPr>
        <w:t xml:space="preserve">(fornecedores substitutos do OpenRouter/fornecedores dos EUA e Vast.ai dos EUA). Pode ser habilitado para que a organização do Cliente garanta uma cadeia de IA totalmente da UE, mantendo a Opção A (SaaS).</w:t>
      </w:r>
    </w:p>
    <w:bookmarkEnd w:id="99"/>
    <w:bookmarkStart w:id="100" w:name="Xde4efbcb23f51c6c03ba9662cf7bc2a20306427"/>
    <w:p>
      <w:pPr>
        <w:pStyle w:val="Heading2"/>
        <w:keepNext/>
        <w:keepLines/>
      </w:pPr>
      <w:r>
        <w:rPr>
          <w:color w:val="000000"/>
          <w:lang w:val="pt-PT"/>
        </w:rPr>
        <w:t xml:space="preserve">9. (h) Opção B isolada — sem transferência</w:t>
      </w:r>
    </w:p>
    <w:p>
      <w:pPr>
        <w:pStyle w:val="FirstParagraph"/>
      </w:pPr>
      <w:r>
        <w:rPr>
          <w:lang w:val="pt-PT"/>
        </w:rPr>
        <w:t xml:space="preserve">Na </w:t>
      </w:r>
      <w:r>
        <w:rPr>
          <w:lang w:val="pt-PT"/>
        </w:rPr>
        <w:t xml:space="preserve"/>
      </w:r>
      <w:r>
        <w:rPr>
          <w:b/>
          <w:bCs/>
          <w:lang w:val="pt-PT"/>
        </w:rPr>
        <w:t xml:space="preserve">Opção B isolada </w:t>
      </w:r>
      <w:r>
        <w:rPr>
          <w:lang w:val="pt-PT"/>
        </w:rPr>
        <w:t xml:space="preserve"/>
      </w:r>
      <w:r>
        <w:rPr>
          <w:lang w:val="pt-PT"/>
        </w:rPr>
        <w:t xml:space="preserve">(implementação no local sem nuvem), </w:t>
      </w:r>
      <w:r>
        <w:rPr>
          <w:lang w:val="pt-PT"/>
        </w:rPr>
        <w:t xml:space="preserve"/>
      </w:r>
      <w:r>
        <w:rPr>
          <w:b/>
          <w:bCs/>
          <w:lang w:val="pt-PT"/>
        </w:rPr>
        <w:t xml:space="preserve">não ocorre nenhuma transferência </w:t>
      </w:r>
      <w:r>
        <w:rPr>
          <w:lang w:val="pt-PT"/>
        </w:rPr>
        <w:t xml:space="preserve"/>
      </w:r>
      <w:r>
        <w:rPr>
          <w:lang w:val="pt-PT"/>
        </w:rPr>
        <w:t xml:space="preserve">ou acesso fora do EEE: a aplicação, a base de dados, o trabalhador GPU de transcrição e o modelo de linguagem auto-hospedado são executados inteiramente na infraestrutura do Cliente. É esta modalidade que permite a declaração “sem dados na nuvem”. O único acesso externo possível seria um acesso de manutenção de OHADJA expressamente autorizado e acionado pelo Cliente - sujeito ao compromisso de acesso exclusivamente da França/UE.</w:t>
      </w:r>
    </w:p>
    <w:bookmarkEnd w:id="100"/>
    <w:bookmarkStart w:id="101" w:name="X6bfe4dd000e396369869c62fc9491b9e3c11286"/>
    <w:p>
      <w:pPr>
        <w:pStyle w:val="Heading2"/>
        <w:keepNext/>
        <w:keepLines/>
      </w:pPr>
      <w:r>
        <w:rPr>
          <w:color w:val="000000"/>
          <w:lang w:val="pt-PT"/>
        </w:rPr>
        <w:t xml:space="preserve">10. Resumo</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Localização</w:t>
            </w:r>
          </w:p>
        </w:tc>
        <w:tc>
          <w:tcPr/>
          <w:p>
            <w:pPr>
              <w:pStyle w:val="Compact"/>
            </w:pPr>
            <w:r>
              <w:rPr>
                <w:lang w:val="pt-PT"/>
              </w:rPr>
              <w:t xml:space="preserve">Mecanismo</w:t>
            </w:r>
          </w:p>
        </w:tc>
        <w:tc>
          <w:tcPr/>
          <w:p>
            <w:pPr>
              <w:pStyle w:val="Compact"/>
            </w:pPr>
            <w:r>
              <w:rPr>
                <w:lang w:val="pt-PT"/>
              </w:rPr>
              <w:t xml:space="preserve">Estado</w:t>
            </w:r>
          </w:p>
        </w:tc>
      </w:tr>
      <w:tr>
        <w:trPr>
          <w:cantSplit/>
        </w:trPr>
        <w:tc>
          <w:tcPr/>
          <w:p>
            <w:pPr>
              <w:pStyle w:val="Compact"/>
            </w:pPr>
            <w:r>
              <w:rPr>
                <w:lang w:val="pt-PT"/>
              </w:rPr>
              <w:t xml:space="preserve">Inferência de </w:t>
            </w:r>
            <w:r>
              <w:rPr>
                <w:lang w:val="pt-PT"/>
              </w:rPr>
              <w:t xml:space="preserve">IA </w:t>
            </w:r>
            <w:r>
              <w:rPr>
                <w:b/>
                <w:bCs/>
                <w:lang w:val="pt-PT"/>
              </w:rPr>
              <w:t xml:space="preserve">— via primária (EU vLLM)</w:t>
            </w:r>
          </w:p>
        </w:tc>
        <w:tc>
          <w:tcPr/>
          <w:p>
            <w:pPr>
              <w:pStyle w:val="Compact"/>
            </w:pPr>
            <w:r>
              <w:rPr>
                <w:lang w:val="pt-PT"/>
              </w:rPr>
              <w:t xml:space="preserve">Servidores controlados na UE (Estrasburgo/Paris)</w:t>
            </w:r>
          </w:p>
        </w:tc>
        <w:tc>
          <w:tcPr/>
          <w:p>
            <w:pPr>
              <w:pStyle w:val="Compact"/>
            </w:pPr>
            <w:r>
              <w:rPr>
                <w:b/>
                <w:bCs/>
                <w:lang w:val="pt-PT"/>
              </w:rPr>
              <w:t xml:space="preserve">Nenhuma transferência fora do EEE</w:t>
            </w:r>
          </w:p>
        </w:tc>
      </w:tr>
      <w:tr>
        <w:trPr>
          <w:cantSplit/>
        </w:trPr>
        <w:tc>
          <w:tcPr/>
          <w:p>
            <w:pPr>
              <w:pStyle w:val="Compact"/>
            </w:pPr>
            <w:r>
              <w:rPr>
                <w:lang w:val="pt-PT"/>
              </w:rPr>
              <w:t xml:space="preserve">Backups (Scaleway, França)</w:t>
            </w:r>
          </w:p>
        </w:tc>
        <w:tc>
          <w:tcPr/>
          <w:p>
            <w:pPr>
              <w:pStyle w:val="Compact"/>
            </w:pPr>
            <w:r>
              <w:rPr>
                <w:lang w:val="pt-PT"/>
              </w:rPr>
              <w:t xml:space="preserve">Armazenamento na UE + cifragem com age antes do envio</w:t>
            </w:r>
          </w:p>
        </w:tc>
        <w:tc>
          <w:tcPr/>
          <w:p>
            <w:pPr>
              <w:pStyle w:val="Compact"/>
            </w:pPr>
            <w:r>
              <w:rPr>
                <w:b/>
                <w:bCs/>
                <w:lang w:val="pt-PT"/>
              </w:rPr>
              <w:t xml:space="preserve">Nenhuma transferência fora do EEE</w:t>
            </w:r>
          </w:p>
        </w:tc>
      </w:tr>
      <w:tr>
        <w:trPr>
          <w:cantSplit/>
        </w:trPr>
        <w:tc>
          <w:tcPr/>
          <w:p>
            <w:pPr>
              <w:pStyle w:val="Compact"/>
            </w:pPr>
            <w:r>
              <w:rPr>
                <w:lang w:val="pt-PT"/>
              </w:rPr>
              <w:t xml:space="preserve">Fluxo de IA dos </w:t>
            </w:r>
            <w:r>
              <w:rPr>
                <w:lang w:val="pt-PT"/>
              </w:rPr>
              <w:t xml:space="preserve"/>
            </w:r>
            <w:r>
              <w:rPr>
                <w:b/>
                <w:bCs/>
                <w:lang w:val="pt-PT"/>
              </w:rPr>
              <w:t xml:space="preserve">EUA – substituto do OpenRouter (pode ser desativado)</w:t>
            </w:r>
          </w:p>
        </w:tc>
        <w:tc>
          <w:tcPr/>
          <w:p>
            <w:pPr>
              <w:pStyle w:val="Compact"/>
            </w:pPr>
            <w:r>
              <w:rPr>
                <w:lang w:val="pt-PT"/>
              </w:rPr>
              <w:t xml:space="preserve">CCT + DPF [PARA VERIFICAR] + medidas adicionais</w:t>
            </w:r>
          </w:p>
        </w:tc>
        <w:tc>
          <w:tcPr/>
          <w:p>
            <w:pPr>
              <w:pStyle w:val="Compact"/>
            </w:pPr>
            <w:r>
              <w:rPr>
                <w:lang w:val="pt-PT"/>
              </w:rPr>
              <w:t xml:space="preserve">Sujeito a validação </w:t>
            </w:r>
            <w:r>
              <w:rPr>
                <w:lang w:val="pt-PT"/>
              </w:rPr>
              <w:t xml:space="preserve">prévia </w:t>
            </w:r>
            <w:r>
              <w:rPr>
                <w:b/>
                <w:bCs/>
                <w:lang w:val="pt-PT"/>
              </w:rPr>
              <w:t xml:space="preserve">do mecanismo e </w:t>
            </w:r>
            <w:r>
              <w:rPr>
                <w:lang w:val="pt-PT"/>
              </w:rPr>
              <w:t xml:space="preserve">das </w:t>
            </w:r>
            <w:r>
              <w:rPr>
                <w:lang w:val="pt-PT"/>
              </w:rPr>
              <w:t xml:space="preserve">garantias; desativar a via em causa enquanto faltar essa validação; evitável através de um perfil UE estrita verificado</w:t>
            </w:r>
          </w:p>
        </w:tc>
      </w:tr>
      <w:tr>
        <w:trPr>
          <w:cantSplit/>
        </w:trPr>
        <w:tc>
          <w:tcPr/>
          <w:p>
            <w:pPr>
              <w:pStyle w:val="Compact"/>
            </w:pPr>
            <w:r>
              <w:rPr>
                <w:lang w:val="pt-PT"/>
              </w:rPr>
              <w:t xml:space="preserve">Vast.ai EUA (se ativado)</w:t>
            </w:r>
          </w:p>
        </w:tc>
        <w:tc>
          <w:tcPr/>
          <w:p>
            <w:pPr>
              <w:pStyle w:val="Compact"/>
            </w:pPr>
            <w:r>
              <w:rPr>
                <w:lang w:val="pt-PT"/>
              </w:rPr>
              <w:t xml:space="preserve">Seleção da UE quando necessário; CCT caso contrário</w:t>
            </w:r>
          </w:p>
        </w:tc>
        <w:tc>
          <w:tcPr/>
          <w:p>
            <w:pPr>
              <w:pStyle w:val="Compact"/>
            </w:pPr>
            <w:r>
              <w:rPr>
                <w:lang w:val="pt-PT"/>
              </w:rPr>
              <w:t xml:space="preserve">Sujeito a garantias; evitável através de GPU dedicada na UE</w:t>
            </w:r>
          </w:p>
        </w:tc>
      </w:tr>
      <w:tr>
        <w:trPr>
          <w:cantSplit/>
        </w:trPr>
        <w:tc>
          <w:tcPr/>
          <w:p>
            <w:pPr>
              <w:pStyle w:val="Compact"/>
            </w:pPr>
            <w:r>
              <w:rPr>
                <w:lang w:val="pt-PT"/>
              </w:rPr>
              <w:t xml:space="preserve">Acesso de administração humana</w:t>
            </w:r>
          </w:p>
        </w:tc>
        <w:tc>
          <w:tcPr/>
          <w:p>
            <w:pPr>
              <w:pStyle w:val="Compact"/>
            </w:pPr>
            <w:r>
              <w:rPr>
                <w:b/>
                <w:bCs/>
                <w:lang w:val="pt-PT"/>
              </w:rPr>
              <w:t xml:space="preserve">Apenas compromisso França/UE</w:t>
            </w:r>
          </w:p>
        </w:tc>
        <w:tc>
          <w:tcPr/>
          <w:p>
            <w:pPr>
              <w:pStyle w:val="Compact"/>
            </w:pPr>
            <w:r>
              <w:rPr>
                <w:lang w:val="pt-PT"/>
              </w:rPr>
              <w:t xml:space="preserve">Acessos contratualmente limitados a França/UE; verificação operacional necessária, incluindo para o Mónaco</w:t>
            </w:r>
          </w:p>
        </w:tc>
      </w:tr>
      <w:tr>
        <w:trPr>
          <w:cantSplit/>
        </w:trPr>
        <w:tc>
          <w:tcPr/>
          <w:p>
            <w:pPr>
              <w:pStyle w:val="Compact"/>
            </w:pPr>
            <w:r>
              <w:rPr>
                <w:lang w:val="pt-PT"/>
              </w:rPr>
              <w:t xml:space="preserve">Perfil “estrito da UE”</w:t>
            </w:r>
          </w:p>
        </w:tc>
        <w:tc>
          <w:tcPr/>
          <w:p>
            <w:pPr>
              <w:pStyle w:val="Compact"/>
            </w:pPr>
            <w:r>
              <w:rPr>
                <w:lang w:val="pt-PT"/>
              </w:rPr>
              <w:t xml:space="preserve">Somente rota primária/EU LLM ou auto-hospedada + GPU da UE</w:t>
            </w:r>
          </w:p>
        </w:tc>
        <w:tc>
          <w:tcPr/>
          <w:p>
            <w:pPr>
              <w:pStyle w:val="Compact"/>
            </w:pPr>
            <w:r>
              <w:rPr>
                <w:lang w:val="pt-PT"/>
              </w:rPr>
              <w:t xml:space="preserve">Remover transferências dos EUA</w:t>
            </w:r>
          </w:p>
        </w:tc>
      </w:tr>
      <w:tr>
        <w:trPr>
          <w:cantSplit/>
        </w:trPr>
        <w:tc>
          <w:tcPr/>
          <w:p>
            <w:pPr>
              <w:pStyle w:val="Compact"/>
            </w:pPr>
            <w:r>
              <w:rPr>
                <w:lang w:val="pt-PT"/>
              </w:rPr>
              <w:t xml:space="preserve">Opção B isolada</w:t>
            </w:r>
          </w:p>
        </w:tc>
        <w:tc>
          <w:tcPr/>
          <w:p>
            <w:pPr>
              <w:pStyle w:val="Compact"/>
            </w:pPr>
            <w:r>
              <w:rPr>
                <w:lang w:val="pt-PT"/>
              </w:rPr>
              <w:t xml:space="preserve">—</w:t>
            </w:r>
          </w:p>
        </w:tc>
        <w:tc>
          <w:tcPr/>
          <w:p>
            <w:pPr>
              <w:pStyle w:val="Compact"/>
            </w:pPr>
            <w:r>
              <w:rPr>
                <w:b/>
                <w:bCs/>
                <w:lang w:val="pt-PT"/>
              </w:rPr>
              <w:t xml:space="preserve">Nenhuma transferência fora do EEE</w:t>
            </w:r>
          </w:p>
        </w:tc>
      </w:tr>
    </w:tbl>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01"/>
    <w:bookmarkEnd w:id="102"/>
    <w:bookmarkStart w:id="110" w:name="X7dfa085352667209966fa6cd7412a1e78b1fa3f"/>
    <w:p>
      <w:pPr>
        <w:pStyle w:val="Heading1"/>
        <w:keepNext/>
        <w:keepLines/>
      </w:pPr>
      <w:r>
        <w:rPr>
          <w:color w:val="000000"/>
          <w:lang w:val="pt-PT"/>
        </w:rPr>
        <w:t xml:space="preserve">Matriz de prazo de conservação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OHA-RGPD-05</w:t>
            </w:r>
          </w:p>
        </w:tc>
      </w:tr>
      <w:tr>
        <w:trPr>
          <w:cantSplit/>
        </w:trPr>
        <w:tc>
          <w:tcPr/>
          <w:p>
            <w:pPr>
              <w:pStyle w:val="Compact"/>
            </w:pPr>
            <w:r>
              <w:rPr>
                <w:lang w:val="pt-PT"/>
              </w:rPr>
              <w:t xml:space="preserve">Objetivo</w:t>
            </w:r>
          </w:p>
        </w:tc>
        <w:tc>
          <w:tcPr/>
          <w:p>
            <w:pPr>
              <w:pStyle w:val="Compact"/>
            </w:pPr>
            <w:r>
              <w:rPr>
                <w:lang w:val="pt-PT"/>
              </w:rPr>
              <w:t xml:space="preserve">Política e matriz de períodos de retenção, configuração e ligação com apagamento</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03" w:name="Xb740074d2d8b3ab2a0aa99c5546089d0a9ea256"/>
    <w:p>
      <w:pPr>
        <w:pStyle w:val="Heading2"/>
        <w:keepNext/>
        <w:keepLines/>
      </w:pPr>
      <w:r>
        <w:rPr>
          <w:color w:val="000000"/>
          <w:lang w:val="pt-PT"/>
        </w:rPr>
        <w:t xml:space="preserve">1. Princípio</w:t>
      </w:r>
    </w:p>
    <w:p>
      <w:pPr>
        <w:pStyle w:val="FirstParagraph"/>
      </w:pPr>
      <w:r>
        <w:rPr>
          <w:lang w:val="pt-PT"/>
        </w:rPr>
        <w:t xml:space="preserve">Os períodos de retenção aplicáveis ao </w:t>
      </w:r>
      <w:r>
        <w:rPr>
          <w:lang w:val="pt-PT"/>
        </w:rPr>
        <w:t xml:space="preserve"/>
      </w:r>
      <w:r>
        <w:rPr>
          <w:b/>
          <w:bCs/>
          <w:lang w:val="pt-PT"/>
        </w:rPr>
        <w:t xml:space="preserve">conteúdo </w:t>
      </w:r>
      <w:r>
        <w:rPr>
          <w:lang w:val="pt-PT"/>
        </w:rPr>
        <w:t xml:space="preserve"/>
      </w:r>
      <w:r>
        <w:rPr>
          <w:lang w:val="pt-PT"/>
        </w:rPr>
        <w:t xml:space="preserve">do Cliente </w:t>
      </w:r>
      <w:r>
        <w:rPr>
          <w:lang w:val="pt-PT"/>
        </w:rPr>
        <w:t xml:space="preserve"/>
      </w:r>
      <w:r>
        <w:rPr>
          <w:b/>
          <w:bCs/>
          <w:lang w:val="pt-PT"/>
        </w:rPr>
        <w:t xml:space="preserve">podem ser configurados por </w:t>
      </w:r>
      <w:r>
        <w:rPr>
          <w:lang w:val="pt-PT"/>
        </w:rPr>
        <w:t xml:space="preserve"/>
      </w:r>
      <w:r>
        <w:rPr>
          <w:lang w:val="pt-PT"/>
        </w:rPr>
        <w:t xml:space="preserve">organização: o Cliente, como responsável pelo tratamento, permanece no controlo. As durações abaixo </w:t>
      </w:r>
      <w:r>
        <w:rPr>
          <w:lang w:val="pt-PT"/>
        </w:rPr>
        <w:t xml:space="preserve"/>
      </w:r>
      <w:r>
        <w:rPr>
          <w:b/>
          <w:bCs/>
          <w:lang w:val="pt-PT"/>
        </w:rPr>
        <w:t xml:space="preserve">constituem os valores </w:t>
      </w:r>
      <w:r>
        <w:rPr>
          <w:lang w:val="pt-PT"/>
        </w:rPr>
        <w:t xml:space="preserve"/>
      </w:r>
      <w:r>
        <w:rPr>
          <w:lang w:val="pt-PT"/>
        </w:rPr>
        <w:t xml:space="preserve"/>
      </w:r>
      <w:r>
        <w:rPr>
          <w:lang w:val="pt-PT"/>
        </w:rPr>
        <w:t xml:space="preserve">padrão </w:t>
      </w:r>
      <w:r>
        <w:rPr>
          <w:b/>
          <w:bCs/>
          <w:lang w:val="pt-PT"/>
        </w:rPr>
        <w:t xml:space="preserve">e limites técnicos </w:t>
      </w:r>
      <w:r>
        <w:rPr>
          <w:lang w:val="pt-PT"/>
        </w:rPr>
        <w:t xml:space="preserve"/>
      </w:r>
      <w:r>
        <w:rPr>
          <w:lang w:val="pt-PT"/>
        </w:rPr>
        <w:t xml:space="preserve">aplicados pela plataforma. Certas durações (logs, backups) atendem aos requisitos de segurança e prova e são regidas por valores máximos.</w:t>
      </w:r>
    </w:p>
    <w:bookmarkEnd w:id="103"/>
    <w:bookmarkStart w:id="104" w:name="Xd608f4a84f7477e85b8d19a34807e655aa9cf03"/>
    <w:p>
      <w:pPr>
        <w:pStyle w:val="Heading2"/>
        <w:keepNext/>
        <w:keepLines/>
      </w:pPr>
      <w:r>
        <w:rPr>
          <w:color w:val="000000"/>
          <w:lang w:val="pt-PT"/>
        </w:rPr>
        <w:t xml:space="preserve">2. Matriz de prazo de conservação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Categoria</w:t>
            </w:r>
          </w:p>
        </w:tc>
        <w:tc>
          <w:tcPr>
            <w:tcW w:type="dxa" w:w="1872"/>
            <w:tcMar>
              <w:left w:type="dxa" w:w="80"/>
              <w:right w:type="dxa" w:w="80"/>
            </w:tcMar>
          </w:tcPr>
          <w:p>
            <w:pPr>
              <w:pStyle w:val="Compact"/>
            </w:pPr>
            <w:r>
              <w:rPr>
                <w:sz w:val="19"/>
                <w:szCs w:val="19"/>
                <w:lang w:val="pt-PT"/>
              </w:rPr>
              <w:t xml:space="preserve">Valor padrão</w:t>
            </w:r>
          </w:p>
        </w:tc>
        <w:tc>
          <w:tcPr>
            <w:tcW w:type="dxa" w:w="1872"/>
            <w:tcMar>
              <w:left w:type="dxa" w:w="80"/>
              <w:right w:type="dxa" w:w="80"/>
            </w:tcMar>
          </w:tcPr>
          <w:p>
            <w:pPr>
              <w:pStyle w:val="Compact"/>
            </w:pPr>
            <w:r>
              <w:rPr>
                <w:sz w:val="19"/>
                <w:szCs w:val="19"/>
                <w:lang w:val="pt-PT"/>
              </w:rPr>
              <w:t xml:space="preserve">Configurável pela organização</w:t>
            </w:r>
          </w:p>
        </w:tc>
        <w:tc>
          <w:tcPr>
            <w:tcW w:type="dxa" w:w="1872"/>
            <w:tcMar>
              <w:left w:type="dxa" w:w="80"/>
              <w:right w:type="dxa" w:w="80"/>
            </w:tcMar>
          </w:tcPr>
          <w:p>
            <w:pPr>
              <w:pStyle w:val="Compact"/>
            </w:pPr>
            <w:r>
              <w:rPr>
                <w:sz w:val="19"/>
                <w:szCs w:val="19"/>
                <w:lang w:val="pt-PT"/>
              </w:rPr>
              <w:t xml:space="preserve">Comportamento no termo do prazo de conservação</w:t>
            </w:r>
          </w:p>
        </w:tc>
        <w:tc>
          <w:tcPr>
            <w:tcW w:type="dxa" w:w="1872"/>
            <w:tcMar>
              <w:left w:type="dxa" w:w="80"/>
              <w:right w:type="dxa" w:w="80"/>
            </w:tcMar>
          </w:tcPr>
          <w:p>
            <w:pPr>
              <w:pStyle w:val="Compact"/>
            </w:pPr>
            <w:r>
              <w:rPr>
                <w:sz w:val="19"/>
                <w:szCs w:val="19"/>
                <w:lang w:val="pt-PT"/>
              </w:rPr>
              <w:t xml:space="preserve">Modo</w:t>
            </w:r>
          </w:p>
        </w:tc>
      </w:tr>
      <w:tr>
        <w:trPr>
          <w:cantSplit/>
        </w:trPr>
        <w:tc>
          <w:tcPr>
            <w:tcW w:type="dxa" w:w="1872"/>
            <w:tcMar>
              <w:left w:type="dxa" w:w="80"/>
              <w:right w:type="dxa" w:w="80"/>
            </w:tcMar>
          </w:tcPr>
          <w:p>
            <w:pPr>
              <w:pStyle w:val="Compact"/>
            </w:pPr>
            <w:r>
              <w:rPr>
                <w:sz w:val="19"/>
                <w:szCs w:val="19"/>
                <w:lang w:val="pt-PT"/>
              </w:rPr>
              <w:t xml:space="preserve">Contas de utilizadores ativos</w:t>
            </w:r>
          </w:p>
        </w:tc>
        <w:tc>
          <w:tcPr>
            <w:tcW w:type="dxa" w:w="1872"/>
            <w:tcMar>
              <w:left w:type="dxa" w:w="80"/>
              <w:right w:type="dxa" w:w="80"/>
            </w:tcMar>
          </w:tcPr>
          <w:p>
            <w:pPr>
              <w:pStyle w:val="Compact"/>
            </w:pPr>
            <w:r>
              <w:rPr>
                <w:sz w:val="19"/>
                <w:szCs w:val="19"/>
                <w:lang w:val="pt-PT"/>
              </w:rPr>
              <w:t xml:space="preserve">Duração da conta e do contrato</w:t>
            </w:r>
          </w:p>
        </w:tc>
        <w:tc>
          <w:tcPr>
            <w:tcW w:type="dxa" w:w="1872"/>
            <w:tcMar>
              <w:left w:type="dxa" w:w="80"/>
              <w:right w:type="dxa" w:w="80"/>
            </w:tcMar>
          </w:tcPr>
          <w:p>
            <w:pPr>
              <w:pStyle w:val="Compact"/>
            </w:pPr>
            <w:r>
              <w:rPr>
                <w:sz w:val="19"/>
                <w:szCs w:val="19"/>
                <w:lang w:val="pt-PT"/>
              </w:rPr>
              <w:t xml:space="preserve">Não (relacionado ao ciclo de vida da conta)</w:t>
            </w:r>
          </w:p>
        </w:tc>
        <w:tc>
          <w:tcPr>
            <w:tcW w:type="dxa" w:w="1872"/>
            <w:tcMar>
              <w:left w:type="dxa" w:w="80"/>
              <w:right w:type="dxa" w:w="80"/>
            </w:tcMar>
          </w:tcPr>
          <w:p>
            <w:pPr>
              <w:pStyle w:val="Compact"/>
            </w:pPr>
            <w:r>
              <w:rPr>
                <w:sz w:val="19"/>
                <w:szCs w:val="19"/>
                <w:lang w:val="pt-PT"/>
              </w:rPr>
              <w:t xml:space="preserve">Mantido como ativo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Contas de utilizador desativadas</w:t>
            </w:r>
          </w:p>
        </w:tc>
        <w:tc>
          <w:tcPr>
            <w:tcW w:type="dxa" w:w="1872"/>
            <w:tcMar>
              <w:left w:type="dxa" w:w="80"/>
              <w:right w:type="dxa" w:w="80"/>
            </w:tcMar>
          </w:tcPr>
          <w:p>
            <w:pPr>
              <w:pStyle w:val="Compact"/>
            </w:pPr>
            <w:r>
              <w:rPr>
                <w:sz w:val="19"/>
                <w:szCs w:val="19"/>
                <w:lang w:val="pt-PT"/>
              </w:rPr>
              <w:t xml:space="preserve">Exclusão/anonimização conforme instruções; caso contrário, fim do contrato</w:t>
            </w:r>
          </w:p>
        </w:tc>
        <w:tc>
          <w:tcPr>
            <w:tcW w:type="dxa" w:w="1872"/>
            <w:tcMar>
              <w:left w:type="dxa" w:w="80"/>
              <w:right w:type="dxa" w:w="80"/>
            </w:tcMar>
          </w:tcPr>
          <w:p>
            <w:pPr>
              <w:pStyle w:val="Compact"/>
            </w:pPr>
            <w:r>
              <w:rPr>
                <w:sz w:val="19"/>
                <w:szCs w:val="19"/>
                <w:lang w:val="pt-PT"/>
              </w:rPr>
              <w:t xml:space="preserve">Sim (instrução do cliente)</w:t>
            </w:r>
          </w:p>
        </w:tc>
        <w:tc>
          <w:tcPr>
            <w:tcW w:type="dxa" w:w="1872"/>
            <w:tcMar>
              <w:left w:type="dxa" w:w="80"/>
              <w:right w:type="dxa" w:w="80"/>
            </w:tcMar>
          </w:tcPr>
          <w:p>
            <w:pPr>
              <w:pStyle w:val="Compact"/>
            </w:pPr>
            <w:r>
              <w:rPr>
                <w:sz w:val="19"/>
                <w:szCs w:val="19"/>
                <w:lang w:val="pt-PT"/>
              </w:rPr>
              <w:t xml:space="preserve">Excluído ou anonimizado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Ficheiros de áudio</w:t>
            </w:r>
          </w:p>
        </w:tc>
        <w:tc>
          <w:tcPr>
            <w:tcW w:type="dxa" w:w="1872"/>
            <w:tcMar>
              <w:left w:type="dxa" w:w="80"/>
              <w:right w:type="dxa" w:w="80"/>
            </w:tcMar>
          </w:tcPr>
          <w:p>
            <w:pPr>
              <w:pStyle w:val="Compact"/>
            </w:pPr>
            <w:r>
              <w:rPr>
                <w:sz w:val="19"/>
                <w:szCs w:val="19"/>
                <w:lang w:val="pt-PT"/>
              </w:rPr>
              <w:t xml:space="preserve">Duração configurada; caso contrário, duração do contrato</w:t>
            </w:r>
          </w:p>
        </w:tc>
        <w:tc>
          <w:tcPr>
            <w:tcW w:type="dxa" w:w="1872"/>
            <w:tcMar>
              <w:left w:type="dxa" w:w="80"/>
              <w:right w:type="dxa" w:w="80"/>
            </w:tcMar>
          </w:tcPr>
          <w:p>
            <w:pPr>
              <w:pStyle w:val="Compact"/>
            </w:pPr>
            <w:r>
              <w:rPr>
                <w:b/>
                <w:bCs/>
                <w:sz w:val="19"/>
                <w:szCs w:val="19"/>
                <w:lang w:val="pt-PT"/>
              </w:rPr>
              <w:t xml:space="preserve">Sim</w:t>
            </w:r>
          </w:p>
        </w:tc>
        <w:tc>
          <w:tcPr>
            <w:tcW w:type="dxa" w:w="1872"/>
            <w:tcMar>
              <w:left w:type="dxa" w:w="80"/>
              <w:right w:type="dxa" w:w="80"/>
            </w:tcMar>
          </w:tcPr>
          <w:p>
            <w:pPr>
              <w:pStyle w:val="Compact"/>
            </w:pPr>
            <w:r>
              <w:rPr>
                <w:sz w:val="19"/>
                <w:szCs w:val="19"/>
                <w:lang w:val="pt-PT"/>
              </w:rPr>
              <w:t xml:space="preserve">Exclusão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Transcrições e versões</w:t>
            </w:r>
          </w:p>
        </w:tc>
        <w:tc>
          <w:tcPr>
            <w:tcW w:type="dxa" w:w="1872"/>
            <w:tcMar>
              <w:left w:type="dxa" w:w="80"/>
              <w:right w:type="dxa" w:w="80"/>
            </w:tcMar>
          </w:tcPr>
          <w:p>
            <w:pPr>
              <w:pStyle w:val="Compact"/>
            </w:pPr>
            <w:r>
              <w:rPr>
                <w:sz w:val="19"/>
                <w:szCs w:val="19"/>
                <w:lang w:val="pt-PT"/>
              </w:rPr>
              <w:t xml:space="preserve">Duração configurada; caso contrário, duração do contrato</w:t>
            </w:r>
          </w:p>
        </w:tc>
        <w:tc>
          <w:tcPr>
            <w:tcW w:type="dxa" w:w="1872"/>
            <w:tcMar>
              <w:left w:type="dxa" w:w="80"/>
              <w:right w:type="dxa" w:w="80"/>
            </w:tcMar>
          </w:tcPr>
          <w:p>
            <w:pPr>
              <w:pStyle w:val="Compact"/>
            </w:pPr>
            <w:r>
              <w:rPr>
                <w:b/>
                <w:bCs/>
                <w:sz w:val="19"/>
                <w:szCs w:val="19"/>
                <w:lang w:val="pt-PT"/>
              </w:rPr>
              <w:t xml:space="preserve">Sim</w:t>
            </w:r>
          </w:p>
        </w:tc>
        <w:tc>
          <w:tcPr>
            <w:tcW w:type="dxa" w:w="1872"/>
            <w:tcMar>
              <w:left w:type="dxa" w:w="80"/>
              <w:right w:type="dxa" w:w="80"/>
            </w:tcMar>
          </w:tcPr>
          <w:p>
            <w:pPr>
              <w:pStyle w:val="Compact"/>
            </w:pPr>
            <w:r>
              <w:rPr>
                <w:sz w:val="19"/>
                <w:szCs w:val="19"/>
                <w:lang w:val="pt-PT"/>
              </w:rPr>
              <w:t xml:space="preserve">Exclusão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Documentos preparatórios</w:t>
            </w:r>
          </w:p>
        </w:tc>
        <w:tc>
          <w:tcPr>
            <w:tcW w:type="dxa" w:w="1872"/>
            <w:tcMar>
              <w:left w:type="dxa" w:w="80"/>
              <w:right w:type="dxa" w:w="80"/>
            </w:tcMar>
          </w:tcPr>
          <w:p>
            <w:pPr>
              <w:pStyle w:val="Compact"/>
            </w:pPr>
            <w:r>
              <w:rPr>
                <w:sz w:val="19"/>
                <w:szCs w:val="19"/>
                <w:lang w:val="pt-PT"/>
              </w:rPr>
              <w:t xml:space="preserve">Duração configurada; caso contrário, duração do contrato</w:t>
            </w:r>
          </w:p>
        </w:tc>
        <w:tc>
          <w:tcPr>
            <w:tcW w:type="dxa" w:w="1872"/>
            <w:tcMar>
              <w:left w:type="dxa" w:w="80"/>
              <w:right w:type="dxa" w:w="80"/>
            </w:tcMar>
          </w:tcPr>
          <w:p>
            <w:pPr>
              <w:pStyle w:val="Compact"/>
            </w:pPr>
            <w:r>
              <w:rPr>
                <w:b/>
                <w:bCs/>
                <w:sz w:val="19"/>
                <w:szCs w:val="19"/>
                <w:lang w:val="pt-PT"/>
              </w:rPr>
              <w:t xml:space="preserve">Sim</w:t>
            </w:r>
          </w:p>
        </w:tc>
        <w:tc>
          <w:tcPr>
            <w:tcW w:type="dxa" w:w="1872"/>
            <w:tcMar>
              <w:left w:type="dxa" w:w="80"/>
              <w:right w:type="dxa" w:w="80"/>
            </w:tcMar>
          </w:tcPr>
          <w:p>
            <w:pPr>
              <w:pStyle w:val="Compact"/>
            </w:pPr>
            <w:r>
              <w:rPr>
                <w:sz w:val="19"/>
                <w:szCs w:val="19"/>
                <w:lang w:val="pt-PT"/>
              </w:rPr>
              <w:t xml:space="preserve">Exclusão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Gerações e exportações de IA</w:t>
            </w:r>
          </w:p>
        </w:tc>
        <w:tc>
          <w:tcPr>
            <w:tcW w:type="dxa" w:w="1872"/>
            <w:tcMar>
              <w:left w:type="dxa" w:w="80"/>
              <w:right w:type="dxa" w:w="80"/>
            </w:tcMar>
          </w:tcPr>
          <w:p>
            <w:pPr>
              <w:pStyle w:val="Compact"/>
            </w:pPr>
            <w:r>
              <w:rPr>
                <w:sz w:val="19"/>
                <w:szCs w:val="19"/>
                <w:lang w:val="pt-PT"/>
              </w:rPr>
              <w:t xml:space="preserve">Duração configurada; caso contrário, duração do contrato</w:t>
            </w:r>
          </w:p>
        </w:tc>
        <w:tc>
          <w:tcPr>
            <w:tcW w:type="dxa" w:w="1872"/>
            <w:tcMar>
              <w:left w:type="dxa" w:w="80"/>
              <w:right w:type="dxa" w:w="80"/>
            </w:tcMar>
          </w:tcPr>
          <w:p>
            <w:pPr>
              <w:pStyle w:val="Compact"/>
            </w:pPr>
            <w:r>
              <w:rPr>
                <w:b/>
                <w:bCs/>
                <w:sz w:val="19"/>
                <w:szCs w:val="19"/>
                <w:lang w:val="pt-PT"/>
              </w:rPr>
              <w:t xml:space="preserve">Sim</w:t>
            </w:r>
          </w:p>
        </w:tc>
        <w:tc>
          <w:tcPr>
            <w:tcW w:type="dxa" w:w="1872"/>
            <w:tcMar>
              <w:left w:type="dxa" w:w="80"/>
              <w:right w:type="dxa" w:w="80"/>
            </w:tcMar>
          </w:tcPr>
          <w:p>
            <w:pPr>
              <w:pStyle w:val="Compact"/>
            </w:pPr>
            <w:r>
              <w:rPr>
                <w:sz w:val="19"/>
                <w:szCs w:val="19"/>
                <w:lang w:val="pt-PT"/>
              </w:rPr>
              <w:t xml:space="preserve">Exclusão</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Logs de auditoria de aplicativos</w:t>
            </w:r>
          </w:p>
        </w:tc>
        <w:tc>
          <w:tcPr>
            <w:tcW w:type="dxa" w:w="1872"/>
            <w:tcMar>
              <w:left w:type="dxa" w:w="80"/>
              <w:right w:type="dxa" w:w="80"/>
            </w:tcMar>
          </w:tcPr>
          <w:p>
            <w:pPr>
              <w:pStyle w:val="Compact"/>
            </w:pPr>
            <w:r>
              <w:rPr>
                <w:b/>
                <w:bCs/>
                <w:sz w:val="19"/>
                <w:szCs w:val="19"/>
                <w:lang w:val="pt-PT"/>
              </w:rPr>
              <w:t xml:space="preserve">≤ 12 meses</w:t>
            </w:r>
          </w:p>
        </w:tc>
        <w:tc>
          <w:tcPr>
            <w:tcW w:type="dxa" w:w="1872"/>
            <w:tcMar>
              <w:left w:type="dxa" w:w="80"/>
              <w:right w:type="dxa" w:w="80"/>
            </w:tcMar>
          </w:tcPr>
          <w:p>
            <w:pPr>
              <w:pStyle w:val="Compact"/>
            </w:pPr>
            <w:r>
              <w:rPr>
                <w:sz w:val="19"/>
                <w:szCs w:val="19"/>
                <w:lang w:val="pt-PT"/>
              </w:rPr>
              <w:t xml:space="preserve">Dentro do limite do teto</w:t>
            </w:r>
          </w:p>
        </w:tc>
        <w:tc>
          <w:tcPr>
            <w:tcW w:type="dxa" w:w="1872"/>
            <w:tcMar>
              <w:left w:type="dxa" w:w="80"/>
              <w:right w:type="dxa" w:w="80"/>
            </w:tcMar>
          </w:tcPr>
          <w:p>
            <w:pPr>
              <w:pStyle w:val="Compact"/>
            </w:pPr>
            <w:r>
              <w:rPr>
                <w:sz w:val="19"/>
                <w:szCs w:val="19"/>
                <w:lang w:val="pt-PT"/>
              </w:rPr>
              <w:t xml:space="preserve">Purgar</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Registos técnicos</w:t>
            </w:r>
          </w:p>
        </w:tc>
        <w:tc>
          <w:tcPr>
            <w:tcW w:type="dxa" w:w="1872"/>
            <w:tcMar>
              <w:left w:type="dxa" w:w="80"/>
              <w:right w:type="dxa" w:w="80"/>
            </w:tcMar>
          </w:tcPr>
          <w:p>
            <w:pPr>
              <w:pStyle w:val="Compact"/>
            </w:pPr>
            <w:r>
              <w:rPr>
                <w:b/>
                <w:bCs/>
                <w:sz w:val="19"/>
                <w:szCs w:val="19"/>
                <w:lang w:val="pt-PT"/>
              </w:rPr>
              <w:t xml:space="preserve">~90 dias</w:t>
            </w:r>
          </w:p>
        </w:tc>
        <w:tc>
          <w:tcPr>
            <w:tcW w:type="dxa" w:w="1872"/>
            <w:tcMar>
              <w:left w:type="dxa" w:w="80"/>
              <w:right w:type="dxa" w:w="80"/>
            </w:tcMar>
          </w:tcPr>
          <w:p>
            <w:pPr>
              <w:pStyle w:val="Compact"/>
            </w:pPr>
            <w:r>
              <w:rPr>
                <w:sz w:val="19"/>
                <w:szCs w:val="19"/>
                <w:lang w:val="pt-PT"/>
              </w:rPr>
              <w:t xml:space="preserve">Dentro do limite do teto</w:t>
            </w:r>
          </w:p>
        </w:tc>
        <w:tc>
          <w:tcPr>
            <w:tcW w:type="dxa" w:w="1872"/>
            <w:tcMar>
              <w:left w:type="dxa" w:w="80"/>
              <w:right w:type="dxa" w:w="80"/>
            </w:tcMar>
          </w:tcPr>
          <w:p>
            <w:pPr>
              <w:pStyle w:val="Compact"/>
            </w:pPr>
            <w:r>
              <w:rPr>
                <w:sz w:val="19"/>
                <w:szCs w:val="19"/>
                <w:lang w:val="pt-PT"/>
              </w:rPr>
              <w:t xml:space="preserve">Purgar</w:t>
            </w:r>
          </w:p>
        </w:tc>
        <w:tc>
          <w:tcPr>
            <w:tcW w:type="dxa" w:w="1872"/>
            <w:tcMar>
              <w:left w:type="dxa" w:w="80"/>
              <w:right w:type="dxa" w:w="80"/>
            </w:tcMar>
          </w:tcPr>
          <w:p>
            <w:pPr>
              <w:pStyle w:val="Compact"/>
            </w:pPr>
            <w:r>
              <w:rPr>
                <w:sz w:val="19"/>
                <w:szCs w:val="19"/>
                <w:lang w:val="pt-PT"/>
              </w:rPr>
              <w:t xml:space="preserve">A / B</w:t>
            </w:r>
          </w:p>
        </w:tc>
      </w:tr>
      <w:tr>
        <w:trPr>
          <w:cantSplit/>
        </w:trPr>
        <w:tc>
          <w:tcPr>
            <w:tcW w:type="dxa" w:w="1872"/>
            <w:tcMar>
              <w:left w:type="dxa" w:w="80"/>
              <w:right w:type="dxa" w:w="80"/>
            </w:tcMar>
          </w:tcPr>
          <w:p>
            <w:pPr>
              <w:pStyle w:val="Compact"/>
            </w:pPr>
            <w:r>
              <w:rPr>
                <w:sz w:val="19"/>
                <w:szCs w:val="19"/>
                <w:lang w:val="pt-PT"/>
              </w:rPr>
              <w:t xml:space="preserve">Cópias de segurança</w:t>
            </w:r>
          </w:p>
        </w:tc>
        <w:tc>
          <w:tcPr>
            <w:tcW w:type="dxa" w:w="1872"/>
            <w:tcMar>
              <w:left w:type="dxa" w:w="80"/>
              <w:right w:type="dxa" w:w="80"/>
            </w:tcMar>
          </w:tcPr>
          <w:p>
            <w:pPr>
              <w:pStyle w:val="Compact"/>
            </w:pPr>
            <w:r>
              <w:rPr>
                <w:b/>
                <w:bCs/>
                <w:sz w:val="19"/>
                <w:szCs w:val="19"/>
                <w:lang w:val="pt-PT"/>
              </w:rPr>
              <w:t xml:space="preserve">≤ 90 dias </w:t>
            </w:r>
            <w:r>
              <w:rPr>
                <w:sz w:val="19"/>
                <w:szCs w:val="19"/>
                <w:lang w:val="pt-PT"/>
              </w:rPr>
              <w:t xml:space="preserve"/>
            </w:r>
            <w:r>
              <w:rPr>
                <w:sz w:val="19"/>
                <w:szCs w:val="19"/>
                <w:lang w:val="pt-PT"/>
              </w:rPr>
              <w:t xml:space="preserve">(rodízio); 30 dias por organização</w:t>
            </w:r>
          </w:p>
        </w:tc>
        <w:tc>
          <w:tcPr>
            <w:tcW w:type="dxa" w:w="1872"/>
            <w:tcMar>
              <w:left w:type="dxa" w:w="80"/>
              <w:right w:type="dxa" w:w="80"/>
            </w:tcMar>
          </w:tcPr>
          <w:p>
            <w:pPr>
              <w:pStyle w:val="Compact"/>
            </w:pPr>
            <w:r>
              <w:rPr>
                <w:sz w:val="19"/>
                <w:szCs w:val="19"/>
                <w:lang w:val="pt-PT"/>
              </w:rPr>
              <w:t xml:space="preserve">Não (ciclo de segurança)</w:t>
            </w:r>
          </w:p>
        </w:tc>
        <w:tc>
          <w:tcPr>
            <w:tcW w:type="dxa" w:w="1872"/>
            <w:tcMar>
              <w:left w:type="dxa" w:w="80"/>
              <w:right w:type="dxa" w:w="80"/>
            </w:tcMar>
          </w:tcPr>
          <w:p>
            <w:pPr>
              <w:pStyle w:val="Compact"/>
            </w:pPr>
            <w:r>
              <w:rPr>
                <w:sz w:val="19"/>
                <w:szCs w:val="19"/>
                <w:lang w:val="pt-PT"/>
              </w:rPr>
              <w:t xml:space="preserve">Purga giratória</w:t>
            </w:r>
          </w:p>
        </w:tc>
        <w:tc>
          <w:tcPr>
            <w:tcW w:type="dxa" w:w="1872"/>
            <w:tcMar>
              <w:left w:type="dxa" w:w="80"/>
              <w:right w:type="dxa" w:w="80"/>
            </w:tcMar>
          </w:tcPr>
          <w:p>
            <w:pPr>
              <w:pStyle w:val="Compact"/>
            </w:pPr>
            <w:r>
              <w:rPr>
                <w:sz w:val="19"/>
                <w:szCs w:val="19"/>
                <w:lang w:val="pt-PT"/>
              </w:rPr>
              <w:t xml:space="preserve">A (B: infraestrutura do cliente)</w:t>
            </w:r>
          </w:p>
        </w:tc>
      </w:tr>
      <w:tr>
        <w:trPr>
          <w:cantSplit/>
        </w:trPr>
        <w:tc>
          <w:tcPr>
            <w:tcW w:type="dxa" w:w="1872"/>
            <w:tcMar>
              <w:left w:type="dxa" w:w="80"/>
              <w:right w:type="dxa" w:w="80"/>
            </w:tcMar>
          </w:tcPr>
          <w:p>
            <w:pPr>
              <w:pStyle w:val="Compact"/>
            </w:pPr>
            <w:r>
              <w:rPr>
                <w:sz w:val="19"/>
                <w:szCs w:val="19"/>
                <w:lang w:val="pt-PT"/>
              </w:rPr>
              <w:t xml:space="preserve">Incorporações de voz temporárias</w:t>
            </w:r>
          </w:p>
        </w:tc>
        <w:tc>
          <w:tcPr>
            <w:tcW w:type="dxa" w:w="1872"/>
            <w:tcMar>
              <w:left w:type="dxa" w:w="80"/>
              <w:right w:type="dxa" w:w="80"/>
            </w:tcMar>
          </w:tcPr>
          <w:p>
            <w:pPr>
              <w:pStyle w:val="Compact"/>
            </w:pPr>
            <w:r>
              <w:rPr>
                <w:b/>
                <w:bCs/>
                <w:sz w:val="19"/>
                <w:szCs w:val="19"/>
                <w:lang w:val="pt-PT"/>
              </w:rPr>
              <w:t xml:space="preserve">Somente duração da consulta</w:t>
            </w:r>
          </w:p>
        </w:tc>
        <w:tc>
          <w:tcPr>
            <w:tcW w:type="dxa" w:w="1872"/>
            <w:tcMar>
              <w:left w:type="dxa" w:w="80"/>
              <w:right w:type="dxa" w:w="80"/>
            </w:tcMar>
          </w:tcPr>
          <w:p>
            <w:pPr>
              <w:pStyle w:val="Compact"/>
            </w:pPr>
            <w:r>
              <w:rPr>
                <w:sz w:val="19"/>
                <w:szCs w:val="19"/>
                <w:lang w:val="pt-PT"/>
              </w:rPr>
              <w:t xml:space="preserve">Não (efêmero por design)</w:t>
            </w:r>
          </w:p>
        </w:tc>
        <w:tc>
          <w:tcPr>
            <w:tcW w:type="dxa" w:w="1872"/>
            <w:tcMar>
              <w:left w:type="dxa" w:w="80"/>
              <w:right w:type="dxa" w:w="80"/>
            </w:tcMar>
          </w:tcPr>
          <w:p>
            <w:pPr>
              <w:pStyle w:val="Compact"/>
            </w:pPr>
            <w:r>
              <w:rPr>
                <w:sz w:val="19"/>
                <w:szCs w:val="19"/>
                <w:lang w:val="pt-PT"/>
              </w:rPr>
              <w:t xml:space="preserve">Destruição no final do tratamento (</w:t>
            </w:r>
            <w:r>
              <w:rPr>
                <w:rStyle w:val="VerbatimChar"/>
                <w:sz w:val="19"/>
                <w:szCs w:val="19"/>
                <w:lang w:val="pt-PT"/>
              </w:rPr>
              <w:t xml:space="preserve">finally</w:t>
            </w:r>
            <w:r>
              <w:rPr>
                <w:sz w:val="19"/>
                <w:szCs w:val="19"/>
                <w:lang w:val="pt-PT"/>
              </w:rPr>
              <w:t xml:space="preserve">)</w:t>
            </w:r>
          </w:p>
        </w:tc>
        <w:tc>
          <w:tcPr>
            <w:tcW w:type="dxa" w:w="1872"/>
            <w:tcMar>
              <w:left w:type="dxa" w:w="80"/>
              <w:right w:type="dxa" w:w="80"/>
            </w:tcMar>
          </w:tcPr>
          <w:p>
            <w:pPr>
              <w:pStyle w:val="Compact"/>
            </w:pPr>
            <w:r>
              <w:rPr>
                <w:sz w:val="19"/>
                <w:szCs w:val="19"/>
                <w:lang w:val="pt-PT"/>
              </w:rPr>
              <w:t xml:space="preserve">A / B</w:t>
            </w:r>
          </w:p>
        </w:tc>
      </w:tr>
    </w:tbl>
    <w:bookmarkEnd w:id="104"/>
    <w:bookmarkStart w:id="105" w:name="X83fd0475445342c9f5387005de00552eb48e9d8"/>
    <w:p>
      <w:pPr>
        <w:pStyle w:val="Heading2"/>
        <w:keepNext/>
        <w:keepLines/>
      </w:pPr>
      <w:r>
        <w:rPr>
          <w:color w:val="000000"/>
          <w:lang w:val="pt-PT"/>
        </w:rPr>
        <w:t xml:space="preserve">3. Configuração por organização</w:t>
      </w:r>
    </w:p>
    <w:p>
      <w:pPr>
        <w:pStyle w:val="Compact"/>
        <w:numPr>
          <w:ilvl w:val="0"/>
          <w:numId w:val="1023"/>
        </w:numPr>
      </w:pPr>
      <w:r>
        <w:rPr>
          <w:b/>
          <w:bCs/>
          <w:lang w:val="pt-PT"/>
        </w:rPr>
        <w:t xml:space="preserve">Quem pode configurar. </w:t>
      </w:r>
      <w:r>
        <w:rPr>
          <w:lang w:val="pt-PT"/>
        </w:rPr>
        <w:t xml:space="preserve"/>
      </w:r>
      <w:r>
        <w:rPr>
          <w:lang w:val="pt-PT"/>
        </w:rPr>
        <w:t xml:space="preserve">Funções de administração da organização do Cliente </w:t>
      </w:r>
      <w:r>
        <w:rPr>
          <w:lang w:val="pt-PT"/>
        </w:rPr>
        <w:t xml:space="preserve">(</w:t>
      </w:r>
      <w:r>
        <w:rPr>
          <w:rStyle w:val="VerbatimChar"/>
          <w:lang w:val="pt-PT"/>
        </w:rPr>
        <w:t xml:space="preserve">manager</w:t>
      </w:r>
      <w:r>
        <w:rPr>
          <w:lang w:val="pt-PT"/>
        </w:rPr>
        <w:t xml:space="preserve">/perfis </w:t>
      </w:r>
      <w:r>
        <w:rPr>
          <w:lang w:val="pt-PT"/>
        </w:rPr>
        <w:t xml:space="preserve">de administrador da organização, conforme atribuído pelo Cliente).</w:t>
      </w:r>
    </w:p>
    <w:p>
      <w:pPr>
        <w:pStyle w:val="Compact"/>
        <w:numPr>
          <w:ilvl w:val="0"/>
          <w:numId w:val="1023"/>
        </w:numPr>
      </w:pPr>
      <w:r>
        <w:rPr>
          <w:b/>
          <w:bCs/>
          <w:lang w:val="pt-PT"/>
        </w:rPr>
        <w:t xml:space="preserve">Onde no produto. </w:t>
      </w:r>
      <w:r>
        <w:rPr>
          <w:lang w:val="pt-PT"/>
        </w:rPr>
        <w:t xml:space="preserve"/>
      </w:r>
      <w:r>
        <w:rPr>
          <w:lang w:val="pt-PT"/>
        </w:rPr>
        <w:t xml:space="preserve">Configurações da organização (configurações de retenção de conteúdo). Os valores padrão descritos no §2 aplicam-se na ausência de configuração.</w:t>
      </w:r>
    </w:p>
    <w:p>
      <w:pPr>
        <w:pStyle w:val="Compact"/>
        <w:numPr>
          <w:ilvl w:val="0"/>
          <w:numId w:val="1023"/>
        </w:numPr>
      </w:pPr>
      <w:r>
        <w:rPr>
          <w:b/>
          <w:bCs/>
          <w:lang w:val="pt-PT"/>
        </w:rPr>
        <w:t xml:space="preserve">Âmbito. </w:t>
      </w:r>
      <w:r>
        <w:rPr>
          <w:lang w:val="pt-PT"/>
        </w:rPr>
        <w:t xml:space="preserve"/>
      </w:r>
      <w:r>
        <w:rPr>
          <w:lang w:val="pt-PT"/>
        </w:rPr>
        <w:t xml:space="preserve">A configuração diz respeito ao conteúdo (áudio, transcrições, documentos, gerações de IA). As durações dos logs e backups são regidas por limites de segurança que não podem ser estendidos além dos máximos indicados.</w:t>
      </w:r>
    </w:p>
    <w:p>
      <w:pPr>
        <w:pStyle w:val="BlockText"/>
      </w:pPr>
      <w:r>
        <w:rPr>
          <w:b/>
          <w:bCs/>
          <w:lang w:val="pt-PT"/>
        </w:rPr>
        <w:t xml:space="preserve">[A SER CONFIRMADO]: </w:t>
      </w:r>
      <w:r>
        <w:rPr>
          <w:lang w:val="pt-PT"/>
        </w:rPr>
        <w:t xml:space="preserve"/>
      </w:r>
      <w:r>
        <w:rPr>
          <w:lang w:val="pt-PT"/>
        </w:rPr>
        <w:t xml:space="preserve">granularidade exata da tela de configurações exposta ao Cliente (por categoria de conteúdo vs. geral) a ser especificada durante a implementação.</w:t>
      </w:r>
    </w:p>
    <w:bookmarkEnd w:id="105"/>
    <w:bookmarkStart w:id="106" w:name="X1d0319beef65ea0df674594c854de041152a72f"/>
    <w:p>
      <w:pPr>
        <w:pStyle w:val="Heading2"/>
        <w:keepNext/>
        <w:keepLines/>
      </w:pPr>
      <w:r>
        <w:rPr>
          <w:color w:val="000000"/>
          <w:lang w:val="pt-PT"/>
        </w:rPr>
        <w:t xml:space="preserve">4. Comportamento no termo do prazo de conservação</w:t>
      </w:r>
    </w:p>
    <w:p>
      <w:pPr>
        <w:pStyle w:val="FirstParagraph"/>
      </w:pPr>
      <w:r>
        <w:rPr>
          <w:lang w:val="pt-PT"/>
        </w:rPr>
        <w:t xml:space="preserve">No final da duração configurada, o conteúdo em questão é </w:t>
      </w:r>
      <w:r>
        <w:rPr>
          <w:lang w:val="pt-PT"/>
        </w:rPr>
        <w:t xml:space="preserve"/>
      </w:r>
      <w:r>
        <w:rPr>
          <w:b/>
          <w:bCs/>
          <w:lang w:val="pt-PT"/>
        </w:rPr>
        <w:t xml:space="preserve">excluído do </w:t>
      </w:r>
      <w:r>
        <w:rPr>
          <w:lang w:val="pt-PT"/>
        </w:rPr>
        <w:t xml:space="preserve"/>
      </w:r>
      <w:r>
        <w:rPr>
          <w:lang w:val="pt-PT"/>
        </w:rPr>
        <w:t xml:space="preserve">base de dados de produção. A exclusão é então refletida nos backups de acordo com seu ciclo de rotação (no máximo 90 dias). Os embeddings de voz nunca são afetados por este ciclo: são destruídos ao final da solicitação, sem persistência.</w:t>
      </w:r>
    </w:p>
    <w:bookmarkEnd w:id="106"/>
    <w:bookmarkStart w:id="109" w:name="X642f55ef0aa0c247a15d6aa27fe4cf2e6ba3f07"/>
    <w:p>
      <w:pPr>
        <w:pStyle w:val="Heading2"/>
        <w:keepNext/>
        <w:keepLines/>
      </w:pPr>
      <w:r>
        <w:rPr>
          <w:color w:val="000000"/>
          <w:lang w:val="pt-PT"/>
        </w:rPr>
        <w:t xml:space="preserve">5. Ligação ao apagamento (artigo 17.º) e fim do contrato</w:t>
      </w:r>
    </w:p>
    <w:bookmarkStart w:id="107" w:name="X654578143815b3d75c0d5ff552a26ad0ff2644e"/>
    <w:p>
      <w:pPr>
        <w:pStyle w:val="Heading3"/>
        <w:keepNext/>
        <w:keepLines/>
      </w:pPr>
      <w:r>
        <w:rPr>
          <w:color w:val="000000"/>
          <w:lang w:val="pt-PT"/>
        </w:rPr>
        <w:t xml:space="preserve">5.1 Apagamento a pedido (artigo 17)</w:t>
      </w:r>
    </w:p>
    <w:p>
      <w:pPr>
        <w:pStyle w:val="Compact"/>
        <w:numPr>
          <w:ilvl w:val="0"/>
          <w:numId w:val="1024"/>
        </w:numPr>
      </w:pPr>
      <w:r>
        <w:rPr>
          <w:lang w:val="pt-PT"/>
        </w:rPr>
        <w:t xml:space="preserve">A exclusão está disponível por </w:t>
      </w:r>
      <w:r>
        <w:rPr>
          <w:lang w:val="pt-PT"/>
        </w:rPr>
        <w:t xml:space="preserve"/>
      </w:r>
      <w:r>
        <w:rPr>
          <w:b/>
          <w:bCs/>
          <w:lang w:val="pt-PT"/>
        </w:rPr>
        <w:t xml:space="preserve">solicitação rastreada certificada </w:t>
      </w:r>
      <w:r>
        <w:rPr>
          <w:lang w:val="pt-PT"/>
        </w:rPr>
        <w:t xml:space="preserve"/>
      </w:r>
      <w:r>
        <w:rPr>
          <w:lang w:val="pt-PT"/>
        </w:rPr>
        <w:t xml:space="preserve">(Configurações → Portabilidade): a solicitação é registrada em </w:t>
      </w:r>
      <w:r>
        <w:rPr>
          <w:lang w:val="pt-PT"/>
        </w:rPr>
        <w:t xml:space="preserve"/>
      </w:r>
      <w:r>
        <w:rPr>
          <w:rStyle w:val="VerbatimChar"/>
          <w:lang w:val="pt-PT"/>
        </w:rPr>
        <w:t xml:space="preserve">audit_logs</w:t>
      </w:r>
      <w:r>
        <w:rPr>
          <w:lang w:val="pt-PT"/>
        </w:rPr>
        <w:t xml:space="preserve">, um </w:t>
      </w:r>
      <w:r>
        <w:rPr>
          <w:lang w:val="pt-PT"/>
        </w:rPr>
        <w:t xml:space="preserve"/>
      </w:r>
      <w:r>
        <w:rPr>
          <w:b/>
          <w:bCs/>
          <w:lang w:val="pt-PT"/>
        </w:rPr>
        <w:t xml:space="preserve">fluxo de trabalho </w:t>
      </w:r>
      <w:r>
        <w:rPr>
          <w:lang w:val="pt-PT"/>
        </w:rPr>
        <w:t xml:space="preserve">de </w:t>
      </w:r>
      <w:r>
        <w:rPr>
          <w:lang w:val="pt-PT"/>
        </w:rPr>
        <w:t xml:space="preserve">eliminação é acionado dentro do prazo legal </w:t>
      </w:r>
      <w:r>
        <w:rPr>
          <w:lang w:val="pt-PT"/>
        </w:rPr>
        <w:t xml:space="preserve"/>
      </w:r>
      <w:r>
        <w:rPr>
          <w:b/>
          <w:bCs/>
          <w:lang w:val="pt-PT"/>
        </w:rPr>
        <w:t xml:space="preserve">e um certificado de exclusão </w:t>
      </w:r>
      <w:r>
        <w:rPr>
          <w:lang w:val="pt-PT"/>
        </w:rPr>
        <w:t xml:space="preserve"/>
      </w:r>
      <w:r>
        <w:rPr>
          <w:lang w:val="pt-PT"/>
        </w:rPr>
        <w:t xml:space="preserve">é emitido.</w:t>
      </w:r>
    </w:p>
    <w:p>
      <w:pPr>
        <w:pStyle w:val="Compact"/>
        <w:numPr>
          <w:ilvl w:val="0"/>
          <w:numId w:val="1024"/>
        </w:numPr>
      </w:pPr>
      <w:r>
        <w:rPr>
          <w:lang w:val="pt-PT"/>
        </w:rPr>
        <w:t xml:space="preserve">A eliminação em produção é refletida nos backups de acordo com a rotação (≤ 90 dias).</w:t>
      </w:r>
    </w:p>
    <w:bookmarkEnd w:id="107"/>
    <w:bookmarkStart w:id="108" w:name="X24c1a499b9b0bdbba0fe8f8d5e8b857df025d88"/>
    <w:p>
      <w:pPr>
        <w:pStyle w:val="Heading3"/>
        <w:keepNext/>
        <w:keepLines/>
      </w:pPr>
      <w:r>
        <w:rPr>
          <w:color w:val="000000"/>
          <w:lang w:val="pt-PT"/>
        </w:rPr>
        <w:t xml:space="preserve">5.2 Fim do contrato (DPA §11)</w:t>
      </w:r>
    </w:p>
    <w:p>
      <w:pPr>
        <w:pStyle w:val="FirstParagraph"/>
      </w:pPr>
      <w:r>
        <w:rPr>
          <w:lang w:val="pt-PT"/>
        </w:rPr>
        <w:t xml:space="preserve">No final do contrato, o Cliente escolhe por instrução escrita entre </w:t>
      </w:r>
      <w:r>
        <w:rPr>
          <w:lang w:val="pt-PT"/>
        </w:rPr>
        <w:t xml:space="preserve"/>
      </w:r>
      <w:r>
        <w:rPr>
          <w:b/>
          <w:bCs/>
          <w:lang w:val="pt-PT"/>
        </w:rPr>
        <w:t xml:space="preserve">a restituição </w:t>
      </w:r>
      <w:r>
        <w:rPr>
          <w:lang w:val="pt-PT"/>
        </w:rPr>
        <w:t xml:space="preserve"/>
      </w:r>
      <w:r>
        <w:rPr>
          <w:lang w:val="pt-PT"/>
        </w:rPr>
        <w:t xml:space="preserve"/>
      </w:r>
      <w:r>
        <w:rPr>
          <w:lang w:val="pt-PT"/>
        </w:rPr>
        <w:t xml:space="preserve">e </w:t>
      </w:r>
      <w:r>
        <w:rPr>
          <w:b/>
          <w:bCs/>
          <w:lang w:val="pt-PT"/>
        </w:rPr>
        <w:t xml:space="preserve">a </w:t>
      </w:r>
      <w:r>
        <w:rPr>
          <w:lang w:val="pt-PT"/>
        </w:rPr>
        <w:t xml:space="preserve"/>
      </w:r>
      <w:r>
        <w:rPr>
          <w:lang w:val="pt-PT"/>
        </w:rPr>
        <w:t xml:space="preserve">eliminação:</w:t>
      </w:r>
    </w:p>
    <w:p>
      <w:pPr>
        <w:pStyle w:val="Compact"/>
        <w:numPr>
          <w:ilvl w:val="0"/>
          <w:numId w:val="1025"/>
        </w:numPr>
      </w:pPr>
      <w:r>
        <w:rPr>
          <w:b/>
          <w:bCs/>
          <w:lang w:val="pt-PT"/>
        </w:rPr>
        <w:t xml:space="preserve">Restituição: </w:t>
      </w:r>
      <w:r>
        <w:rPr>
          <w:lang w:val="pt-PT"/>
        </w:rPr>
        <w:t xml:space="preserve"/>
      </w:r>
      <w:r>
        <w:rPr>
          <w:lang w:val="pt-PT"/>
        </w:rPr>
        <w:t xml:space="preserve">fornecimento de uma exportação padrão (</w:t>
      </w:r>
      <w:r>
        <w:rPr>
          <w:rStyle w:val="VerbatimChar"/>
          <w:lang w:val="pt-PT"/>
        </w:rPr>
        <w:t xml:space="preserve">.tar.gz</w:t>
      </w:r>
      <w:r>
        <w:rPr>
          <w:lang w:val="pt-PT"/>
        </w:rPr>
        <w:t xml:space="preserve"> </w:t>
      </w:r>
      <w:r>
        <w:rPr>
          <w:lang w:val="pt-PT"/>
        </w:rPr>
        <w:t xml:space="preserve">assinado SHA-256 pelo locatário).</w:t>
      </w:r>
    </w:p>
    <w:p>
      <w:pPr>
        <w:pStyle w:val="Compact"/>
        <w:numPr>
          <w:ilvl w:val="0"/>
          <w:numId w:val="1025"/>
        </w:numPr>
      </w:pPr>
      <w:r>
        <w:rPr>
          <w:b/>
          <w:bCs/>
          <w:lang w:val="pt-PT"/>
        </w:rPr>
        <w:t xml:space="preserve">Exclusão </w:t>
      </w:r>
      <w:r>
        <w:rPr>
          <w:lang w:val="pt-PT"/>
        </w:rPr>
        <w:t xml:space="preserve"/>
      </w:r>
      <w:r>
        <w:rPr>
          <w:lang w:val="pt-PT"/>
        </w:rPr>
        <w:t xml:space="preserve">de dados de produção: ≤ </w:t>
      </w:r>
      <w:r>
        <w:rPr>
          <w:lang w:val="pt-PT"/>
        </w:rPr>
        <w:t xml:space="preserve"/>
      </w:r>
      <w:r>
        <w:rPr>
          <w:b/>
          <w:bCs/>
          <w:lang w:val="pt-PT"/>
        </w:rPr>
        <w:t xml:space="preserve">30 dias </w:t>
      </w:r>
      <w:r>
        <w:rPr>
          <w:lang w:val="pt-PT"/>
        </w:rPr>
        <w:t xml:space="preserve"/>
      </w:r>
      <w:r>
        <w:rPr>
          <w:lang w:val="pt-PT"/>
        </w:rPr>
        <w:t xml:space="preserve">corridos após o término efetivo do contrato ou recebimento da instrução (o que ocorrer depois).</w:t>
      </w:r>
    </w:p>
    <w:p>
      <w:pPr>
        <w:pStyle w:val="Compact"/>
        <w:numPr>
          <w:ilvl w:val="0"/>
          <w:numId w:val="1025"/>
        </w:numPr>
      </w:pPr>
      <w:r>
        <w:rPr>
          <w:b/>
          <w:bCs/>
          <w:lang w:val="pt-PT"/>
        </w:rPr>
        <w:t xml:space="preserve">Limpeza de backups </w:t>
      </w:r>
      <w:r>
        <w:rPr>
          <w:lang w:val="pt-PT"/>
        </w:rPr>
        <w:t xml:space="preserve"/>
      </w:r>
      <w:r>
        <w:rPr>
          <w:lang w:val="pt-PT"/>
        </w:rPr>
        <w:t xml:space="preserve">residuais: ≤ </w:t>
      </w:r>
      <w:r>
        <w:rPr>
          <w:lang w:val="pt-PT"/>
        </w:rPr>
        <w:t xml:space="preserve">90 </w:t>
      </w:r>
      <w:r>
        <w:rPr>
          <w:b/>
          <w:bCs/>
          <w:lang w:val="pt-PT"/>
        </w:rPr>
        <w:t xml:space="preserve">dias </w:t>
      </w:r>
      <w:r>
        <w:rPr>
          <w:lang w:val="pt-PT"/>
        </w:rPr>
        <w:t xml:space="preserve"/>
      </w:r>
      <w:r>
        <w:rPr>
          <w:lang w:val="pt-PT"/>
        </w:rPr>
        <w:t xml:space="preserve">corridos (ciclo de rotação), a menos que exigido por lei.</w:t>
      </w:r>
    </w:p>
    <w:p>
      <w:pPr>
        <w:pStyle w:val="Compact"/>
        <w:numPr>
          <w:ilvl w:val="0"/>
          <w:numId w:val="1025"/>
        </w:numPr>
      </w:pPr>
      <w:r>
        <w:rPr>
          <w:b/>
          <w:bCs/>
          <w:lang w:val="pt-PT"/>
        </w:rPr>
        <w:t xml:space="preserve">Certificado </w:t>
      </w:r>
      <w:r>
        <w:rPr>
          <w:lang w:val="pt-PT"/>
        </w:rPr>
        <w:t xml:space="preserve"/>
      </w:r>
      <w:r>
        <w:rPr>
          <w:lang w:val="pt-PT"/>
        </w:rPr>
        <w:t xml:space="preserve">de eliminação ou devolução: fornecido no </w:t>
      </w:r>
      <w:r>
        <w:rPr>
          <w:lang w:val="pt-PT"/>
        </w:rPr>
        <w:t xml:space="preserve">prazo </w:t>
      </w:r>
      <w:r>
        <w:rPr>
          <w:b/>
          <w:bCs/>
          <w:lang w:val="pt-PT"/>
        </w:rPr>
        <w:t xml:space="preserve">de 30 </w:t>
      </w:r>
      <w:r>
        <w:rPr>
          <w:lang w:val="pt-PT"/>
        </w:rPr>
        <w:t xml:space="preserve"/>
      </w:r>
      <w:r>
        <w:rPr>
          <w:lang w:val="pt-PT"/>
        </w:rPr>
        <w:t xml:space="preserve">dias após a conclusão da operação.</w:t>
      </w:r>
    </w:p>
    <w:p>
      <w:pPr>
        <w:pStyle w:val="SourceCode"/>
      </w:pPr>
      <w:r>
        <w:rPr>
          <w:rStyle w:val="VerbatimChar"/>
          <w:rFonts w:ascii="Courier New" w:hAnsi="Courier New" w:eastAsia="Courier New" w:cs="Courier New"/>
          <w:sz w:val="19"/>
          <w:szCs w:val="19"/>
        </w:rPr>
        <w:t xml:space="preserve">Fim do contrato</w:t>
        <w:br/>
        <w:t xml:space="preserve">  |-- escolha escrita do Cliente</w:t>
        <w:br/>
        <w:t xml:space="preserve">  |     |-- Devolução: exportação .tar.gz assinada (SHA-256)</w:t>
        <w:br/>
        <w:t xml:space="preserve">  |     \-- Apagamento:</w:t>
        <w:br/>
        <w:t xml:space="preserve">  |            [D+30 máx.] eliminação na produção</w:t>
        <w:br/>
        <w:t xml:space="preserve">  |            [D+90 máx.] eliminação das cópias de segurança</w:t>
        <w:br/>
        <w:t xml:space="preserve">  \-- Certificado de apagamento / devolução [+30 dias após conclusão]</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08"/>
    <w:bookmarkEnd w:id="109"/>
    <w:bookmarkEnd w:id="110"/>
    <w:bookmarkStart w:id="122" w:name="Xdce4b62ecfec95499a77a7d1958b03ff9ff737c"/>
    <w:p>
      <w:pPr>
        <w:pStyle w:val="Heading1"/>
        <w:keepNext/>
        <w:keepLines/>
      </w:pPr>
      <w:r>
        <w:rPr>
          <w:color w:val="000000"/>
          <w:lang w:val="pt-PT"/>
        </w:rPr>
        <w:t xml:space="preserve">Modelos e provedores de inteligência artificial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OHA-RGPD-06</w:t>
            </w:r>
          </w:p>
        </w:tc>
      </w:tr>
      <w:tr>
        <w:trPr>
          <w:cantSplit/>
        </w:trPr>
        <w:tc>
          <w:tcPr/>
          <w:p>
            <w:pPr>
              <w:pStyle w:val="Compact"/>
            </w:pPr>
            <w:r>
              <w:rPr>
                <w:lang w:val="pt-PT"/>
              </w:rPr>
              <w:t xml:space="preserve">Objetivo</w:t>
            </w:r>
          </w:p>
        </w:tc>
        <w:tc>
          <w:tcPr/>
          <w:p>
            <w:pPr>
              <w:pStyle w:val="Compact"/>
            </w:pPr>
            <w:r>
              <w:rPr>
                <w:lang w:val="pt-PT"/>
              </w:rPr>
              <w:t xml:space="preserve">Documentação de modelos e provedores de IA: dados transmitidos, retenção, não treino</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11" w:name="Xf1e621f1e00816d4df6a5d87990d4fe96ac2cec"/>
    <w:p>
      <w:pPr>
        <w:pStyle w:val="Heading2"/>
        <w:keepNext/>
        <w:keepLines/>
      </w:pPr>
      <w:r>
        <w:rPr>
          <w:color w:val="000000"/>
          <w:lang w:val="pt-PT"/>
        </w:rPr>
        <w:t xml:space="preserve">1. Objetivo</w:t>
      </w:r>
    </w:p>
    <w:p>
      <w:pPr>
        <w:pStyle w:val="FirstParagraph"/>
      </w:pPr>
      <w:r>
        <w:rPr>
          <w:lang w:val="pt-PT"/>
        </w:rPr>
        <w:t xml:space="preserve">Este documento documenta os modelos de inteligência artificial e fornecedores que provavelmente serão utilizados por TranscribIA, os dados transmitidos a cada um, os períodos de retenção do lado do fornecedor, possível acesso humano, garantias de não formação e as condições para mudança de modelos ou fornecedores.</w:t>
      </w:r>
    </w:p>
    <w:bookmarkEnd w:id="111"/>
    <w:bookmarkStart w:id="115" w:name="Xd1e5903fdf70abcf5368fef1c81a5eb86161bbb"/>
    <w:p>
      <w:pPr>
        <w:pStyle w:val="Heading2"/>
        <w:keepNext/>
        <w:keepLines/>
      </w:pPr>
      <w:r>
        <w:rPr>
          <w:color w:val="000000"/>
          <w:lang w:val="pt-PT"/>
        </w:rPr>
        <w:t xml:space="preserve">2. Modelos e fornecedores prováveis de serem utilizados</w:t>
      </w:r>
    </w:p>
    <w:bookmarkStart w:id="112" w:name="X94ec6f3ea1c75825c24d0d3494eaefc6983c2a1"/>
    <w:p>
      <w:pPr>
        <w:pStyle w:val="Heading3"/>
        <w:keepNext/>
        <w:keepLines/>
      </w:pPr>
      <w:r>
        <w:rPr>
          <w:color w:val="000000"/>
          <w:lang w:val="pt-PT"/>
        </w:rPr>
        <w:t xml:space="preserve">2.1 Geração de texto (LLM) — arquitetura bidirecional</w:t>
      </w:r>
    </w:p>
    <w:p>
      <w:pPr>
        <w:pStyle w:val="FirstParagraph"/>
      </w:pPr>
      <w:r>
        <w:rPr>
          <w:lang w:val="pt-PT"/>
        </w:rPr>
        <w:t xml:space="preserve">As funções IA (correcção, resumo, relatório, capítulos, análise) baseiam-se num gateway multi-configuração (</w:t>
      </w:r>
      <w:r>
        <w:rPr>
          <w:rStyle w:val="VerbatimChar"/>
          <w:lang w:val="pt-PT"/>
        </w:rPr>
        <w:t xml:space="preserve">LlmGateway</w:t>
      </w:r>
      <w:r>
        <w:rPr>
          <w:lang w:val="pt-PT"/>
        </w:rPr>
        <w:t xml:space="preserve">) com comutação por prioridade (3 tentativas, backoff, atraso máximo 300 s) e rotação multi-contas. A arquitetura escolhida (decisão de 24/07/2026) distingue uma </w:t>
      </w:r>
      <w:r>
        <w:rPr>
          <w:lang w:val="pt-PT"/>
        </w:rPr>
        <w:t xml:space="preserve"/>
      </w:r>
      <w:r>
        <w:rPr>
          <w:b/>
          <w:bCs/>
          <w:lang w:val="pt-PT"/>
        </w:rPr>
        <w:t xml:space="preserve">rota primária </w:t>
      </w:r>
      <w:r>
        <w:rPr>
          <w:lang w:val="pt-PT"/>
        </w:rPr>
        <w:t xml:space="preserve"/>
      </w:r>
      <w:r>
        <w:rPr>
          <w:lang w:val="pt-PT"/>
        </w:rPr>
        <w:t xml:space="preserve">e uma </w:t>
      </w:r>
      <w:r>
        <w:rPr>
          <w:lang w:val="pt-PT"/>
        </w:rPr>
        <w:t xml:space="preserve">rota </w:t>
      </w:r>
      <w:r>
        <w:rPr>
          <w:b/>
          <w:bCs/>
          <w:lang w:val="pt-PT"/>
        </w:rPr>
        <w:t xml:space="preserve">de </w:t>
      </w:r>
      <w:r>
        <w:rPr>
          <w:lang w:val="pt-PT"/>
        </w:rPr>
        <w:t xml:space="preserve">emergência.</w:t>
      </w:r>
    </w:p>
    <w:p>
      <w:pPr>
        <w:pStyle w:val="BodyText"/>
      </w:pPr>
      <w:r>
        <w:rPr>
          <w:b/>
          <w:bCs/>
          <w:lang w:val="pt-PT"/>
        </w:rPr>
        <w:t xml:space="preserve">Rota primária — servidores vLLM dominados na </w:t>
      </w:r>
      <w:r>
        <w:rPr>
          <w:lang w:val="pt-PT"/>
        </w:rPr>
        <w:t xml:space="preserve">UE. </w:t>
      </w:r>
      <w:r>
        <w:rPr>
          <w:lang w:val="pt-PT"/>
        </w:rPr>
        <w:t xml:space="preserve">Por padrão, as consultas de IA são processadas em servidores </w:t>
      </w:r>
      <w:r>
        <w:rPr>
          <w:lang w:val="pt-PT"/>
        </w:rPr>
        <w:t xml:space="preserve"/>
      </w:r>
      <w:r>
        <w:rPr>
          <w:b/>
          <w:bCs/>
          <w:lang w:val="pt-PT"/>
        </w:rPr>
        <w:t xml:space="preserve">GPU controlados por OHADJA executando vLLM com modelos de pesos </w:t>
      </w:r>
      <w:r>
        <w:rPr>
          <w:lang w:val="pt-PT"/>
        </w:rPr>
        <w:t xml:space="preserve">abertos. Estes servidores estão </w:t>
      </w:r>
      <w:r>
        <w:rPr>
          <w:lang w:val="pt-PT"/>
        </w:rPr>
        <w:t xml:space="preserve"/>
      </w:r>
      <w:r>
        <w:rPr>
          <w:b/>
          <w:bCs/>
          <w:lang w:val="pt-PT"/>
        </w:rPr>
        <w:t xml:space="preserve">alojados na Europa, principalmente em Estrasburgo </w:t>
      </w:r>
      <w:r>
        <w:rPr>
          <w:lang w:val="pt-PT"/>
        </w:rPr>
        <w:t xml:space="preserve"/>
      </w:r>
      <w:r>
        <w:rPr>
          <w:lang w:val="pt-PT"/>
        </w:rPr>
        <w:t xml:space="preserve">e Paris (ou na infraestrutura do Cliente na Opção B). Nesse caminho, </w:t>
      </w:r>
      <w:r>
        <w:rPr>
          <w:lang w:val="pt-PT"/>
        </w:rPr>
        <w:t xml:space="preserve"/>
      </w:r>
      <w:r>
        <w:rPr>
          <w:b/>
          <w:bCs/>
          <w:lang w:val="pt-PT"/>
        </w:rPr>
        <w:t xml:space="preserve">nenhum dado é transmitido a um provedor de modelo </w:t>
      </w:r>
      <w:r>
        <w:rPr>
          <w:lang w:val="pt-PT"/>
        </w:rPr>
        <w:t xml:space="preserve">terceirizado.</w:t>
      </w:r>
    </w:p>
    <w:p>
      <w:pPr>
        <w:pStyle w:val="BodyText"/>
      </w:pPr>
      <w:r>
        <w:rPr>
          <w:b/>
          <w:bCs/>
          <w:lang w:val="pt-PT"/>
        </w:rPr>
        <w:t xml:space="preserve">Rota alternativa — OpenRouter (failover, desativo). Em </w:t>
      </w:r>
      <w:r>
        <w:rPr>
          <w:lang w:val="pt-PT"/>
        </w:rPr>
        <w:t xml:space="preserve"/>
      </w:r>
      <w:r>
        <w:rPr>
          <w:lang w:val="pt-PT"/>
        </w:rPr>
        <w:t xml:space="preserve">caso de indisponibilidade da rota primária, o gateway pode mudar para OpenRouter </w:t>
      </w:r>
      <w:r>
        <w:rPr>
          <w:lang w:val="pt-PT"/>
        </w:rPr>
        <w:t xml:space="preserve"/>
      </w:r>
      <w:r>
        <w:rPr>
          <w:b/>
          <w:bCs/>
          <w:lang w:val="pt-PT"/>
        </w:rPr>
        <w:t xml:space="preserve">(Claude, </w:t>
      </w:r>
      <w:r>
        <w:rPr>
          <w:lang w:val="pt-PT"/>
        </w:rPr>
        <w:t xml:space="preserve"/>
      </w:r>
      <w:r>
        <w:rPr>
          <w:lang w:val="pt-PT"/>
        </w:rPr>
        <w:t xml:space="preserve">GPT, etc.), sem treino («no-train»). Esta rota de emergência </w:t>
      </w:r>
      <w:r>
        <w:rPr>
          <w:lang w:val="pt-PT"/>
        </w:rPr>
        <w:t xml:space="preserve"/>
      </w:r>
      <w:r>
        <w:rPr>
          <w:b/>
          <w:bCs/>
          <w:lang w:val="pt-PT"/>
        </w:rPr>
        <w:t xml:space="preserve">pode ser desativada pela </w:t>
      </w:r>
      <w:r>
        <w:rPr>
          <w:lang w:val="pt-PT"/>
        </w:rPr>
        <w:t xml:space="preserve"/>
      </w:r>
      <w:r>
        <w:rPr>
          <w:lang w:val="pt-PT"/>
        </w:rPr>
        <w:t xml:space="preserve">organização; </w:t>
      </w:r>
      <w:r>
        <w:rPr>
          <w:lang w:val="pt-PT"/>
        </w:rPr>
        <w:t xml:space="preserve"/>
      </w:r>
      <w:r>
        <w:rPr>
          <w:b/>
          <w:bCs/>
          <w:lang w:val="pt-PT"/>
        </w:rPr>
        <w:t xml:space="preserve">o perfil “UE </w:t>
      </w:r>
      <w:r>
        <w:rPr>
          <w:lang w:val="pt-PT"/>
        </w:rPr>
        <w:t xml:space="preserve"/>
      </w:r>
      <w:r>
        <w:rPr>
          <w:lang w:val="pt-PT"/>
        </w:rPr>
        <w:t xml:space="preserve">Estrito” neutraliza-o, garantindo que nenhum pedido de IA saia da UE.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pt-PT"/>
              </w:rPr>
              <w:t xml:space="preserve">Pista</w:t>
            </w:r>
          </w:p>
        </w:tc>
        <w:tc>
          <w:tcPr>
            <w:tcW w:type="dxa" w:w="1872"/>
            <w:tcMar>
              <w:left w:type="dxa" w:w="80"/>
              <w:right w:type="dxa" w:w="80"/>
            </w:tcMar>
          </w:tcPr>
          <w:p>
            <w:pPr>
              <w:pStyle w:val="Compact"/>
            </w:pPr>
            <w:r>
              <w:rPr>
                <w:sz w:val="19"/>
                <w:szCs w:val="19"/>
                <w:lang w:val="pt-PT"/>
              </w:rPr>
              <w:t xml:space="preserve">Modelos</w:t>
            </w:r>
          </w:p>
        </w:tc>
        <w:tc>
          <w:tcPr>
            <w:tcW w:type="dxa" w:w="1872"/>
            <w:tcMar>
              <w:left w:type="dxa" w:w="80"/>
              <w:right w:type="dxa" w:w="80"/>
            </w:tcMar>
          </w:tcPr>
          <w:p>
            <w:pPr>
              <w:pStyle w:val="Compact"/>
            </w:pPr>
            <w:r>
              <w:rPr>
                <w:sz w:val="19"/>
                <w:szCs w:val="19"/>
                <w:lang w:val="pt-PT"/>
              </w:rPr>
              <w:t xml:space="preserve">Fornecedor / execução</w:t>
            </w:r>
          </w:p>
        </w:tc>
        <w:tc>
          <w:tcPr>
            <w:tcW w:type="dxa" w:w="1872"/>
            <w:tcMar>
              <w:left w:type="dxa" w:w="80"/>
              <w:right w:type="dxa" w:w="80"/>
            </w:tcMar>
          </w:tcPr>
          <w:p>
            <w:pPr>
              <w:pStyle w:val="Compact"/>
            </w:pPr>
            <w:r>
              <w:rPr>
                <w:sz w:val="19"/>
                <w:szCs w:val="19"/>
                <w:lang w:val="pt-PT"/>
              </w:rPr>
              <w:t xml:space="preserve">Localização</w:t>
            </w:r>
          </w:p>
        </w:tc>
        <w:tc>
          <w:tcPr>
            <w:tcW w:type="dxa" w:w="1872"/>
            <w:tcMar>
              <w:left w:type="dxa" w:w="80"/>
              <w:right w:type="dxa" w:w="80"/>
            </w:tcMar>
          </w:tcPr>
          <w:p>
            <w:pPr>
              <w:pStyle w:val="Compact"/>
            </w:pPr>
            <w:r>
              <w:rPr>
                <w:sz w:val="19"/>
                <w:szCs w:val="19"/>
                <w:lang w:val="pt-PT"/>
              </w:rPr>
              <w:t xml:space="preserve">Transferência para fora do EEE</w:t>
            </w:r>
          </w:p>
        </w:tc>
      </w:tr>
      <w:tr>
        <w:trPr>
          <w:cantSplit/>
        </w:trPr>
        <w:tc>
          <w:tcPr>
            <w:tcW w:type="dxa" w:w="1872"/>
            <w:tcMar>
              <w:left w:type="dxa" w:w="80"/>
              <w:right w:type="dxa" w:w="80"/>
            </w:tcMar>
          </w:tcPr>
          <w:p>
            <w:pPr>
              <w:pStyle w:val="Compact"/>
            </w:pPr>
            <w:r>
              <w:rPr>
                <w:b/>
                <w:bCs/>
                <w:sz w:val="19"/>
                <w:szCs w:val="19"/>
                <w:lang w:val="pt-PT"/>
              </w:rPr>
              <w:t xml:space="preserve">Primário</w:t>
            </w:r>
          </w:p>
        </w:tc>
        <w:tc>
          <w:tcPr>
            <w:tcW w:type="dxa" w:w="1872"/>
            <w:tcMar>
              <w:left w:type="dxa" w:w="80"/>
              <w:right w:type="dxa" w:w="80"/>
            </w:tcMar>
          </w:tcPr>
          <w:p>
            <w:pPr>
              <w:pStyle w:val="Compact"/>
            </w:pPr>
            <w:r>
              <w:rPr>
                <w:sz w:val="19"/>
                <w:szCs w:val="19"/>
                <w:lang w:val="pt-PT"/>
              </w:rPr>
              <w:t xml:space="preserve">Pesos abertos: Qwen 3.6 ou Mistral [versões a serem confirmadas]</w:t>
            </w:r>
          </w:p>
        </w:tc>
        <w:tc>
          <w:tcPr>
            <w:tcW w:type="dxa" w:w="1872"/>
            <w:tcMar>
              <w:left w:type="dxa" w:w="80"/>
              <w:right w:type="dxa" w:w="80"/>
            </w:tcMar>
          </w:tcPr>
          <w:p>
            <w:pPr>
              <w:pStyle w:val="Compact"/>
            </w:pPr>
            <w:r>
              <w:rPr>
                <w:sz w:val="19"/>
                <w:szCs w:val="19"/>
                <w:lang w:val="pt-PT"/>
              </w:rPr>
              <w:t xml:space="preserve">Servidores vLLM controlados por OHADJA (ou infra-cliente na Opção B)</w:t>
            </w:r>
          </w:p>
        </w:tc>
        <w:tc>
          <w:tcPr>
            <w:tcW w:type="dxa" w:w="1872"/>
            <w:tcMar>
              <w:left w:type="dxa" w:w="80"/>
              <w:right w:type="dxa" w:w="80"/>
            </w:tcMar>
          </w:tcPr>
          <w:p>
            <w:pPr>
              <w:pStyle w:val="Compact"/>
            </w:pPr>
            <w:r>
              <w:rPr>
                <w:sz w:val="19"/>
                <w:szCs w:val="19"/>
                <w:lang w:val="pt-PT"/>
              </w:rPr>
              <w:t xml:space="preserve">UE — Estrasburgo/Paris</w:t>
            </w:r>
          </w:p>
        </w:tc>
        <w:tc>
          <w:tcPr>
            <w:tcW w:type="dxa" w:w="1872"/>
            <w:tcMar>
              <w:left w:type="dxa" w:w="80"/>
              <w:right w:type="dxa" w:w="80"/>
            </w:tcMar>
          </w:tcPr>
          <w:p>
            <w:pPr>
              <w:pStyle w:val="Compact"/>
            </w:pPr>
            <w:r>
              <w:rPr>
                <w:sz w:val="19"/>
                <w:szCs w:val="19"/>
                <w:lang w:val="pt-PT"/>
              </w:rPr>
              <w:t xml:space="preserve">Não</w:t>
            </w:r>
          </w:p>
        </w:tc>
      </w:tr>
      <w:tr>
        <w:trPr>
          <w:cantSplit/>
        </w:trPr>
        <w:tc>
          <w:tcPr>
            <w:tcW w:type="dxa" w:w="1872"/>
            <w:tcMar>
              <w:left w:type="dxa" w:w="80"/>
              <w:right w:type="dxa" w:w="80"/>
            </w:tcMar>
          </w:tcPr>
          <w:p>
            <w:pPr>
              <w:pStyle w:val="Compact"/>
            </w:pPr>
            <w:r>
              <w:rPr>
                <w:b/>
                <w:bCs/>
                <w:sz w:val="19"/>
                <w:szCs w:val="19"/>
                <w:lang w:val="pt-PT"/>
              </w:rPr>
              <w:t xml:space="preserve">Failover</w:t>
            </w:r>
          </w:p>
        </w:tc>
        <w:tc>
          <w:tcPr>
            <w:tcW w:type="dxa" w:w="1872"/>
            <w:tcMar>
              <w:left w:type="dxa" w:w="80"/>
              <w:right w:type="dxa" w:w="80"/>
            </w:tcMar>
          </w:tcPr>
          <w:p>
            <w:pPr>
              <w:pStyle w:val="Compact"/>
            </w:pPr>
            <w:r>
              <w:rPr>
                <w:sz w:val="19"/>
                <w:szCs w:val="19"/>
                <w:lang w:val="pt-PT"/>
              </w:rPr>
              <w:t xml:space="preserve">Claude, GPT…</w:t>
            </w:r>
          </w:p>
        </w:tc>
        <w:tc>
          <w:tcPr>
            <w:tcW w:type="dxa" w:w="1872"/>
            <w:tcMar>
              <w:left w:type="dxa" w:w="80"/>
              <w:right w:type="dxa" w:w="80"/>
            </w:tcMar>
          </w:tcPr>
          <w:p>
            <w:pPr>
              <w:pStyle w:val="Compact"/>
            </w:pPr>
            <w:r>
              <w:rPr>
                <w:sz w:val="19"/>
                <w:szCs w:val="19"/>
                <w:lang w:val="pt-PT"/>
              </w:rPr>
              <w:t xml:space="preserve">via OpenRouter</w:t>
            </w:r>
          </w:p>
        </w:tc>
        <w:tc>
          <w:tcPr>
            <w:tcW w:type="dxa" w:w="1872"/>
            <w:tcMar>
              <w:left w:type="dxa" w:w="80"/>
              <w:right w:type="dxa" w:w="80"/>
            </w:tcMar>
          </w:tcPr>
          <w:p>
            <w:pPr>
              <w:pStyle w:val="Compact"/>
            </w:pPr>
            <w:r>
              <w:rPr>
                <w:sz w:val="19"/>
                <w:szCs w:val="19"/>
                <w:lang w:val="pt-PT"/>
              </w:rPr>
              <w:t xml:space="preserve">Roteamento nos EUA possível</w:t>
            </w:r>
          </w:p>
        </w:tc>
        <w:tc>
          <w:tcPr>
            <w:tcW w:type="dxa" w:w="1872"/>
            <w:tcMar>
              <w:left w:type="dxa" w:w="80"/>
              <w:right w:type="dxa" w:w="80"/>
            </w:tcMar>
          </w:tcPr>
          <w:p>
            <w:pPr>
              <w:pStyle w:val="Compact"/>
            </w:pPr>
            <w:r>
              <w:rPr>
                <w:sz w:val="19"/>
                <w:szCs w:val="19"/>
                <w:lang w:val="pt-PT"/>
              </w:rPr>
              <w:t xml:space="preserve">Sim - </w:t>
            </w:r>
            <w:r>
              <w:rPr>
                <w:sz w:val="19"/>
                <w:szCs w:val="19"/>
                <w:lang w:val="pt-PT"/>
              </w:rPr>
              <w:t xml:space="preserve"/>
            </w:r>
            <w:r>
              <w:rPr>
                <w:b/>
                <w:bCs/>
                <w:sz w:val="19"/>
                <w:szCs w:val="19"/>
                <w:lang w:val="pt-PT"/>
              </w:rPr>
              <w:t xml:space="preserve">evitável </w:t>
            </w:r>
            <w:r>
              <w:rPr>
                <w:sz w:val="19"/>
                <w:szCs w:val="19"/>
                <w:lang w:val="pt-PT"/>
              </w:rPr>
              <w:t xml:space="preserve"/>
            </w:r>
            <w:r>
              <w:rPr>
                <w:sz w:val="19"/>
                <w:szCs w:val="19"/>
                <w:lang w:val="pt-PT"/>
              </w:rPr>
              <w:t xml:space="preserve">(percurso ignorável, perfil rigoroso da UE)</w:t>
            </w:r>
          </w:p>
        </w:tc>
      </w:tr>
      <w:tr>
        <w:trPr>
          <w:cantSplit/>
        </w:trPr>
        <w:tc>
          <w:tcPr>
            <w:tcW w:type="dxa" w:w="1872"/>
            <w:tcMar>
              <w:left w:type="dxa" w:w="80"/>
              <w:right w:type="dxa" w:w="80"/>
            </w:tcMar>
          </w:tcPr>
          <w:p>
            <w:pPr>
              <w:pStyle w:val="Compact"/>
            </w:pPr>
            <w:r>
              <w:rPr>
                <w:b/>
                <w:bCs/>
                <w:sz w:val="19"/>
                <w:szCs w:val="19"/>
                <w:lang w:val="pt-PT"/>
              </w:rPr>
              <w:t xml:space="preserve">Por organização</w:t>
            </w:r>
          </w:p>
        </w:tc>
        <w:tc>
          <w:tcPr>
            <w:tcW w:type="dxa" w:w="1872"/>
            <w:tcMar>
              <w:left w:type="dxa" w:w="80"/>
              <w:right w:type="dxa" w:w="80"/>
            </w:tcMar>
          </w:tcPr>
          <w:p>
            <w:pPr>
              <w:pStyle w:val="Compact"/>
            </w:pPr>
            <w:r>
              <w:rPr>
                <w:sz w:val="19"/>
                <w:szCs w:val="19"/>
                <w:lang w:val="pt-PT"/>
              </w:rPr>
              <w:t xml:space="preserve">Sua escolha (desde v1.7.0)</w:t>
            </w:r>
          </w:p>
        </w:tc>
        <w:tc>
          <w:tcPr>
            <w:tcW w:type="dxa" w:w="1872"/>
            <w:tcMar>
              <w:left w:type="dxa" w:w="80"/>
              <w:right w:type="dxa" w:w="80"/>
            </w:tcMar>
          </w:tcPr>
          <w:p>
            <w:pPr>
              <w:pStyle w:val="Compact"/>
            </w:pPr>
            <w:r>
              <w:rPr>
                <w:sz w:val="19"/>
                <w:szCs w:val="19"/>
                <w:lang w:val="pt-PT"/>
              </w:rPr>
              <w:t xml:space="preserve">Provedor/endpoint definido pela organização, incluindo auto-hospedado</w:t>
            </w:r>
          </w:p>
        </w:tc>
        <w:tc>
          <w:tcPr>
            <w:tcW w:type="dxa" w:w="1872"/>
            <w:tcMar>
              <w:left w:type="dxa" w:w="80"/>
              <w:right w:type="dxa" w:w="80"/>
            </w:tcMar>
          </w:tcPr>
          <w:p>
            <w:pPr>
              <w:pStyle w:val="Compact"/>
            </w:pPr>
            <w:r>
              <w:rPr>
                <w:sz w:val="19"/>
                <w:szCs w:val="19"/>
                <w:lang w:val="pt-PT"/>
              </w:rPr>
              <w:t xml:space="preserve">De acordo com a escolha da organização</w:t>
            </w:r>
          </w:p>
        </w:tc>
        <w:tc>
          <w:tcPr>
            <w:tcW w:type="dxa" w:w="1872"/>
            <w:tcMar>
              <w:left w:type="dxa" w:w="80"/>
              <w:right w:type="dxa" w:w="80"/>
            </w:tcMar>
          </w:tcPr>
          <w:p>
            <w:pPr>
              <w:pStyle w:val="Compact"/>
            </w:pPr>
            <w:r>
              <w:rPr>
                <w:sz w:val="19"/>
                <w:szCs w:val="19"/>
                <w:lang w:val="pt-PT"/>
              </w:rPr>
              <w:t xml:space="preserve">Dependendo da escolha</w:t>
            </w:r>
          </w:p>
        </w:tc>
      </w:tr>
    </w:tbl>
    <w:p>
      <w:pPr>
        <w:pStyle w:val="BlockText"/>
      </w:pPr>
      <w:r>
        <w:rPr>
          <w:b/>
          <w:bCs/>
          <w:lang w:val="pt-PT"/>
        </w:rPr>
        <w:t xml:space="preserve">[A SER </w:t>
      </w:r>
      <w:r>
        <w:rPr>
          <w:lang w:val="pt-PT"/>
        </w:rPr>
        <w:t xml:space="preserve">CONFIRMADO]: </w:t>
      </w:r>
      <w:r>
        <w:rPr>
          <w:lang w:val="pt-PT"/>
        </w:rPr>
        <w:t xml:space="preserve">as versões exatas dos modelos de pesos abertos (Qwen 3.6 / Mistral) são fixadas na contratualização. Os fornecedores efetivamente ativados para o Cliente estão listados no Anexo 2 do DPA e sujeitos ao procedimento de alteração (§7).</w:t>
      </w:r>
    </w:p>
    <w:bookmarkEnd w:id="112"/>
    <w:bookmarkStart w:id="113" w:name="X2613d757ec50592d19a7869d075b43d140a05e4"/>
    <w:p>
      <w:pPr>
        <w:pStyle w:val="Heading3"/>
        <w:keepNext/>
        <w:keepLines/>
      </w:pPr>
      <w:r>
        <w:rPr>
          <w:color w:val="000000"/>
          <w:lang w:val="pt-PT"/>
        </w:rPr>
        <w:t xml:space="preserve">2.2 Transcrição e diarização</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Tratamento</w:t>
            </w:r>
          </w:p>
        </w:tc>
        <w:tc>
          <w:tcPr/>
          <w:p>
            <w:pPr>
              <w:pStyle w:val="Compact"/>
            </w:pPr>
            <w:r>
              <w:rPr>
                <w:lang w:val="pt-PT"/>
              </w:rPr>
              <w:t xml:space="preserve">Tecnologia</w:t>
            </w:r>
          </w:p>
        </w:tc>
        <w:tc>
          <w:tcPr/>
          <w:p>
            <w:pPr>
              <w:pStyle w:val="Compact"/>
            </w:pPr>
            <w:r>
              <w:rPr>
                <w:lang w:val="pt-PT"/>
              </w:rPr>
              <w:t xml:space="preserve">Execução</w:t>
            </w:r>
          </w:p>
        </w:tc>
      </w:tr>
      <w:tr>
        <w:trPr>
          <w:cantSplit/>
        </w:trPr>
        <w:tc>
          <w:tcPr/>
          <w:p>
            <w:pPr>
              <w:pStyle w:val="Compact"/>
            </w:pPr>
            <w:r>
              <w:rPr>
                <w:lang w:val="pt-PT"/>
              </w:rPr>
              <w:t xml:space="preserve">Transcrição</w:t>
            </w:r>
          </w:p>
        </w:tc>
        <w:tc>
          <w:tcPr/>
          <w:p>
            <w:pPr>
              <w:pStyle w:val="Compact"/>
            </w:pPr>
            <w:r>
              <w:rPr>
                <w:lang w:val="pt-PT"/>
              </w:rPr>
              <w:t xml:space="preserve">whisperX</w:t>
            </w:r>
          </w:p>
        </w:tc>
        <w:tc>
          <w:tcPr/>
          <w:p>
            <w:pPr>
              <w:pStyle w:val="Compact"/>
            </w:pPr>
            <w:r>
              <w:rPr>
                <w:lang w:val="pt-PT"/>
              </w:rPr>
              <w:t xml:space="preserve">Servidor GPU dedicado (UE quando necessário) ou GPU local (Opção B)</w:t>
            </w:r>
          </w:p>
        </w:tc>
      </w:tr>
      <w:tr>
        <w:trPr>
          <w:cantSplit/>
        </w:trPr>
        <w:tc>
          <w:tcPr/>
          <w:p>
            <w:pPr>
              <w:pStyle w:val="Compact"/>
            </w:pPr>
            <w:r>
              <w:rPr>
                <w:lang w:val="pt-PT"/>
              </w:rPr>
              <w:t xml:space="preserve">Diarização posicional</w:t>
            </w:r>
          </w:p>
        </w:tc>
        <w:tc>
          <w:tcPr/>
          <w:p>
            <w:pPr>
              <w:pStyle w:val="Compact"/>
            </w:pPr>
            <w:r>
              <w:rPr>
                <w:lang w:val="pt-PT"/>
              </w:rPr>
              <w:t xml:space="preserve">pyannote.audio</w:t>
            </w:r>
          </w:p>
        </w:tc>
        <w:tc>
          <w:tcPr/>
          <w:p>
            <w:pPr>
              <w:pStyle w:val="Compact"/>
            </w:pPr>
            <w:r>
              <w:rPr>
                <w:lang w:val="pt-PT"/>
              </w:rPr>
              <w:t xml:space="preserve">Igual</w:t>
            </w:r>
          </w:p>
        </w:tc>
      </w:tr>
    </w:tbl>
    <w:bookmarkEnd w:id="113"/>
    <w:bookmarkStart w:id="114" w:name="Xc42de4c5fcd87d5ce39d074dc24454af63f0e5d"/>
    <w:p>
      <w:pPr>
        <w:pStyle w:val="Heading3"/>
        <w:keepNext/>
        <w:keepLines/>
      </w:pPr>
      <w:r>
        <w:rPr>
          <w:color w:val="000000"/>
          <w:lang w:val="pt-PT"/>
        </w:rPr>
        <w:t xml:space="preserve">2.3 Configuração LLM por organização (desde v1.7.0)</w:t>
      </w:r>
    </w:p>
    <w:p>
      <w:pPr>
        <w:pStyle w:val="FirstParagraph"/>
      </w:pPr>
      <w:r>
        <w:rPr>
          <w:lang w:val="pt-PT"/>
        </w:rPr>
        <w:t xml:space="preserve">Cada organização pode definir o seu próprio fornecedor, a sua chave, o seu modelo e, quando aplicável, </w:t>
      </w:r>
      <w:r>
        <w:rPr>
          <w:lang w:val="pt-PT"/>
        </w:rPr>
        <w:t xml:space="preserve"/>
      </w:r>
      <w:r>
        <w:rPr>
          <w:b/>
          <w:bCs/>
          <w:lang w:val="pt-PT"/>
        </w:rPr>
        <w:t xml:space="preserve">um URL </w:t>
      </w:r>
      <w:r>
        <w:rPr>
          <w:lang w:val="pt-PT"/>
        </w:rPr>
        <w:t xml:space="preserve">autoalojado. O comportamento </w:t>
      </w:r>
      <w:r>
        <w:rPr>
          <w:lang w:val="pt-PT"/>
        </w:rPr>
        <w:t xml:space="preserve"/>
      </w:r>
      <w:r>
        <w:rPr>
          <w:b/>
          <w:bCs/>
          <w:lang w:val="pt-PT"/>
        </w:rPr>
        <w:t xml:space="preserve">é fail-closed: </w:t>
      </w:r>
      <w:r>
        <w:rPr>
          <w:lang w:val="pt-PT"/>
        </w:rPr>
        <w:t xml:space="preserve"/>
      </w:r>
      <w:r>
        <w:rPr>
          <w:lang w:val="pt-PT"/>
        </w:rPr>
        <w:t xml:space="preserve">uma organização com configurações próprias nunca utiliza </w:t>
      </w:r>
      <w:r>
        <w:rPr>
          <w:lang w:val="pt-PT"/>
        </w:rPr>
        <w:t xml:space="preserve"/>
      </w:r>
      <w:r>
        <w:rPr>
          <w:b/>
          <w:bCs/>
          <w:lang w:val="pt-PT"/>
        </w:rPr>
        <w:t xml:space="preserve">as </w:t>
      </w:r>
      <w:r>
        <w:rPr>
          <w:lang w:val="pt-PT"/>
        </w:rPr>
        <w:t xml:space="preserve"/>
      </w:r>
      <w:r>
        <w:rPr>
          <w:lang w:val="pt-PT"/>
        </w:rPr>
        <w:t xml:space="preserve">configurações da plataforma. As chaves estão isoladas, cifradas na base de dados e nunca voltam a ser apresentadas. Os endpoints autoalojados estão protegidos </w:t>
      </w:r>
      <w:r>
        <w:rPr>
          <w:lang w:val="pt-PT"/>
        </w:rPr>
        <w:t xml:space="preserve"/>
      </w:r>
      <w:r>
        <w:rPr>
          <w:b/>
          <w:bCs/>
          <w:lang w:val="pt-PT"/>
        </w:rPr>
        <w:t xml:space="preserve">contra </w:t>
      </w:r>
      <w:r>
        <w:rPr>
          <w:lang w:val="pt-PT"/>
        </w:rPr>
        <w:t xml:space="preserve"/>
      </w:r>
      <w:r>
        <w:rPr>
          <w:lang w:val="pt-PT"/>
        </w:rPr>
        <w:t xml:space="preserve">SSRF (validação de IP público, fixação de DNS, bloqueio de IP privados e endereços de metadados).</w:t>
      </w:r>
    </w:p>
    <w:p>
      <w:pPr>
        <w:pStyle w:val="BodyText"/>
      </w:pPr>
      <w:r>
        <w:rPr>
          <w:lang w:val="pt-PT"/>
        </w:rPr>
        <w:t xml:space="preserve">Esta funcionalidade permite </w:t>
      </w:r>
      <w:r>
        <w:rPr>
          <w:lang w:val="pt-PT"/>
        </w:rPr>
        <w:t xml:space="preserve">o </w:t>
      </w:r>
      <w:r>
        <w:rPr>
          <w:b/>
          <w:bCs/>
          <w:lang w:val="pt-PT"/>
        </w:rPr>
        <w:t xml:space="preserve">perfil “UE estrito” </w:t>
      </w:r>
      <w:r>
        <w:rPr>
          <w:lang w:val="pt-PT"/>
        </w:rPr>
        <w:t xml:space="preserve"/>
      </w:r>
      <w:r>
        <w:rPr>
          <w:lang w:val="pt-PT"/>
        </w:rPr>
        <w:t xml:space="preserve">(UE ou LLM auto-hospedado) e, na Opção B isolada, operação sem </w:t>
      </w:r>
      <w:r>
        <w:rPr>
          <w:lang w:val="pt-PT"/>
        </w:rPr>
        <w:t xml:space="preserve"/>
      </w:r>
      <w:r>
        <w:rPr>
          <w:b/>
          <w:bCs/>
          <w:lang w:val="pt-PT"/>
        </w:rPr>
        <w:t xml:space="preserve">qualquer fluxo de saída de </w:t>
      </w:r>
      <w:r>
        <w:rPr>
          <w:lang w:val="pt-PT"/>
        </w:rPr>
        <w:t xml:space="preserve">IA.</w:t>
      </w:r>
    </w:p>
    <w:bookmarkEnd w:id="114"/>
    <w:bookmarkEnd w:id="115"/>
    <w:bookmarkStart w:id="116" w:name="X8cea14ac9afff7602f802dbdf16848ddab328ca"/>
    <w:p>
      <w:pPr>
        <w:pStyle w:val="Heading2"/>
        <w:keepNext/>
        <w:keepLines/>
      </w:pPr>
      <w:r>
        <w:rPr>
          <w:color w:val="000000"/>
          <w:lang w:val="pt-PT"/>
        </w:rPr>
        <w:t xml:space="preserve">3. Dados transmitidos a cada fornecedor</w:t>
      </w:r>
    </w:p>
    <w:p>
      <w:pPr>
        <w:pStyle w:val="Compact"/>
        <w:numPr>
          <w:ilvl w:val="0"/>
          <w:numId w:val="1026"/>
        </w:numPr>
      </w:pPr>
      <w:r>
        <w:rPr>
          <w:lang w:val="pt-PT"/>
        </w:rPr>
        <w:t xml:space="preserve">Os dados transmitidos ao LLM </w:t>
      </w:r>
      <w:r>
        <w:rPr>
          <w:lang w:val="pt-PT"/>
        </w:rPr>
        <w:t xml:space="preserve">são </w:t>
      </w:r>
      <w:r>
        <w:rPr>
          <w:b/>
          <w:bCs/>
          <w:lang w:val="pt-PT"/>
        </w:rPr>
        <w:t xml:space="preserve">apenas as fontes selecionadas pelo utilizador: </w:t>
      </w:r>
      <w:r>
        <w:rPr>
          <w:lang w:val="pt-PT"/>
        </w:rPr>
        <w:t xml:space="preserve"/>
      </w:r>
      <w:r>
        <w:rPr>
          <w:lang w:val="pt-PT"/>
        </w:rPr>
        <w:t xml:space="preserve">transcrições, documentos, votos, metadados, dependendo da função acionada.</w:t>
      </w:r>
    </w:p>
    <w:p>
      <w:pPr>
        <w:pStyle w:val="Compact"/>
        <w:numPr>
          <w:ilvl w:val="0"/>
          <w:numId w:val="1026"/>
        </w:numPr>
      </w:pPr>
      <w:r>
        <w:rPr>
          <w:b/>
          <w:bCs/>
          <w:lang w:val="pt-PT"/>
        </w:rPr>
        <w:t xml:space="preserve">Minimização: </w:t>
      </w:r>
      <w:r>
        <w:rPr>
          <w:lang w:val="pt-PT"/>
        </w:rPr>
        <w:t xml:space="preserve"/>
      </w:r>
      <w:r>
        <w:rPr>
          <w:lang w:val="pt-PT"/>
        </w:rPr>
        <w:t xml:space="preserve">apenas as fontes necessárias para a função são incluídas no prompt.</w:t>
      </w:r>
    </w:p>
    <w:p>
      <w:pPr>
        <w:pStyle w:val="Compact"/>
        <w:numPr>
          <w:ilvl w:val="0"/>
          <w:numId w:val="1026"/>
        </w:numPr>
      </w:pPr>
      <w:r>
        <w:rPr>
          <w:lang w:val="pt-PT"/>
        </w:rPr>
        <w:t xml:space="preserve">No </w:t>
      </w:r>
      <w:r>
        <w:rPr>
          <w:lang w:val="pt-PT"/>
        </w:rPr>
        <w:t xml:space="preserve">canal </w:t>
      </w:r>
      <w:r>
        <w:rPr>
          <w:b/>
          <w:bCs/>
          <w:lang w:val="pt-PT"/>
        </w:rPr>
        <w:t xml:space="preserve">primário (EU vLLM), os </w:t>
      </w:r>
      <w:r>
        <w:rPr>
          <w:lang w:val="pt-PT"/>
        </w:rPr>
        <w:t xml:space="preserve">dados não saem dos servidores controlados por OHADJA (ou da infraestrutura do Cliente): </w:t>
      </w:r>
      <w:r>
        <w:rPr>
          <w:lang w:val="pt-PT"/>
        </w:rPr>
        <w:t xml:space="preserve"/>
      </w:r>
      <w:r>
        <w:rPr>
          <w:b/>
          <w:bCs/>
          <w:lang w:val="pt-PT"/>
        </w:rPr>
        <w:t xml:space="preserve">nenhum terceiro </w:t>
      </w:r>
      <w:r>
        <w:rPr>
          <w:lang w:val="pt-PT"/>
        </w:rPr>
        <w:t xml:space="preserve"/>
      </w:r>
      <w:r>
        <w:rPr>
          <w:lang w:val="pt-PT"/>
        </w:rPr>
        <w:t xml:space="preserve">os acessa.</w:t>
      </w:r>
    </w:p>
    <w:p>
      <w:pPr>
        <w:pStyle w:val="Compact"/>
        <w:numPr>
          <w:ilvl w:val="0"/>
          <w:numId w:val="1026"/>
        </w:numPr>
      </w:pPr>
      <w:r>
        <w:rPr>
          <w:lang w:val="pt-PT"/>
        </w:rPr>
        <w:t xml:space="preserve">As </w:t>
      </w:r>
      <w:r>
        <w:rPr>
          <w:lang w:val="pt-PT"/>
        </w:rPr>
        <w:t xml:space="preserve"/>
      </w:r>
      <w:r>
        <w:rPr>
          <w:b/>
          <w:bCs/>
          <w:lang w:val="pt-PT"/>
        </w:rPr>
        <w:t xml:space="preserve">saídas </w:t>
      </w:r>
      <w:r>
        <w:rPr>
          <w:lang w:val="pt-PT"/>
        </w:rPr>
        <w:t xml:space="preserve"/>
      </w:r>
      <w:r>
        <w:rPr>
          <w:lang w:val="pt-PT"/>
        </w:rPr>
        <w:t xml:space="preserve">geradas são mantidas no locatário (tabela </w:t>
      </w:r>
      <w:r>
        <w:rPr>
          <w:lang w:val="pt-PT"/>
        </w:rPr>
        <w:t xml:space="preserve"/>
      </w:r>
      <w:r>
        <w:rPr>
          <w:rStyle w:val="VerbatimChar"/>
          <w:lang w:val="pt-PT"/>
        </w:rPr>
        <w:t xml:space="preserve">ai_generations</w:t>
      </w:r>
      <w:r>
        <w:rPr>
          <w:lang w:val="pt-PT"/>
        </w:rPr>
        <w:t xml:space="preserve">), editáveis e sujeitas à validação humana.</w:t>
      </w:r>
    </w:p>
    <w:p>
      <w:pPr>
        <w:pStyle w:val="Compact"/>
        <w:numPr>
          <w:ilvl w:val="0"/>
          <w:numId w:val="1026"/>
        </w:numPr>
      </w:pPr>
      <w:r>
        <w:rPr>
          <w:lang w:val="pt-PT"/>
        </w:rPr>
        <w:t xml:space="preserve">Nenhum envio de dados para o LLM ocorre sem a ação do utilizador.</w:t>
      </w:r>
    </w:p>
    <w:bookmarkEnd w:id="116"/>
    <w:bookmarkStart w:id="117" w:name="X7e25c68b99894fac1e98cdb2271b9848e9f6f11"/>
    <w:p>
      <w:pPr>
        <w:pStyle w:val="Heading2"/>
        <w:keepNext/>
        <w:keepLines/>
      </w:pPr>
      <w:r>
        <w:rPr>
          <w:color w:val="000000"/>
          <w:lang w:val="pt-PT"/>
        </w:rPr>
        <w:t xml:space="preserve">4. Períodos de retenção do fornecedor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Rota/provedor</w:t>
            </w:r>
          </w:p>
        </w:tc>
        <w:tc>
          <w:tcPr/>
          <w:p>
            <w:pPr>
              <w:pStyle w:val="Compact"/>
            </w:pPr>
            <w:r>
              <w:rPr>
                <w:lang w:val="pt-PT"/>
              </w:rPr>
              <w:t xml:space="preserve">Retenção do fornecedor</w:t>
            </w:r>
          </w:p>
        </w:tc>
        <w:tc>
          <w:tcPr/>
          <w:p>
            <w:pPr>
              <w:pStyle w:val="Compact"/>
            </w:pPr>
            <w:r>
              <w:rPr>
                <w:lang w:val="pt-PT"/>
              </w:rPr>
              <w:t xml:space="preserve">Treino</w:t>
            </w:r>
          </w:p>
        </w:tc>
      </w:tr>
      <w:tr>
        <w:trPr>
          <w:cantSplit/>
        </w:trPr>
        <w:tc>
          <w:tcPr/>
          <w:p>
            <w:pPr>
              <w:pStyle w:val="Compact"/>
            </w:pPr>
            <w:r>
              <w:rPr>
                <w:b/>
                <w:bCs/>
                <w:lang w:val="pt-PT"/>
              </w:rPr>
              <w:t xml:space="preserve">Servidores vLLM controlados (canal primário, UE)</w:t>
            </w:r>
          </w:p>
        </w:tc>
        <w:tc>
          <w:tcPr/>
          <w:p>
            <w:pPr>
              <w:pStyle w:val="Compact"/>
            </w:pPr>
            <w:r>
              <w:rPr>
                <w:lang w:val="pt-PT"/>
              </w:rPr>
              <w:t xml:space="preserve">Nenhuma transmissão a terceiros; sem conservação externa</w:t>
            </w:r>
          </w:p>
        </w:tc>
        <w:tc>
          <w:tcPr/>
          <w:p>
            <w:pPr>
              <w:pStyle w:val="Compact"/>
            </w:pPr>
            <w:r>
              <w:rPr>
                <w:lang w:val="pt-PT"/>
              </w:rPr>
              <w:t xml:space="preserve">Não</w:t>
            </w:r>
          </w:p>
        </w:tc>
      </w:tr>
      <w:tr>
        <w:trPr>
          <w:cantSplit/>
        </w:trPr>
        <w:tc>
          <w:tcPr/>
          <w:p>
            <w:pPr>
              <w:pStyle w:val="Compact"/>
            </w:pPr>
            <w:r>
              <w:rPr>
                <w:lang w:val="pt-PT"/>
              </w:rPr>
              <w:t xml:space="preserve">OpenRouter (rota de fuga)</w:t>
            </w:r>
          </w:p>
        </w:tc>
        <w:tc>
          <w:tcPr/>
          <w:p>
            <w:pPr>
              <w:pStyle w:val="Compact"/>
            </w:pPr>
            <w:r>
              <w:rPr>
                <w:lang w:val="pt-PT"/>
              </w:rPr>
              <w:t xml:space="preserve">Sem armazenamento duradouro; sem treino («no-train») ativado</w:t>
            </w:r>
          </w:p>
        </w:tc>
        <w:tc>
          <w:tcPr/>
          <w:p>
            <w:pPr>
              <w:pStyle w:val="Compact"/>
            </w:pPr>
            <w:r>
              <w:rPr>
                <w:lang w:val="pt-PT"/>
              </w:rPr>
              <w:t xml:space="preserve">Não</w:t>
            </w:r>
          </w:p>
        </w:tc>
      </w:tr>
      <w:tr>
        <w:trPr>
          <w:cantSplit/>
        </w:trPr>
        <w:tc>
          <w:tcPr/>
          <w:p>
            <w:pPr>
              <w:pStyle w:val="Compact"/>
            </w:pPr>
            <w:r>
              <w:rPr>
                <w:lang w:val="pt-PT"/>
              </w:rPr>
              <w:t xml:space="preserve">Anthropic / OpenAI (via resgate)</w:t>
            </w:r>
          </w:p>
        </w:tc>
        <w:tc>
          <w:tcPr/>
          <w:p>
            <w:pPr>
              <w:pStyle w:val="Compact"/>
            </w:pPr>
            <w:r>
              <w:rPr>
                <w:lang w:val="pt-PT"/>
              </w:rPr>
              <w:t xml:space="preserve">De acordo com o fornecedor DPA – retenção limitada</w:t>
            </w:r>
          </w:p>
        </w:tc>
        <w:tc>
          <w:tcPr/>
          <w:p>
            <w:pPr>
              <w:pStyle w:val="Compact"/>
            </w:pPr>
            <w:r>
              <w:rPr>
                <w:lang w:val="pt-PT"/>
              </w:rPr>
              <w:t xml:space="preserve">Não (sem treino («no-train»))</w:t>
            </w:r>
          </w:p>
        </w:tc>
      </w:tr>
      <w:tr>
        <w:trPr>
          <w:cantSplit/>
        </w:trPr>
        <w:tc>
          <w:tcPr/>
          <w:p>
            <w:pPr>
              <w:pStyle w:val="Compact"/>
            </w:pPr>
            <w:r>
              <w:rPr>
                <w:lang w:val="pt-PT"/>
              </w:rPr>
              <w:t xml:space="preserve">LLM auto-hospedado (por organização)</w:t>
            </w:r>
          </w:p>
        </w:tc>
        <w:tc>
          <w:tcPr/>
          <w:p>
            <w:pPr>
              <w:pStyle w:val="Compact"/>
            </w:pPr>
            <w:r>
              <w:rPr>
                <w:lang w:val="pt-PT"/>
              </w:rPr>
              <w:t xml:space="preserve">De acordo com a política do Cliente (endpoint sob seu controlo)</w:t>
            </w:r>
          </w:p>
        </w:tc>
        <w:tc>
          <w:tcPr/>
          <w:p>
            <w:pPr>
              <w:pStyle w:val="Compact"/>
            </w:pPr>
            <w:r>
              <w:rPr>
                <w:lang w:val="pt-PT"/>
              </w:rPr>
              <w:t xml:space="preserve">De acordo com o cliente</w:t>
            </w:r>
          </w:p>
        </w:tc>
      </w:tr>
    </w:tbl>
    <w:p>
      <w:pPr>
        <w:pStyle w:val="BlockText"/>
      </w:pPr>
      <w:r>
        <w:rPr>
          <w:b/>
          <w:bCs/>
          <w:lang w:val="pt-PT"/>
        </w:rPr>
        <w:t xml:space="preserve">[A SER PREENCHIDO pelo fornecedor]: </w:t>
      </w:r>
      <w:r>
        <w:rPr>
          <w:lang w:val="pt-PT"/>
        </w:rPr>
        <w:t xml:space="preserve"/>
      </w:r>
      <w:r>
        <w:rPr>
          <w:lang w:val="pt-PT"/>
        </w:rPr>
        <w:t xml:space="preserve">os períodos exatos de retenção no lado Anthropic e OpenAI (somente rota de emergência) são definidos por seus respectivos DPAs (retenção transitória para abuso/segurança, sem treino («no-train»)). A ser especificado fornecedor por fornecedor antes da contratação.</w:t>
      </w:r>
    </w:p>
    <w:bookmarkEnd w:id="117"/>
    <w:bookmarkStart w:id="118" w:name="X76a0388a0a75e5cd732825608b5174151bb52b1"/>
    <w:p>
      <w:pPr>
        <w:pStyle w:val="Heading2"/>
        <w:keepNext/>
        <w:keepLines/>
      </w:pPr>
      <w:r>
        <w:rPr>
          <w:color w:val="000000"/>
          <w:lang w:val="pt-PT"/>
        </w:rPr>
        <w:t xml:space="preserve">5. Possível acesso humano</w:t>
      </w:r>
    </w:p>
    <w:p>
      <w:pPr>
        <w:pStyle w:val="Compact"/>
        <w:numPr>
          <w:ilvl w:val="0"/>
          <w:numId w:val="1027"/>
        </w:numPr>
      </w:pPr>
      <w:r>
        <w:rPr>
          <w:b/>
          <w:bCs/>
          <w:lang w:val="pt-PT"/>
        </w:rPr>
        <w:t xml:space="preserve">Lado OHADJA: </w:t>
      </w:r>
      <w:r>
        <w:rPr>
          <w:lang w:val="pt-PT"/>
        </w:rPr>
        <w:t xml:space="preserve"/>
      </w:r>
      <w:r>
        <w:rPr>
          <w:lang w:val="pt-PT"/>
        </w:rPr>
        <w:t xml:space="preserve"/>
      </w:r>
      <w:r>
        <w:rPr>
          <w:lang w:val="pt-PT"/>
        </w:rPr>
        <w:t xml:space="preserve"/>
      </w:r>
      <w:r>
        <w:rPr>
          <w:b/>
          <w:bCs/>
          <w:lang w:val="pt-PT"/>
        </w:rPr>
        <w:t xml:space="preserve">sem </w:t>
      </w:r>
      <w:r>
        <w:rPr>
          <w:lang w:val="pt-PT"/>
        </w:rPr>
        <w:t xml:space="preserve"/>
      </w:r>
      <w:r>
        <w:rPr>
          <w:lang w:val="pt-PT"/>
        </w:rPr>
        <w:t xml:space="preserve">acesso humano aos prompts. Os prompts são criados e transmitidos automaticamente pelo aplicativo.</w:t>
      </w:r>
    </w:p>
    <w:p>
      <w:pPr>
        <w:pStyle w:val="Compact"/>
        <w:numPr>
          <w:ilvl w:val="0"/>
          <w:numId w:val="1027"/>
        </w:numPr>
      </w:pPr>
      <w:r>
        <w:rPr>
          <w:b/>
          <w:bCs/>
          <w:lang w:val="pt-PT"/>
        </w:rPr>
        <w:t xml:space="preserve">Lado do fornecedor: </w:t>
      </w:r>
      <w:r>
        <w:rPr>
          <w:lang w:val="pt-PT"/>
        </w:rPr>
        <w:t xml:space="preserve"/>
      </w:r>
      <w:r>
        <w:rPr>
          <w:lang w:val="pt-PT"/>
        </w:rPr>
        <w:t xml:space="preserve">regulamentado pela DPA do fornecedor (acesso limitado para fins de segurança/abuso, sem treino).</w:t>
      </w:r>
    </w:p>
    <w:bookmarkEnd w:id="118"/>
    <w:bookmarkStart w:id="119" w:name="X2d6d1fb352eec63ee42824fb7c8bbef9df44f01"/>
    <w:p>
      <w:pPr>
        <w:pStyle w:val="Heading2"/>
        <w:keepNext/>
        <w:keepLines/>
      </w:pPr>
      <w:r>
        <w:rPr>
          <w:color w:val="000000"/>
          <w:lang w:val="pt-PT"/>
        </w:rPr>
        <w:t xml:space="preserve">6. Garantias de não formação e não reutilização</w:t>
      </w:r>
    </w:p>
    <w:p>
      <w:pPr>
        <w:pStyle w:val="Compact"/>
        <w:numPr>
          <w:ilvl w:val="0"/>
          <w:numId w:val="1028"/>
        </w:numPr>
      </w:pPr>
      <w:r>
        <w:rPr>
          <w:b/>
          <w:bCs/>
          <w:lang w:val="pt-PT"/>
        </w:rPr>
        <w:t xml:space="preserve">Canal primário (EU </w:t>
      </w:r>
      <w:r>
        <w:rPr>
          <w:lang w:val="pt-PT"/>
        </w:rPr>
        <w:t xml:space="preserve">vLLM): </w:t>
      </w:r>
      <w:r>
        <w:rPr>
          <w:lang w:val="pt-PT"/>
        </w:rPr>
        <w:t xml:space="preserve">modelos </w:t>
      </w:r>
      <w:r>
        <w:rPr>
          <w:lang w:val="pt-PT"/>
        </w:rPr>
        <w:t xml:space="preserve"/>
      </w:r>
      <w:r>
        <w:rPr>
          <w:b/>
          <w:bCs/>
          <w:lang w:val="pt-PT"/>
        </w:rPr>
        <w:t xml:space="preserve">de peso </w:t>
      </w:r>
      <w:r>
        <w:rPr>
          <w:lang w:val="pt-PT"/>
        </w:rPr>
        <w:t xml:space="preserve"/>
      </w:r>
      <w:r>
        <w:rPr>
          <w:lang w:val="pt-PT"/>
        </w:rPr>
        <w:t xml:space="preserve">aberto executados em servidores controlados; Os prompts </w:t>
      </w:r>
      <w:r>
        <w:rPr>
          <w:lang w:val="pt-PT"/>
        </w:rPr>
        <w:t xml:space="preserve"/>
      </w:r>
      <w:r>
        <w:rPr>
          <w:b/>
          <w:bCs/>
          <w:lang w:val="pt-PT"/>
        </w:rPr>
        <w:t xml:space="preserve">não </w:t>
      </w:r>
      <w:r>
        <w:rPr>
          <w:lang w:val="pt-PT"/>
        </w:rPr>
        <w:t xml:space="preserve"/>
      </w:r>
      <w:r>
        <w:rPr>
          <w:lang w:val="pt-PT"/>
        </w:rPr>
        <w:t xml:space="preserve">são usados ​​para treinar modelos e não são repassados </w:t>
      </w:r>
      <w:r>
        <w:rPr>
          <w:lang w:val="pt-PT"/>
        </w:rPr>
        <w:t xml:space="preserve">​​a </w:t>
      </w:r>
      <w:r>
        <w:rPr>
          <w:b/>
          <w:bCs/>
          <w:lang w:val="pt-PT"/>
        </w:rPr>
        <w:t xml:space="preserve"/>
      </w:r>
      <w:r>
        <w:rPr>
          <w:lang w:val="pt-PT"/>
        </w:rPr>
        <w:t xml:space="preserve">terceiros.</w:t>
      </w:r>
    </w:p>
    <w:p>
      <w:pPr>
        <w:pStyle w:val="Compact"/>
        <w:numPr>
          <w:ilvl w:val="0"/>
          <w:numId w:val="1028"/>
        </w:numPr>
      </w:pPr>
      <w:r>
        <w:rPr>
          <w:b/>
          <w:bCs/>
          <w:lang w:val="pt-PT"/>
        </w:rPr>
        <w:t xml:space="preserve">Via de contingência: </w:t>
      </w:r>
      <w:r>
        <w:rPr>
          <w:lang w:val="pt-PT"/>
        </w:rPr>
        <w:t xml:space="preserve"/>
      </w:r>
      <w:r>
        <w:rPr>
          <w:lang w:val="pt-PT"/>
        </w:rPr>
        <w:t xml:space="preserve"/>
      </w:r>
      <w:r>
        <w:rPr>
          <w:lang w:val="pt-PT"/>
        </w:rPr>
        <w:t xml:space="preserve"/>
      </w:r>
      <w:r>
        <w:rPr>
          <w:b/>
          <w:bCs/>
          <w:lang w:val="pt-PT"/>
        </w:rPr>
        <w:t xml:space="preserve">sinalizador </w:t>
      </w:r>
      <w:r>
        <w:rPr>
          <w:lang w:val="pt-PT"/>
        </w:rPr>
        <w:t xml:space="preserve"/>
      </w:r>
      <w:r>
        <w:rPr>
          <w:lang w:val="pt-PT"/>
        </w:rPr>
        <w:t xml:space="preserve">no-train ativado na plataforma OpenRouter.</w:t>
      </w:r>
    </w:p>
    <w:p>
      <w:pPr>
        <w:pStyle w:val="Compact"/>
        <w:numPr>
          <w:ilvl w:val="0"/>
          <w:numId w:val="1028"/>
        </w:numPr>
      </w:pPr>
      <w:r>
        <w:rPr>
          <w:lang w:val="pt-PT"/>
        </w:rPr>
        <w:t xml:space="preserve">Compromisso contratual de não formação incluído no </w:t>
      </w:r>
      <w:r>
        <w:rPr>
          <w:lang w:val="pt-PT"/>
        </w:rPr>
        <w:t xml:space="preserve"/>
      </w:r>
      <w:r>
        <w:rPr>
          <w:b/>
          <w:bCs/>
          <w:lang w:val="pt-PT"/>
        </w:rPr>
        <w:t xml:space="preserve">DPA (Anexo 3 §8): </w:t>
      </w:r>
      <w:r>
        <w:rPr>
          <w:lang w:val="pt-PT"/>
        </w:rPr>
        <w:t xml:space="preserve"/>
      </w:r>
      <w:r>
        <w:rPr>
          <w:lang w:val="pt-PT"/>
        </w:rPr>
        <w:t xml:space="preserve">os dados transmitidos ao IA subcontratantes não são utilizados pelo OHADJA para treinar os seus próprios modelos, salvo instrução expressa e separada do Cliente.</w:t>
      </w:r>
    </w:p>
    <w:p>
      <w:pPr>
        <w:pStyle w:val="Compact"/>
        <w:numPr>
          <w:ilvl w:val="0"/>
          <w:numId w:val="1028"/>
        </w:numPr>
      </w:pPr>
      <w:r>
        <w:rPr>
          <w:lang w:val="pt-PT"/>
        </w:rPr>
        <w:t xml:space="preserve">Nenhuma reutilização de conteúdo para outros fins que não a execução da solicitação do Cliente.</w:t>
      </w:r>
    </w:p>
    <w:bookmarkEnd w:id="119"/>
    <w:bookmarkStart w:id="120" w:name="Xbbcbe0aef55d7b3e216a9333077b0de9e5a8f3f"/>
    <w:p>
      <w:pPr>
        <w:pStyle w:val="Heading2"/>
        <w:keepNext/>
        <w:keepLines/>
      </w:pPr>
      <w:r>
        <w:rPr>
          <w:color w:val="000000"/>
          <w:lang w:val="pt-PT"/>
        </w:rPr>
        <w:t xml:space="preserve">7. Modalidades de mudança de modelo/fornecedor</w:t>
      </w:r>
    </w:p>
    <w:p>
      <w:pPr>
        <w:pStyle w:val="Compact"/>
        <w:numPr>
          <w:ilvl w:val="0"/>
          <w:numId w:val="1029"/>
        </w:numPr>
      </w:pPr>
      <w:r>
        <w:rPr>
          <w:lang w:val="pt-PT"/>
        </w:rPr>
        <w:t xml:space="preserve">A mudança de modelo ou fornecedor pode ser feita pela </w:t>
      </w:r>
      <w:r>
        <w:rPr>
          <w:lang w:val="pt-PT"/>
        </w:rPr>
        <w:t xml:space="preserve"/>
      </w:r>
      <w:r>
        <w:rPr>
          <w:b/>
          <w:bCs/>
          <w:lang w:val="pt-PT"/>
        </w:rPr>
        <w:t xml:space="preserve">plataforma ou </w:t>
      </w:r>
      <w:r>
        <w:rPr>
          <w:lang w:val="pt-PT"/>
        </w:rPr>
        <w:t xml:space="preserve"/>
      </w:r>
      <w:r>
        <w:rPr>
          <w:lang w:val="pt-PT"/>
        </w:rPr>
        <w:t xml:space="preserve">pela </w:t>
      </w:r>
      <w:r>
        <w:rPr>
          <w:lang w:val="pt-PT"/>
        </w:rPr>
        <w:t xml:space="preserve"/>
      </w:r>
      <w:r>
        <w:rPr>
          <w:b/>
          <w:bCs/>
          <w:lang w:val="pt-PT"/>
        </w:rPr>
        <w:t xml:space="preserve">organização </w:t>
      </w:r>
      <w:r>
        <w:rPr>
          <w:lang w:val="pt-PT"/>
        </w:rPr>
        <w:t xml:space="preserve"/>
      </w:r>
      <w:r>
        <w:rPr>
          <w:lang w:val="pt-PT"/>
        </w:rPr>
        <w:t xml:space="preserve">(configuração do LLM por organização).</w:t>
      </w:r>
    </w:p>
    <w:p>
      <w:pPr>
        <w:pStyle w:val="Compact"/>
        <w:numPr>
          <w:ilvl w:val="0"/>
          <w:numId w:val="1029"/>
        </w:numPr>
      </w:pPr>
      <w:r>
        <w:rPr>
          <w:lang w:val="pt-PT"/>
        </w:rPr>
        <w:t xml:space="preserve">Qualquer </w:t>
      </w:r>
      <w:r>
        <w:rPr>
          <w:lang w:val="pt-PT"/>
        </w:rPr>
        <w:t xml:space="preserve"/>
      </w:r>
      <w:r>
        <w:rPr>
          <w:b/>
          <w:bCs/>
          <w:lang w:val="pt-PT"/>
        </w:rPr>
        <w:t xml:space="preserve">adição ou substituição </w:t>
      </w:r>
      <w:r>
        <w:rPr>
          <w:lang w:val="pt-PT"/>
        </w:rPr>
        <w:t xml:space="preserve"/>
      </w:r>
      <w:r>
        <w:rPr>
          <w:lang w:val="pt-PT"/>
        </w:rPr>
        <w:t xml:space="preserve">de fornecedor ao nível da plataforma está sujeita </w:t>
      </w:r>
      <w:r>
        <w:rPr>
          <w:lang w:val="pt-PT"/>
        </w:rPr>
        <w:t xml:space="preserve">a </w:t>
      </w:r>
      <w:r>
        <w:rPr>
          <w:b/>
          <w:bCs/>
          <w:lang w:val="pt-PT"/>
        </w:rPr>
        <w:t xml:space="preserve">aviso prévio de 30 dias + direito de oposição </w:t>
      </w:r>
      <w:r>
        <w:rPr>
          <w:lang w:val="pt-PT"/>
        </w:rPr>
        <w:t xml:space="preserve"/>
      </w:r>
      <w:r>
        <w:rPr>
          <w:lang w:val="pt-PT"/>
        </w:rPr>
        <w:t xml:space="preserve">do Cliente (DPA §6).</w:t>
      </w:r>
    </w:p>
    <w:p>
      <w:pPr>
        <w:pStyle w:val="Compact"/>
        <w:numPr>
          <w:ilvl w:val="0"/>
          <w:numId w:val="1029"/>
        </w:numPr>
      </w:pPr>
      <w:r>
        <w:rPr>
          <w:lang w:val="pt-PT"/>
        </w:rPr>
        <w:t xml:space="preserve">O Cliente pode, a qualquer </w:t>
      </w:r>
      <w:r>
        <w:rPr>
          <w:lang w:val="pt-PT"/>
        </w:rPr>
        <w:t xml:space="preserve"/>
      </w:r>
      <w:r>
        <w:rPr>
          <w:b/>
          <w:bCs/>
          <w:lang w:val="pt-PT"/>
        </w:rPr>
        <w:t xml:space="preserve">momento, escolher </w:t>
      </w:r>
      <w:r>
        <w:rPr>
          <w:lang w:val="pt-PT"/>
        </w:rPr>
        <w:t xml:space="preserve"/>
      </w:r>
      <w:r>
        <w:rPr>
          <w:lang w:val="pt-PT"/>
        </w:rPr>
        <w:t xml:space="preserve">seu próprio provedor via configuração por organização, incluindo um LLM auto-hospedado.</w:t>
      </w:r>
    </w:p>
    <w:bookmarkEnd w:id="120"/>
    <w:bookmarkStart w:id="121" w:name="Xd7f952ce444fe0cff542caac7e328f2beb9cd73"/>
    <w:p>
      <w:pPr>
        <w:pStyle w:val="Heading2"/>
        <w:keepNext/>
        <w:keepLines/>
      </w:pPr>
      <w:r>
        <w:rPr>
          <w:color w:val="000000"/>
          <w:lang w:val="pt-PT"/>
        </w:rPr>
        <w:t xml:space="preserve">8. Transparência de saída</w:t>
      </w:r>
    </w:p>
    <w:p>
      <w:pPr>
        <w:pStyle w:val="Compact"/>
        <w:numPr>
          <w:ilvl w:val="0"/>
          <w:numId w:val="1030"/>
        </w:numPr>
      </w:pPr>
      <w:r>
        <w:rPr>
          <w:lang w:val="pt-PT"/>
        </w:rPr>
        <w:t xml:space="preserve">As saídas de IA são </w:t>
      </w:r>
      <w:r>
        <w:rPr>
          <w:lang w:val="pt-PT"/>
        </w:rPr>
        <w:t xml:space="preserve"/>
      </w:r>
      <w:r>
        <w:rPr>
          <w:b/>
          <w:bCs/>
          <w:lang w:val="pt-PT"/>
        </w:rPr>
        <w:t xml:space="preserve">armazenadas no locatário </w:t>
      </w:r>
      <w:r>
        <w:rPr>
          <w:lang w:val="pt-PT"/>
        </w:rPr>
        <w:t xml:space="preserve"/>
      </w:r>
      <w:r>
        <w:rPr>
          <w:lang w:val="pt-PT"/>
        </w:rPr>
        <w:t xml:space="preserve">do Cliente.</w:t>
      </w:r>
    </w:p>
    <w:p>
      <w:pPr>
        <w:pStyle w:val="Compact"/>
        <w:numPr>
          <w:ilvl w:val="0"/>
          <w:numId w:val="1030"/>
        </w:numPr>
      </w:pPr>
      <w:r>
        <w:rPr>
          <w:lang w:val="pt-PT"/>
        </w:rPr>
        <w:t xml:space="preserve">Eles podem </w:t>
      </w:r>
      <w:r>
        <w:rPr>
          <w:lang w:val="pt-PT"/>
        </w:rPr>
        <w:t xml:space="preserve"/>
      </w:r>
      <w:r>
        <w:rPr>
          <w:b/>
          <w:bCs/>
          <w:lang w:val="pt-PT"/>
        </w:rPr>
        <w:t xml:space="preserve">ser editados </w:t>
      </w:r>
      <w:r>
        <w:rPr>
          <w:lang w:val="pt-PT"/>
        </w:rPr>
        <w:t xml:space="preserve"/>
      </w:r>
      <w:r>
        <w:rPr>
          <w:lang w:val="pt-PT"/>
        </w:rPr>
        <w:t xml:space="preserve">por utilizadores autorizados.</w:t>
      </w:r>
    </w:p>
    <w:p>
      <w:pPr>
        <w:pStyle w:val="Compact"/>
        <w:numPr>
          <w:ilvl w:val="0"/>
          <w:numId w:val="1030"/>
        </w:numPr>
      </w:pPr>
      <w:r>
        <w:rPr>
          <w:lang w:val="pt-PT"/>
        </w:rPr>
        <w:t xml:space="preserve">Eles estão sujeitos à </w:t>
      </w:r>
      <w:r>
        <w:rPr>
          <w:lang w:val="pt-PT"/>
        </w:rPr>
        <w:t xml:space="preserve"/>
      </w:r>
      <w:r>
        <w:rPr>
          <w:b/>
          <w:bCs/>
          <w:lang w:val="pt-PT"/>
        </w:rPr>
        <w:t xml:space="preserve">validação humana </w:t>
      </w:r>
      <w:r>
        <w:rPr>
          <w:lang w:val="pt-PT"/>
        </w:rPr>
        <w:t xml:space="preserve">antes </w:t>
      </w:r>
      <w:r>
        <w:rPr>
          <w:lang w:val="pt-PT"/>
        </w:rPr>
        <w:t xml:space="preserve">de serem retidos (em particular para sugestões de identificação de locutores, consulte OHA-RGPD-07).</w:t>
      </w:r>
    </w:p>
    <w:p>
      <w:pPr>
        <w:pStyle w:val="Compact"/>
        <w:numPr>
          <w:ilvl w:val="0"/>
          <w:numId w:val="1030"/>
        </w:numPr>
      </w:pPr>
      <w:r>
        <w:rPr>
          <w:lang w:val="pt-PT"/>
        </w:rPr>
        <w:t xml:space="preserve">Nenhuma decisão que produza efeitos jurídicos é tomada de forma totalmente automatizada pela plataforma.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21"/>
    <w:bookmarkEnd w:id="122"/>
    <w:bookmarkStart w:id="139" w:name="X60112580242ccd233cbd012b1ec70b56adebcf6"/>
    <w:p>
      <w:pPr>
        <w:pStyle w:val="Heading1"/>
        <w:keepNext/>
        <w:keepLines/>
      </w:pPr>
      <w:r>
        <w:rPr>
          <w:color w:val="000000"/>
          <w:lang w:val="pt-PT"/>
        </w:rPr>
        <w:t xml:space="preserve">Análise Nota Técnica RGPD — Identificação de Interveniente e Correlação de Voz</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OHA-RGPD-07</w:t>
            </w:r>
          </w:p>
        </w:tc>
      </w:tr>
      <w:tr>
        <w:trPr>
          <w:cantSplit/>
        </w:trPr>
        <w:tc>
          <w:tcPr/>
          <w:p>
            <w:pPr>
              <w:pStyle w:val="Compact"/>
            </w:pPr>
            <w:r>
              <w:rPr>
                <w:lang w:val="pt-PT"/>
              </w:rPr>
              <w:t xml:space="preserve">Objetivo</w:t>
            </w:r>
          </w:p>
        </w:tc>
        <w:tc>
          <w:tcPr/>
          <w:p>
            <w:pPr>
              <w:pStyle w:val="Compact"/>
            </w:pPr>
            <w:r>
              <w:rPr>
                <w:lang w:val="pt-PT"/>
              </w:rPr>
              <w:t xml:space="preserve">Análise RGPD de diarização, atribuição manual e correlação de voz efêmera</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23" w:name="sommaire"/>
    <w:p>
      <w:pPr>
        <w:pStyle w:val="Heading2"/>
        <w:keepNext/>
        <w:keepLines/>
      </w:pPr>
      <w:r>
        <w:rPr>
          <w:color w:val="000000"/>
          <w:lang w:val="pt-PT"/>
        </w:rPr>
        <w:t xml:space="preserve">Resumo</w:t>
      </w:r>
    </w:p>
    <w:p>
      <w:pPr>
        <w:pStyle w:val="Compact"/>
        <w:numPr>
          <w:ilvl w:val="0"/>
          <w:numId w:val="1031"/>
        </w:numPr>
      </w:pPr>
      <w:r>
        <w:rPr>
          <w:lang w:val="pt-PT"/>
        </w:rPr>
        <w:t xml:space="preserve">Contexto e funcionalidades em causa</w:t>
      </w:r>
    </w:p>
    <w:p>
      <w:pPr>
        <w:pStyle w:val="Compact"/>
        <w:numPr>
          <w:ilvl w:val="0"/>
          <w:numId w:val="1031"/>
        </w:numPr>
      </w:pPr>
      <w:r>
        <w:rPr>
          <w:lang w:val="pt-PT"/>
        </w:rPr>
        <w:t xml:space="preserve">Descrição técnica precisa</w:t>
      </w:r>
    </w:p>
    <w:p>
      <w:pPr>
        <w:pStyle w:val="Compact"/>
        <w:numPr>
          <w:ilvl w:val="0"/>
          <w:numId w:val="1031"/>
        </w:numPr>
      </w:pPr>
      <w:r>
        <w:rPr>
          <w:lang w:val="pt-PT"/>
        </w:rPr>
        <w:t xml:space="preserve">Análise jurídica (artigos 4.14 e 9 RGPD)</w:t>
      </w:r>
    </w:p>
    <w:p>
      <w:pPr>
        <w:pStyle w:val="Compact"/>
        <w:numPr>
          <w:ilvl w:val="0"/>
          <w:numId w:val="1031"/>
        </w:numPr>
      </w:pPr>
      <w:r>
        <w:rPr>
          <w:lang w:val="pt-PT"/>
        </w:rPr>
        <w:t xml:space="preserve">Estrutura implementada</w:t>
      </w:r>
    </w:p>
    <w:p>
      <w:pPr>
        <w:pStyle w:val="Compact"/>
        <w:numPr>
          <w:ilvl w:val="0"/>
          <w:numId w:val="1031"/>
        </w:numPr>
      </w:pPr>
      <w:r>
        <w:rPr>
          <w:lang w:val="pt-PT"/>
        </w:rPr>
        <w:t xml:space="preserve">Medidas técnicas e organizacionais dedicadas</w:t>
      </w:r>
    </w:p>
    <w:p>
      <w:pPr>
        <w:pStyle w:val="Compact"/>
        <w:numPr>
          <w:ilvl w:val="0"/>
          <w:numId w:val="1031"/>
        </w:numPr>
      </w:pPr>
      <w:r>
        <w:rPr>
          <w:lang w:val="pt-PT"/>
        </w:rPr>
        <w:t xml:space="preserve">Limitações e recomendações em responsável pelo tratamento</w:t>
      </w:r>
    </w:p>
    <w:p>
      <w:r>
        <w:pict>
          <v:rect style="width:0;height:1.5pt" o:hralign="center" o:hrstd="t" o:hr="t"/>
        </w:pict>
      </w:r>
    </w:p>
    <w:bookmarkEnd w:id="123"/>
    <w:bookmarkStart w:id="127" w:name="X2eef3329d32e5831a22b5ff6ee8d5d9ac74e61a"/>
    <w:p>
      <w:pPr>
        <w:pStyle w:val="Heading2"/>
        <w:keepNext/>
        <w:keepLines/>
      </w:pPr>
      <w:r>
        <w:rPr>
          <w:color w:val="000000"/>
          <w:lang w:val="pt-PT"/>
        </w:rPr>
        <w:t xml:space="preserve">1. Contexto e funcionalidades afetadas</w:t>
      </w:r>
    </w:p>
    <w:p>
      <w:pPr>
        <w:pStyle w:val="FirstParagraph"/>
      </w:pPr>
      <w:r>
        <w:rPr>
          <w:lang w:val="pt-PT"/>
        </w:rPr>
        <w:t xml:space="preserve">TranscribIA implementa a identificação de stakeholders por </w:t>
      </w:r>
      <w:r>
        <w:rPr>
          <w:lang w:val="pt-PT"/>
        </w:rPr>
        <w:t xml:space="preserve"/>
      </w:r>
      <w:r>
        <w:rPr>
          <w:b/>
          <w:bCs/>
          <w:lang w:val="pt-PT"/>
        </w:rPr>
        <w:t xml:space="preserve">meio de três processos </w:t>
      </w:r>
      <w:r>
        <w:rPr>
          <w:lang w:val="pt-PT"/>
        </w:rPr>
        <w:t xml:space="preserve">distintos, cuja estrutura RGPD difere. É essencial não confundi-los.</w:t>
      </w:r>
    </w:p>
    <w:bookmarkStart w:id="124" w:name="Xfc860c796c8e649ab4456ed892617adad2d30ce"/>
    <w:p>
      <w:pPr>
        <w:pStyle w:val="Heading3"/>
        <w:keepNext/>
        <w:keepLines/>
      </w:pPr>
      <w:r>
        <w:rPr>
          <w:color w:val="000000"/>
          <w:lang w:val="pt-PT"/>
        </w:rPr>
        <w:t xml:space="preserve">1.1 Diarização posicional automática</w:t>
      </w:r>
    </w:p>
    <w:p>
      <w:pPr>
        <w:pStyle w:val="FirstParagraph"/>
      </w:pPr>
      <w:r>
        <w:rPr>
          <w:lang w:val="pt-PT"/>
        </w:rPr>
        <w:t xml:space="preserve">Quando chega um ficheiro áudio, a diarização através de </w:t>
      </w:r>
      <w:r>
        <w:rPr>
          <w:lang w:val="pt-PT"/>
        </w:rPr>
        <w:t xml:space="preserve"/>
      </w:r>
      <w:r>
        <w:rPr>
          <w:rStyle w:val="VerbatimChar"/>
          <w:lang w:val="pt-PT"/>
        </w:rPr>
        <w:t xml:space="preserve">pyannote.audio</w:t>
      </w:r>
      <w:r>
        <w:rPr>
          <w:lang w:val="pt-PT"/>
        </w:rPr>
        <w:t xml:space="preserve"> </w:t>
      </w:r>
      <w:r>
        <w:rPr>
          <w:lang w:val="pt-PT"/>
        </w:rPr>
        <w:t xml:space="preserve">produz etiquetas </w:t>
      </w:r>
      <w:r>
        <w:rPr>
          <w:lang w:val="pt-PT"/>
        </w:rPr>
        <w:t xml:space="preserve"/>
      </w:r>
      <w:r>
        <w:rPr>
          <w:b/>
          <w:bCs/>
          <w:lang w:val="pt-PT"/>
        </w:rPr>
        <w:t xml:space="preserve">posicionais («Speaker 1», «Speaker 2»…) </w:t>
      </w:r>
      <w:r>
        <w:rPr>
          <w:lang w:val="pt-PT"/>
        </w:rPr>
        <w:t xml:space="preserve"/>
      </w:r>
      <w:r>
        <w:rPr>
          <w:lang w:val="pt-PT"/>
        </w:rPr>
        <w:t xml:space="preserve">que indicam os segmentos atribuídos ao mesmo locutor sem apresentar o seu nome. Estas etiquetas continuam a ser dados pessoais se </w:t>
      </w:r>
      <w:r>
        <w:rPr>
          <w:lang w:val="pt-PT"/>
        </w:rPr>
        <w:t xml:space="preserve"/>
      </w:r>
      <w:r>
        <w:rPr>
          <w:b/>
          <w:bCs/>
          <w:lang w:val="pt-PT"/>
        </w:rPr>
        <w:t xml:space="preserve">o </w:t>
      </w:r>
      <w:r>
        <w:rPr>
          <w:lang w:val="pt-PT"/>
        </w:rPr>
        <w:t xml:space="preserve"/>
      </w:r>
      <w:r>
        <w:rPr>
          <w:lang w:val="pt-PT"/>
        </w:rPr>
        <w:t xml:space="preserve">locutor for identificável. </w:t>
      </w:r>
      <w:r>
        <w:rPr>
          <w:lang w:val="pt-PT"/>
        </w:rPr>
        <w:t xml:space="preserve"/>
      </w:r>
      <w:r>
        <w:rPr>
          <w:b/>
          <w:bCs/>
          <w:lang w:val="pt-PT"/>
        </w:rPr>
        <w:t xml:space="preserve"/>
      </w:r>
      <w:r>
        <w:rPr>
          <w:lang w:val="pt-PT"/>
        </w:rPr>
        <w:t xml:space="preserve">Nenhum </w:t>
      </w:r>
      <w:r>
        <w:rPr>
          <w:lang w:val="pt-PT"/>
        </w:rPr>
        <w:t xml:space="preserve">modelo vocal é conservado após o processamento da tarefa, segundo a configuração documentada.</w:t>
      </w:r>
    </w:p>
    <w:bookmarkEnd w:id="124"/>
    <w:bookmarkStart w:id="125" w:name="Xfe6b3bdac694c9f53024d943134b553687eec1a"/>
    <w:p>
      <w:pPr>
        <w:pStyle w:val="Heading3"/>
        <w:keepNext/>
        <w:keepLines/>
      </w:pPr>
      <w:r>
        <w:rPr>
          <w:color w:val="000000"/>
          <w:lang w:val="pt-PT"/>
        </w:rPr>
        <w:t xml:space="preserve">1.2 Alocação manual e auxiliares de preenchimento</w:t>
      </w:r>
    </w:p>
    <w:p>
      <w:pPr>
        <w:pStyle w:val="FirstParagraph"/>
      </w:pPr>
      <w:r>
        <w:rPr>
          <w:lang w:val="pt-PT"/>
        </w:rPr>
        <w:t xml:space="preserve">Um operador autorizado do Cliente abre a sessão transcrita e insere, para cada “Orador N”, um </w:t>
      </w:r>
      <w:r>
        <w:rPr>
          <w:lang w:val="pt-PT"/>
        </w:rPr>
        <w:t xml:space="preserve">nome </w:t>
      </w:r>
      <w:r>
        <w:rPr>
          <w:b/>
          <w:bCs/>
          <w:lang w:val="pt-PT"/>
        </w:rPr>
        <w:t xml:space="preserve">humano </w:t>
      </w:r>
      <w:r>
        <w:rPr>
          <w:lang w:val="pt-PT"/>
        </w:rPr>
        <w:t xml:space="preserve"/>
      </w:r>
      <w:r>
        <w:rPr>
          <w:lang w:val="pt-PT"/>
        </w:rPr>
        <w:t xml:space="preserve">(“Marie Dupont”, “Sr. Presidente”, “Relator”…). Esta operação é estritamente </w:t>
      </w:r>
      <w:r>
        <w:rPr>
          <w:lang w:val="pt-PT"/>
        </w:rPr>
        <w:t xml:space="preserve"/>
      </w:r>
      <w:r>
        <w:rPr>
          <w:b/>
          <w:bCs/>
          <w:lang w:val="pt-PT"/>
        </w:rPr>
        <w:t xml:space="preserve">manual. Auxílios </w:t>
      </w:r>
      <w:r>
        <w:rPr>
          <w:lang w:val="pt-PT"/>
        </w:rPr>
        <w:t xml:space="preserve">agilizam a entrada sem nunca </w:t>
      </w:r>
      <w:r>
        <w:rPr>
          <w:lang w:val="pt-PT"/>
        </w:rPr>
        <w:t xml:space="preserve"/>
      </w:r>
      <w:r>
        <w:rPr>
          <w:b/>
          <w:bCs/>
          <w:lang w:val="pt-PT"/>
        </w:rPr>
        <w:t xml:space="preserve">analisar a voz: detecção de </w:t>
      </w:r>
      <w:r>
        <w:rPr>
          <w:lang w:val="pt-PT"/>
        </w:rPr>
        <w:t xml:space="preserve"/>
      </w:r>
      <w:r>
        <w:rPr>
          <w:lang w:val="pt-PT"/>
        </w:rPr>
        <w:t xml:space="preserve">menções de nomes por processamento de texto (PNL), preenchimento automático a partir da lista de membros conhecidos do inquilino, histórico de rótulos já inseridos.</w:t>
      </w:r>
    </w:p>
    <w:bookmarkEnd w:id="125"/>
    <w:bookmarkStart w:id="126" w:name="Xa8943c0f25401ec25616e1f35c33523ff19503a"/>
    <w:p>
      <w:pPr>
        <w:pStyle w:val="Heading3"/>
        <w:keepNext/>
        <w:keepLines/>
      </w:pPr>
      <w:r>
        <w:rPr>
          <w:color w:val="000000"/>
          <w:lang w:val="pt-PT"/>
        </w:rPr>
        <w:t xml:space="preserve">1.3 Correlação de voz efêmera (“correlação de voz”)</w:t>
      </w:r>
    </w:p>
    <w:p>
      <w:pPr>
        <w:pStyle w:val="FirstParagraph"/>
      </w:pPr>
      <w:r>
        <w:rPr>
          <w:lang w:val="pt-PT"/>
        </w:rPr>
        <w:t xml:space="preserve">Desde 18 </w:t>
      </w:r>
      <w:r>
        <w:rPr>
          <w:lang w:val="pt-PT"/>
        </w:rPr>
        <w:t xml:space="preserve"/>
      </w:r>
      <w:r>
        <w:rPr>
          <w:b/>
          <w:bCs/>
          <w:lang w:val="pt-PT"/>
        </w:rPr>
        <w:t xml:space="preserve">de maio de </w:t>
      </w:r>
      <w:r>
        <w:rPr>
          <w:lang w:val="pt-PT"/>
        </w:rPr>
        <w:t xml:space="preserve">2026, TranscribIA oferece uma funcionalidade </w:t>
      </w:r>
      <w:r>
        <w:rPr>
          <w:lang w:val="pt-PT"/>
        </w:rPr>
        <w:t xml:space="preserve"/>
      </w:r>
      <w:r>
        <w:rPr>
          <w:b/>
          <w:bCs/>
          <w:lang w:val="pt-PT"/>
        </w:rPr>
        <w:t xml:space="preserve">desabilitada </w:t>
      </w:r>
      <w:r>
        <w:rPr>
          <w:lang w:val="pt-PT"/>
        </w:rPr>
        <w:t xml:space="preserve"/>
      </w:r>
      <w:r>
        <w:rPr>
          <w:lang w:val="pt-PT"/>
        </w:rPr>
        <w:t xml:space="preserve">por padrão </w:t>
      </w:r>
      <w:r>
        <w:rPr>
          <w:lang w:val="pt-PT"/>
        </w:rPr>
        <w:t xml:space="preserve">que </w:t>
      </w:r>
      <w:r>
        <w:rPr>
          <w:b/>
          <w:bCs/>
          <w:lang w:val="pt-PT"/>
        </w:rPr>
        <w:t xml:space="preserve">permite, dentro do </w:t>
      </w:r>
      <w:r>
        <w:rPr>
          <w:lang w:val="pt-PT"/>
        </w:rPr>
        <w:t xml:space="preserve">mesmo locatário, uma </w:t>
      </w:r>
      <w:r>
        <w:rPr>
          <w:lang w:val="pt-PT"/>
        </w:rPr>
        <w:t xml:space="preserve"/>
      </w:r>
      <w:r>
        <w:rPr>
          <w:b/>
          <w:bCs/>
          <w:lang w:val="pt-PT"/>
        </w:rPr>
        <w:t xml:space="preserve">comparação </w:t>
      </w:r>
      <w:r>
        <w:rPr>
          <w:lang w:val="pt-PT"/>
        </w:rPr>
        <w:t xml:space="preserve"/>
      </w:r>
      <w:r>
        <w:rPr>
          <w:lang w:val="pt-PT"/>
        </w:rPr>
        <w:t xml:space="preserve">vocal efêmera entre segmentos (ou mesmo entre </w:t>
      </w:r>
      <w:r>
        <w:rPr>
          <w:lang w:val="pt-PT"/>
        </w:rPr>
        <w:t xml:space="preserve"/>
      </w:r>
      <w:r>
        <w:rPr>
          <w:b/>
          <w:bCs/>
          <w:lang w:val="pt-PT"/>
        </w:rPr>
        <w:t xml:space="preserve">sessões) </w:t>
      </w:r>
      <w:r>
        <w:rPr>
          <w:lang w:val="pt-PT"/>
        </w:rPr>
        <w:t xml:space="preserve"/>
      </w:r>
      <w:r>
        <w:rPr>
          <w:lang w:val="pt-PT"/>
        </w:rPr>
        <w:t xml:space="preserve">a fim de propor uma conexão entre um locutor detectado e um nome de locutor já inserido. Este processamento calcula temporariamente as características </w:t>
      </w:r>
      <w:r>
        <w:rPr>
          <w:lang w:val="pt-PT"/>
        </w:rPr>
        <w:t xml:space="preserve">vocais </w:t>
      </w:r>
      <w:r>
        <w:rPr>
          <w:b/>
          <w:bCs/>
          <w:lang w:val="pt-PT"/>
        </w:rPr>
        <w:t xml:space="preserve">na RAM, sem criar um modelo biométrico persistente. </w:t>
      </w:r>
      <w:r>
        <w:rPr>
          <w:lang w:val="pt-PT"/>
        </w:rPr>
        <w:t xml:space="preserve">Só pode ser ativado por responsável pelo tratamento, é estritamente </w:t>
      </w:r>
      <w:r>
        <w:rPr>
          <w:lang w:val="pt-PT"/>
        </w:rPr>
        <w:t xml:space="preserve"/>
      </w:r>
      <w:r>
        <w:rPr>
          <w:b/>
          <w:bCs/>
          <w:lang w:val="pt-PT"/>
        </w:rPr>
        <w:t xml:space="preserve">opt-in </w:t>
      </w:r>
      <w:r>
        <w:rPr>
          <w:lang w:val="pt-PT"/>
        </w:rPr>
        <w:t xml:space="preserve">e requer a assinatura prévia de um </w:t>
      </w:r>
      <w:r>
        <w:rPr>
          <w:lang w:val="pt-PT"/>
        </w:rPr>
        <w:t xml:space="preserve">adendo </w:t>
      </w:r>
      <w:r>
        <w:rPr>
          <w:b/>
          <w:bCs/>
          <w:lang w:val="pt-PT"/>
        </w:rPr>
        <w:t xml:space="preserve">DPA dedicado </w:t>
      </w:r>
      <w:r>
        <w:rPr>
          <w:lang w:val="pt-PT"/>
        </w:rPr>
        <w:t xml:space="preserve"/>
      </w:r>
      <w:r>
        <w:rPr>
          <w:lang w:val="pt-PT"/>
        </w:rPr>
        <w:t xml:space="preserve">e o preenchimento de um </w:t>
      </w:r>
      <w:r>
        <w:rPr>
          <w:lang w:val="pt-PT"/>
        </w:rPr>
        <w:t xml:space="preserve"/>
      </w:r>
      <w:r>
        <w:rPr>
          <w:b/>
          <w:bCs/>
          <w:lang w:val="pt-PT"/>
        </w:rPr>
        <w:t xml:space="preserve">AIPD </w:t>
      </w:r>
      <w:r>
        <w:rPr>
          <w:lang w:val="pt-PT"/>
        </w:rPr>
        <w:t xml:space="preserve"/>
      </w:r>
      <w:r>
        <w:rPr>
          <w:lang w:val="pt-PT"/>
        </w:rPr>
        <w:t xml:space="preserve">(artigo 35).</w:t>
      </w:r>
    </w:p>
    <w:p>
      <w:pPr>
        <w:pStyle w:val="BodyText"/>
      </w:pPr>
      <w:r>
        <w:rPr>
          <w:b/>
          <w:bCs/>
          <w:lang w:val="pt-PT"/>
        </w:rPr>
        <w:t xml:space="preserve">Estes três tratamentos devem ser distinguidos pelas suas finalidades e meios: diarização posicional, atribuição manual sem análise vocal e comparação vocal opcional. A qualificação jurídica deve ser documentada para cada um; a simples ausência de um modelo persistente não implica uma exclusão geral do artigo 9.º.</w:t>
      </w:r>
    </w:p>
    <w:p>
      <w:r>
        <w:pict>
          <v:rect style="width:0;height:1.5pt" o:hralign="center" o:hrstd="t" o:hr="t"/>
        </w:pict>
      </w:r>
    </w:p>
    <w:bookmarkEnd w:id="126"/>
    <w:bookmarkEnd w:id="127"/>
    <w:bookmarkStart w:id="131" w:name="Xb589f5d8bbdf56a9351a5d7e25535f1fb8a904c"/>
    <w:p>
      <w:pPr>
        <w:pStyle w:val="Heading2"/>
        <w:keepNext/>
        <w:keepLines/>
      </w:pPr>
      <w:r>
        <w:rPr>
          <w:color w:val="000000"/>
          <w:lang w:val="pt-PT"/>
        </w:rPr>
        <w:t xml:space="preserve">2. Descrição técnica precisa</w:t>
      </w:r>
    </w:p>
    <w:bookmarkStart w:id="128" w:name="X664890d8427c66974ee0053fac4e14594a425d7"/>
    <w:p>
      <w:pPr>
        <w:pStyle w:val="Heading3"/>
        <w:keepNext/>
        <w:keepLines/>
      </w:pPr>
      <w:r>
        <w:rPr>
          <w:color w:val="000000"/>
          <w:lang w:val="pt-PT"/>
        </w:rPr>
        <w:t xml:space="preserve">2.1 Cadeia de diarização</w:t>
      </w:r>
    </w:p>
    <w:p>
      <w:pPr>
        <w:pStyle w:val="Compact"/>
        <w:numPr>
          <w:ilvl w:val="0"/>
          <w:numId w:val="1032"/>
        </w:numPr>
      </w:pPr>
      <w:r>
        <w:rPr>
          <w:lang w:val="pt-PT"/>
        </w:rPr>
        <w:t xml:space="preserve">Mecanismo: </w:t>
      </w:r>
      <w:r>
        <w:rPr>
          <w:lang w:val="pt-PT"/>
        </w:rPr>
        <w:t xml:space="preserve"/>
      </w:r>
      <w:r>
        <w:rPr>
          <w:rStyle w:val="VerbatimChar"/>
          <w:lang w:val="pt-PT"/>
        </w:rPr>
        <w:t xml:space="preserve">pyannote.audio</w:t>
      </w:r>
      <w:r>
        <w:rPr>
          <w:lang w:val="pt-PT"/>
        </w:rPr>
        <w:t xml:space="preserve">, executado no servidor GPU de transcrição (UE quando necessário; GPU local na Opção B).</w:t>
      </w:r>
    </w:p>
    <w:p>
      <w:pPr>
        <w:pStyle w:val="Compact"/>
        <w:numPr>
          <w:ilvl w:val="0"/>
          <w:numId w:val="1032"/>
        </w:numPr>
      </w:pPr>
      <w:r>
        <w:rPr>
          <w:lang w:val="pt-PT"/>
        </w:rPr>
        <w:t xml:space="preserve">Saída: segmentos com carimbo de data e </w:t>
      </w:r>
      <w:r>
        <w:rPr>
          <w:lang w:val="pt-PT"/>
        </w:rPr>
        <w:t xml:space="preserve">hora </w:t>
      </w:r>
      <w:r>
        <w:rPr>
          <w:b/>
          <w:bCs/>
          <w:lang w:val="pt-PT"/>
        </w:rPr>
        <w:t xml:space="preserve">com um rótulo posicional </w:t>
      </w:r>
      <w:r>
        <w:rPr>
          <w:lang w:val="pt-PT"/>
        </w:rPr>
        <w:t xml:space="preserve"/>
      </w:r>
      <w:r>
        <w:rPr>
          <w:lang w:val="pt-PT"/>
        </w:rPr>
        <w:t xml:space="preserve">“Speaker N” específico da sessão.</w:t>
      </w:r>
    </w:p>
    <w:p>
      <w:pPr>
        <w:pStyle w:val="Compact"/>
        <w:numPr>
          <w:ilvl w:val="0"/>
          <w:numId w:val="1032"/>
        </w:numPr>
      </w:pPr>
      <w:r>
        <w:rPr>
          <w:lang w:val="pt-PT"/>
        </w:rPr>
        <w:t xml:space="preserve">Os embeddings calculados internamente para distinguir os intervenientes de uma sessão </w:t>
      </w:r>
      <w:r>
        <w:rPr>
          <w:lang w:val="pt-PT"/>
        </w:rPr>
        <w:t xml:space="preserve"/>
      </w:r>
      <w:r>
        <w:rPr>
          <w:b/>
          <w:bCs/>
          <w:lang w:val="pt-PT"/>
        </w:rPr>
        <w:t xml:space="preserve">existem na RAM </w:t>
      </w:r>
      <w:r>
        <w:rPr>
          <w:lang w:val="pt-PT"/>
        </w:rPr>
        <w:t xml:space="preserve"/>
      </w:r>
      <w:r>
        <w:rPr>
          <w:lang w:val="pt-PT"/>
        </w:rPr>
        <w:t xml:space="preserve">durante o processamento e são </w:t>
      </w:r>
      <w:r>
        <w:rPr>
          <w:lang w:val="pt-PT"/>
        </w:rPr>
        <w:t xml:space="preserve">liberados </w:t>
      </w:r>
      <w:r>
        <w:rPr>
          <w:b/>
          <w:bCs/>
          <w:lang w:val="pt-PT"/>
        </w:rPr>
        <w:t xml:space="preserve">ao final do trabalho. </w:t>
      </w:r>
      <w:r>
        <w:rPr>
          <w:lang w:val="pt-PT"/>
        </w:rPr>
        <w:t xml:space="preserve">Nenhuma impressão de voz é gravada no disco de forma persistente.</w:t>
      </w:r>
    </w:p>
    <w:bookmarkEnd w:id="128"/>
    <w:bookmarkStart w:id="129" w:name="Xe0659354dd6c47a68f8590356d1261887329b03"/>
    <w:p>
      <w:pPr>
        <w:pStyle w:val="Heading3"/>
        <w:keepNext/>
        <w:keepLines/>
      </w:pPr>
      <w:r>
        <w:rPr>
          <w:color w:val="000000"/>
          <w:lang w:val="pt-PT"/>
        </w:rPr>
        <w:t xml:space="preserve">2.2 Ciclo de vida de incorporações de voz (correlação de voz)</w:t>
      </w:r>
    </w:p>
    <w:p>
      <w:pPr>
        <w:pStyle w:val="SourceCode"/>
      </w:pPr>
      <w:r>
        <w:rPr>
          <w:rStyle w:val="VerbatimChar"/>
          <w:rFonts w:ascii="Courier New" w:hAnsi="Courier New" w:eastAsia="Courier New" w:cs="Courier New"/>
          <w:sz w:val="17"/>
          <w:szCs w:val="17"/>
        </w:rPr>
        <w:t xml:space="preserve">Pedido de correlação vocal (adesão explícita, organização ativada)</w:t>
        <w:br/>
        <w:t xml:space="preserve">  |-- extração de características vocais -&gt; EMBEDDINGS EM RAM</w:t>
        <w:br/>
        <w:t xml:space="preserve">  |     (tmpfs quando o ambiente o permite; swap desativado</w:t>
        <w:br/>
        <w:t xml:space="preserve">  |      para os workers em causa quando possível)</w:t>
        <w:br/>
        <w:t xml:space="preserve">  |-- comparação temporária -&gt; SUGESTÃO de associação (pontuação)</w:t>
        <w:br/>
        <w:t xml:space="preserve">  |-- validação HUMANA obrigatória antes de qualquer atribuição</w:t>
        <w:br/>
        <w:t xml:space="preserve">  \-- DESTRUIÇÃO de embeddings e ficheiros temporários</w:t>
        <w:br/>
        <w:t xml:space="preserve">       no fim do pedido (bloco `finally`)</w:t>
        <w:br/>
        <w:t xml:space="preserve">       -&gt; sem modelo persistente ou impressão vocal reutilizável conservados</w:t>
      </w:r>
    </w:p>
    <w:bookmarkEnd w:id="129"/>
    <w:bookmarkStart w:id="130" w:name="Xf92b267a21904b6a5b828e759033baaed12a0f1"/>
    <w:p>
      <w:pPr>
        <w:pStyle w:val="Heading3"/>
        <w:keepNext/>
        <w:keepLines/>
      </w:pPr>
      <w:r>
        <w:rPr>
          <w:color w:val="000000"/>
          <w:lang w:val="pt-PT"/>
        </w:rPr>
        <w:t xml:space="preserve">2.3 Principais recursos</w:t>
      </w:r>
    </w:p>
    <w:p>
      <w:pPr>
        <w:pStyle w:val="Compact"/>
        <w:numPr>
          <w:ilvl w:val="0"/>
          <w:numId w:val="1033"/>
        </w:numPr>
      </w:pPr>
      <w:r>
        <w:rPr>
          <w:b/>
          <w:bCs/>
          <w:lang w:val="pt-PT"/>
        </w:rPr>
        <w:t xml:space="preserve">Nenhum modelo persistente: </w:t>
      </w:r>
      <w:r>
        <w:rPr>
          <w:lang w:val="pt-PT"/>
        </w:rPr>
        <w:t xml:space="preserve"/>
      </w:r>
      <w:r>
        <w:rPr>
          <w:lang w:val="pt-PT"/>
        </w:rPr>
        <w:t xml:space="preserve">nenhum base de dados de impressão de voz é criado ou mantido.</w:t>
      </w:r>
    </w:p>
    <w:p>
      <w:pPr>
        <w:pStyle w:val="Compact"/>
        <w:numPr>
          <w:ilvl w:val="0"/>
          <w:numId w:val="1033"/>
        </w:numPr>
      </w:pPr>
      <w:r>
        <w:rPr>
          <w:b/>
          <w:bCs/>
          <w:lang w:val="pt-PT"/>
        </w:rPr>
        <w:t xml:space="preserve">RAM/</w:t>
      </w:r>
      <w:r>
        <w:rPr>
          <w:lang w:val="pt-PT"/>
        </w:rPr>
        <w:t xml:space="preserve"/>
      </w:r>
      <w:r>
        <w:rPr>
          <w:lang w:val="pt-PT"/>
        </w:rPr>
        <w:t xml:space="preserve"/>
      </w:r>
      <w:r>
        <w:rPr>
          <w:lang w:val="pt-PT"/>
        </w:rPr>
        <w:t xml:space="preserve"/>
      </w:r>
      <w:r>
        <w:rPr>
          <w:rStyle w:val="VerbatimChar"/>
          <w:lang w:val="pt-PT"/>
        </w:rPr>
        <w:t xml:space="preserve">tmpfs</w:t>
      </w:r>
      <w:r>
        <w:rPr>
          <w:lang w:val="pt-PT"/>
        </w:rPr>
        <w:t xml:space="preserve">: </w:t>
      </w:r>
      <w:r>
        <w:rPr>
          <w:lang w:val="pt-PT"/>
        </w:rPr>
        <w:t xml:space="preserve">os embeddings são calculados em RAM; espaços temporários do tipo tmpfs são utilizados quando o ambiente permite; a troca é desativada para os trabalhadores afetados quando for compatível com a estabilidade da infraestrutura.</w:t>
      </w:r>
    </w:p>
    <w:p>
      <w:pPr>
        <w:pStyle w:val="Compact"/>
        <w:numPr>
          <w:ilvl w:val="0"/>
          <w:numId w:val="1033"/>
        </w:numPr>
      </w:pPr>
      <w:r>
        <w:rPr>
          <w:b/>
          <w:bCs/>
          <w:lang w:val="pt-PT"/>
        </w:rPr>
        <w:t xml:space="preserve">Destruição determinística: </w:t>
      </w:r>
      <w:r>
        <w:rPr>
          <w:lang w:val="pt-PT"/>
        </w:rPr>
        <w:t xml:space="preserve"/>
      </w:r>
      <w:r>
        <w:rPr>
          <w:lang w:val="pt-PT"/>
        </w:rPr>
        <w:t xml:space="preserve">limpeza no final do processamento dos blocos (</w:t>
      </w:r>
      <w:r>
        <w:rPr>
          <w:rStyle w:val="VerbatimChar"/>
          <w:lang w:val="pt-PT"/>
        </w:rPr>
        <w:t xml:space="preserve">finally</w:t>
      </w:r>
      <w:r>
        <w:rPr>
          <w:lang w:val="pt-PT"/>
        </w:rPr>
        <w:t xml:space="preserve">), inclusive em caso de erro.</w:t>
      </w:r>
    </w:p>
    <w:p>
      <w:pPr>
        <w:pStyle w:val="Compact"/>
        <w:numPr>
          <w:ilvl w:val="0"/>
          <w:numId w:val="1033"/>
        </w:numPr>
      </w:pPr>
      <w:r>
        <w:rPr>
          <w:b/>
          <w:bCs/>
          <w:lang w:val="pt-PT"/>
        </w:rPr>
        <w:t xml:space="preserve">Isolamento por </w:t>
      </w:r>
      <w:r>
        <w:rPr>
          <w:lang w:val="pt-PT"/>
        </w:rPr>
        <w:t xml:space="preserve">inquilino: </w:t>
      </w:r>
      <w:r>
        <w:rPr>
          <w:lang w:val="pt-PT"/>
        </w:rPr>
        <w:t xml:space="preserve">a comparação nunca ultrapassa as fronteiras de uma organização.</w:t>
      </w:r>
    </w:p>
    <w:p>
      <w:pPr>
        <w:pStyle w:val="Compact"/>
        <w:numPr>
          <w:ilvl w:val="0"/>
          <w:numId w:val="1033"/>
        </w:numPr>
      </w:pPr>
      <w:r>
        <w:rPr>
          <w:b/>
          <w:bCs/>
          <w:lang w:val="pt-PT"/>
        </w:rPr>
        <w:t xml:space="preserve">Sem treino: os </w:t>
      </w:r>
      <w:r>
        <w:rPr>
          <w:lang w:val="pt-PT"/>
        </w:rPr>
        <w:t xml:space="preserve"/>
      </w:r>
      <w:r>
        <w:rPr>
          <w:lang w:val="pt-PT"/>
        </w:rPr>
        <w:t xml:space="preserve">embeddings nunca são usados para treinar um modelo.</w:t>
      </w:r>
    </w:p>
    <w:p>
      <w:pPr>
        <w:pStyle w:val="Compact"/>
        <w:numPr>
          <w:ilvl w:val="0"/>
          <w:numId w:val="1033"/>
        </w:numPr>
      </w:pPr>
      <w:r>
        <w:rPr>
          <w:b/>
          <w:bCs/>
          <w:lang w:val="pt-PT"/>
        </w:rPr>
        <w:t xml:space="preserve">Registo mínimo: os </w:t>
      </w:r>
      <w:r>
        <w:rPr>
          <w:lang w:val="pt-PT"/>
        </w:rPr>
        <w:t xml:space="preserve"/>
      </w:r>
      <w:r>
        <w:rPr>
          <w:lang w:val="pt-PT"/>
        </w:rPr>
        <w:t xml:space="preserve">registos são limitados a eventos técnicos necessários; eles não contêm impressões digitais, vetores ou extratos de voz.</w:t>
      </w:r>
    </w:p>
    <w:p>
      <w:r>
        <w:pict>
          <v:rect style="width:0;height:1.5pt" o:hralign="center" o:hrstd="t" o:hr="t"/>
        </w:pict>
      </w:r>
    </w:p>
    <w:bookmarkEnd w:id="130"/>
    <w:bookmarkEnd w:id="131"/>
    <w:bookmarkStart w:id="135" w:name="Xbbcb5772bf69e66207c72d41906a9a28473aea2"/>
    <w:p>
      <w:pPr>
        <w:pStyle w:val="Heading2"/>
        <w:keepNext/>
        <w:keepLines/>
      </w:pPr>
      <w:r>
        <w:rPr>
          <w:color w:val="000000"/>
          <w:lang w:val="pt-PT"/>
        </w:rPr>
        <w:t xml:space="preserve">3. Análise jurídica (artigos 4.14 e 9 RGPD)</w:t>
      </w:r>
    </w:p>
    <w:bookmarkStart w:id="132" w:name="Xcc24839d29b6498a7812c1d11362bc190165131"/>
    <w:p>
      <w:pPr>
        <w:pStyle w:val="Heading3"/>
        <w:keepNext/>
        <w:keepLines/>
      </w:pPr>
      <w:r>
        <w:rPr>
          <w:color w:val="000000"/>
          <w:lang w:val="pt-PT"/>
        </w:rPr>
        <w:t xml:space="preserve">3.1 Definição de dados biométricos</w:t>
      </w:r>
    </w:p>
    <w:p>
      <w:pPr>
        <w:pStyle w:val="FirstParagraph"/>
      </w:pPr>
      <w:r>
        <w:rPr>
          <w:lang w:val="pt-PT"/>
        </w:rPr>
        <w:t xml:space="preserve">O artigo </w:t>
      </w:r>
      <w:r>
        <w:rPr>
          <w:lang w:val="pt-PT"/>
        </w:rPr>
        <w:t xml:space="preserve"/>
      </w:r>
      <w:r>
        <w:rPr>
          <w:b/>
          <w:bCs/>
          <w:lang w:val="pt-PT"/>
        </w:rPr>
        <w:t xml:space="preserve">4.14 </w:t>
      </w:r>
      <w:r>
        <w:rPr>
          <w:lang w:val="pt-PT"/>
        </w:rPr>
        <w:t xml:space="preserve"/>
      </w:r>
      <w:r>
        <w:rPr>
          <w:lang w:val="pt-PT"/>
        </w:rPr>
        <w:t xml:space="preserve">do RGPD define dados biométricos como “dados pessoais resultantes de tratamento técnico específico, relativo às características físicas, fisiológicas ou comportamentais de uma pessoa singular, que permita </w:t>
      </w:r>
      <w:r>
        <w:rPr>
          <w:lang w:val="pt-PT"/>
        </w:rPr>
        <w:t xml:space="preserve"/>
      </w:r>
      <w:r>
        <w:rPr>
          <w:b/>
          <w:bCs/>
          <w:lang w:val="pt-PT"/>
        </w:rPr>
        <w:t xml:space="preserve">ou confirme a sua identificação única”. O artigo </w:t>
      </w:r>
      <w:r>
        <w:rPr>
          <w:lang w:val="pt-PT"/>
        </w:rPr>
        <w:t xml:space="preserve"/>
      </w:r>
      <w:r>
        <w:rPr>
          <w:lang w:val="pt-PT"/>
        </w:rPr>
        <w:t xml:space="preserve">9.º </w:t>
      </w:r>
      <w:r>
        <w:rPr>
          <w:lang w:val="pt-PT"/>
        </w:rPr>
        <w:t xml:space="preserve">proíbe, </w:t>
      </w:r>
      <w:r>
        <w:rPr>
          <w:b/>
          <w:bCs/>
          <w:lang w:val="pt-PT"/>
        </w:rPr>
        <w:t xml:space="preserve"/>
      </w:r>
      <w:r>
        <w:rPr>
          <w:lang w:val="pt-PT"/>
        </w:rPr>
        <w:t xml:space="preserve"/>
      </w:r>
      <w:r>
        <w:rPr>
          <w:lang w:val="pt-PT"/>
        </w:rPr>
        <w:t xml:space="preserve">em princípio, o tratamento de dados biométricos para </w:t>
      </w:r>
      <w:r>
        <w:rPr>
          <w:lang w:val="pt-PT"/>
        </w:rPr>
        <w:t xml:space="preserve"/>
      </w:r>
      <w:r>
        <w:rPr>
          <w:b/>
          <w:bCs/>
          <w:lang w:val="pt-PT"/>
        </w:rPr>
        <w:t xml:space="preserve">efeitos de identificação única de uma pessoa singular, </w:t>
      </w:r>
      <w:r>
        <w:rPr>
          <w:lang w:val="pt-PT"/>
        </w:rPr>
        <w:t xml:space="preserve">salvo exceções.</w:t>
      </w:r>
    </w:p>
    <w:bookmarkEnd w:id="132"/>
    <w:bookmarkStart w:id="133" w:name="X283329c369380fcd20427ac76dfaeceb715812a"/>
    <w:p>
      <w:pPr>
        <w:pStyle w:val="Heading3"/>
        <w:keepNext/>
        <w:keepLines/>
      </w:pPr>
      <w:r>
        <w:rPr>
          <w:color w:val="000000"/>
          <w:lang w:val="pt-PT"/>
        </w:rPr>
        <w:t xml:space="preserve">3.2 Posição mantida</w:t>
      </w:r>
    </w:p>
    <w:p>
      <w:pPr>
        <w:pStyle w:val="FirstParagraph"/>
      </w:pPr>
      <w:r>
        <w:rPr>
          <w:lang w:val="pt-PT"/>
        </w:rPr>
        <w:t xml:space="preserve">O artigo 4.º, n.º 14, do RGPD define os dados biométricos através do tratamento técnico de características físicas, fisiológicas ou comportamentais que permitem ou confirmam a identificação inequívoca. O artigo 9.º abrange os dados biométricos tratados para identificar uma pessoa de </w:t>
      </w:r>
      <w:r>
        <w:rPr>
          <w:lang w:val="pt-PT"/>
        </w:rPr>
        <w:t xml:space="preserve"/>
      </w:r>
      <w:r>
        <w:rPr>
          <w:b/>
          <w:bCs/>
          <w:lang w:val="pt-PT"/>
        </w:rPr>
        <w:t xml:space="preserve">forma inequívoca. O prazo de conservação de um modelo não é uma condição </w:t>
      </w:r>
      <w:r>
        <w:rPr>
          <w:lang w:val="pt-PT"/>
        </w:rPr>
        <w:t xml:space="preserve"/>
      </w:r>
      <w:r>
        <w:rPr>
          <w:lang w:val="pt-PT"/>
        </w:rPr>
        <w:t xml:space="preserve">destas definições; as orientações 3/2019 do CEPD mostram, nomeadamente, </w:t>
      </w:r>
      <w:r>
        <w:rPr>
          <w:lang w:val="pt-PT"/>
        </w:rPr>
        <w:t xml:space="preserve"/>
      </w:r>
      <w:r>
        <w:rPr>
          <w:b/>
          <w:bCs/>
          <w:lang w:val="pt-PT"/>
        </w:rPr>
        <w:t xml:space="preserve">que os modelos temporários </w:t>
      </w:r>
      <w:r>
        <w:rPr>
          <w:lang w:val="pt-PT"/>
        </w:rPr>
        <w:t xml:space="preserve"/>
      </w:r>
      <w:r>
        <w:rPr>
          <w:lang w:val="pt-PT"/>
        </w:rPr>
        <w:t xml:space="preserve">podem estar abrangidos pelo artigo 9.º.</w:t>
      </w:r>
    </w:p>
    <w:p>
      <w:pPr>
        <w:pStyle w:val="Compact"/>
        <w:numPr>
          <w:ilvl w:val="0"/>
          <w:numId w:val="1034"/>
        </w:numPr>
      </w:pPr>
      <w:r>
        <w:rPr>
          <w:b/>
          <w:bCs/>
          <w:lang w:val="pt-PT"/>
        </w:rPr>
        <w:t xml:space="preserve">Diarização posicional (1.1): a atribuição de etiquetas </w:t>
      </w:r>
      <w:r>
        <w:rPr>
          <w:lang w:val="pt-PT"/>
        </w:rPr>
        <w:t xml:space="preserve"/>
      </w:r>
      <w:r>
        <w:rPr>
          <w:lang w:val="pt-PT"/>
        </w:rPr>
        <w:t xml:space="preserve">sem nome não permite, por si só, concluir pelo anonimato ou pela ausência </w:t>
      </w:r>
      <w:r>
        <w:rPr>
          <w:lang w:val="pt-PT"/>
        </w:rPr>
        <w:t xml:space="preserve"/>
      </w:r>
      <w:r>
        <w:rPr>
          <w:b/>
          <w:bCs/>
          <w:lang w:val="pt-PT"/>
        </w:rPr>
        <w:t xml:space="preserve">de biometria. É necessário documentar se as </w:t>
      </w:r>
      <w:r>
        <w:rPr>
          <w:lang w:val="pt-PT"/>
        </w:rPr>
        <w:t xml:space="preserve"/>
      </w:r>
      <w:r>
        <w:rPr>
          <w:lang w:val="pt-PT"/>
        </w:rPr>
        <w:t xml:space="preserve">características tratadas permitem ou confirmam a identificação inequívoca </w:t>
      </w:r>
      <w:r>
        <w:rPr>
          <w:lang w:val="pt-PT"/>
        </w:rPr>
        <w:t xml:space="preserve"/>
      </w:r>
      <w:r>
        <w:rPr>
          <w:b/>
          <w:bCs/>
          <w:lang w:val="pt-PT"/>
        </w:rPr>
        <w:t xml:space="preserve">e se essa é a </w:t>
      </w:r>
      <w:r>
        <w:rPr>
          <w:lang w:val="pt-PT"/>
        </w:rPr>
        <w:t xml:space="preserve"/>
      </w:r>
      <w:r>
        <w:rPr>
          <w:lang w:val="pt-PT"/>
        </w:rPr>
        <w:t xml:space="preserve">finalidade do tratamento; o artigo 9.º pode ainda aplicar-se ao conteúdo das gravações.</w:t>
      </w:r>
    </w:p>
    <w:p>
      <w:pPr>
        <w:pStyle w:val="Compact"/>
        <w:numPr>
          <w:ilvl w:val="0"/>
          <w:numId w:val="1034"/>
        </w:numPr>
      </w:pPr>
      <w:r>
        <w:rPr>
          <w:b/>
          <w:bCs/>
          <w:lang w:val="pt-PT"/>
        </w:rPr>
        <w:t xml:space="preserve">Atribuição manual </w:t>
      </w:r>
      <w:r>
        <w:rPr>
          <w:lang w:val="pt-PT"/>
        </w:rPr>
        <w:t xml:space="preserve"/>
      </w:r>
      <w:r>
        <w:rPr>
          <w:lang w:val="pt-PT"/>
        </w:rPr>
        <w:t xml:space="preserve">(1.2): não analisa a voz; não é biométrico.</w:t>
      </w:r>
    </w:p>
    <w:p>
      <w:pPr>
        <w:pStyle w:val="Compact"/>
        <w:numPr>
          <w:ilvl w:val="0"/>
          <w:numId w:val="1034"/>
        </w:numPr>
      </w:pPr>
      <w:r>
        <w:rPr>
          <w:b/>
          <w:bCs/>
          <w:lang w:val="pt-PT"/>
        </w:rPr>
        <w:t xml:space="preserve">Correlação vocal efémera (1.3): a </w:t>
      </w:r>
      <w:r>
        <w:rPr>
          <w:lang w:val="pt-PT"/>
        </w:rPr>
        <w:t xml:space="preserve">comparação </w:t>
      </w:r>
      <w:r>
        <w:rPr>
          <w:lang w:val="pt-PT"/>
        </w:rPr>
        <w:t xml:space="preserve">de características vocais para propor o nome de um </w:t>
      </w:r>
      <w:r>
        <w:rPr>
          <w:lang w:val="pt-PT"/>
        </w:rPr>
        <w:t xml:space="preserve"/>
      </w:r>
      <w:r>
        <w:rPr>
          <w:b/>
          <w:bCs/>
          <w:lang w:val="pt-PT"/>
        </w:rPr>
        <w:t xml:space="preserve">interveniente pode constituir um tratamento biométrico para fins </w:t>
      </w:r>
      <w:r>
        <w:rPr>
          <w:lang w:val="pt-PT"/>
        </w:rPr>
        <w:t xml:space="preserve"/>
      </w:r>
      <w:r>
        <w:rPr>
          <w:lang w:val="pt-PT"/>
        </w:rPr>
        <w:t xml:space="preserve">de identificação inequívoca. A eliminação imediata das representações e a validação humana não afastam </w:t>
      </w:r>
      <w:r>
        <w:rPr>
          <w:lang w:val="pt-PT"/>
        </w:rPr>
        <w:t xml:space="preserve">esta </w:t>
      </w:r>
      <w:r>
        <w:rPr>
          <w:b/>
          <w:bCs/>
          <w:lang w:val="pt-PT"/>
        </w:rPr>
        <w:t xml:space="preserve">qualificação. Deve ser documentada uma exceção aplicável do artigo </w:t>
      </w:r>
      <w:r>
        <w:rPr>
          <w:lang w:val="pt-PT"/>
        </w:rPr>
        <w:t xml:space="preserve"/>
      </w:r>
      <w:r>
        <w:rPr>
          <w:lang w:val="pt-PT"/>
        </w:rPr>
        <w:t xml:space="preserve">9.º, além do fundamento de licitude do artigo 6.º.</w:t>
      </w:r>
    </w:p>
    <w:bookmarkEnd w:id="133"/>
    <w:bookmarkStart w:id="134" w:name="X470b402a547457927122d4841351e7a4d626738"/>
    <w:p>
      <w:pPr>
        <w:pStyle w:val="Heading3"/>
        <w:keepNext/>
        <w:keepLines/>
      </w:pPr>
      <w:r>
        <w:rPr>
          <w:color w:val="000000"/>
          <w:lang w:val="pt-PT"/>
        </w:rPr>
        <w:t xml:space="preserve">3.3 Qualificação mantida por cautela</w:t>
      </w:r>
    </w:p>
    <w:p>
      <w:pPr>
        <w:pStyle w:val="FirstParagraph"/>
      </w:pPr>
      <w:r>
        <w:rPr>
          <w:lang w:val="pt-PT"/>
        </w:rPr>
        <w:t xml:space="preserve">A qualificação biométrica depende do tratamento técnico e da sua finalidade de identificação inequívoca, não da conservação duradoura de um modelo. A ausência de um modelo persistente </w:t>
      </w:r>
      <w:r>
        <w:rPr>
          <w:lang w:val="pt-PT"/>
        </w:rPr>
        <w:t xml:space="preserve"/>
      </w:r>
      <w:r>
        <w:rPr>
          <w:b/>
          <w:bCs/>
          <w:lang w:val="pt-PT"/>
        </w:rPr>
        <w:t xml:space="preserve">e a validação humana são garantias de minimização; </w:t>
      </w:r>
      <w:r>
        <w:rPr>
          <w:lang w:val="pt-PT"/>
        </w:rPr>
        <w:t xml:space="preserve"/>
      </w:r>
      <w:r>
        <w:rPr>
          <w:lang w:val="pt-PT"/>
        </w:rPr>
        <w:t xml:space="preserve">não constituem uma </w:t>
      </w:r>
      <w:r>
        <w:rPr>
          <w:b/>
          <w:bCs/>
          <w:lang w:val="pt-PT"/>
        </w:rPr>
        <w:t xml:space="preserve">isenção. Antes </w:t>
      </w:r>
      <w:r>
        <w:rPr>
          <w:lang w:val="pt-PT"/>
        </w:rPr>
        <w:t xml:space="preserve"/>
      </w:r>
      <w:r>
        <w:rPr>
          <w:lang w:val="pt-PT"/>
        </w:rPr>
        <w:t xml:space="preserve">de ativar qualquer comparação destinada a identificar uma pessoa de forma inequívoca, o responsável pelo tratamento deve documentar um fundamento de licitude do artigo 6.º e uma exceção </w:t>
      </w:r>
      <w:r>
        <w:rPr>
          <w:lang w:val="pt-PT"/>
        </w:rPr>
        <w:t xml:space="preserve">aplicável </w:t>
      </w:r>
      <w:r>
        <w:rPr>
          <w:b/>
          <w:bCs/>
          <w:lang w:val="pt-PT"/>
        </w:rPr>
        <w:t xml:space="preserve">do artigo 9.º, bem como os requisitos nacionais </w:t>
      </w:r>
      <w:r>
        <w:rPr>
          <w:lang w:val="pt-PT"/>
        </w:rPr>
        <w:t xml:space="preserve"/>
      </w:r>
      <w:r>
        <w:rPr>
          <w:lang w:val="pt-PT"/>
        </w:rPr>
        <w:t xml:space="preserve">pertinentes. Uma AIPD e um aditamento ao DPA não bastam, por si só, para autorizar o tratamento.</w:t>
      </w:r>
    </w:p>
    <w:p>
      <w:r>
        <w:pict>
          <v:rect style="width:0;height:1.5pt" o:hralign="center" o:hrstd="t" o:hr="t"/>
        </w:pict>
      </w:r>
    </w:p>
    <w:bookmarkEnd w:id="134"/>
    <w:bookmarkEnd w:id="135"/>
    <w:bookmarkStart w:id="136" w:name="X874bb38eabf3ca55151ad884c45ce5790670e42"/>
    <w:p>
      <w:pPr>
        <w:pStyle w:val="Heading2"/>
        <w:keepNext/>
        <w:keepLines/>
      </w:pPr>
      <w:r>
        <w:rPr>
          <w:color w:val="000000"/>
          <w:lang w:val="pt-PT"/>
        </w:rPr>
        <w:t xml:space="preserve">4. Estrutura implementada</w:t>
      </w:r>
    </w:p>
    <w:p>
      <w:pPr>
        <w:pStyle w:val="Compact"/>
        <w:numPr>
          <w:ilvl w:val="0"/>
          <w:numId w:val="1035"/>
        </w:numPr>
      </w:pPr>
      <w:r>
        <w:rPr>
          <w:b/>
          <w:bCs/>
          <w:lang w:val="pt-PT"/>
        </w:rPr>
        <w:t xml:space="preserve">Desativado por padrão: </w:t>
      </w:r>
      <w:r>
        <w:rPr>
          <w:lang w:val="pt-PT"/>
        </w:rPr>
        <w:t xml:space="preserve"/>
      </w:r>
      <w:r>
        <w:rPr>
          <w:lang w:val="pt-PT"/>
        </w:rPr>
        <w:t xml:space="preserve">a correlação de voz nunca está ativa sem uma decisão explícita.</w:t>
      </w:r>
    </w:p>
    <w:p>
      <w:pPr>
        <w:pStyle w:val="Compact"/>
        <w:numPr>
          <w:ilvl w:val="0"/>
          <w:numId w:val="1035"/>
        </w:numPr>
      </w:pPr>
      <w:r>
        <w:rPr>
          <w:b/>
          <w:bCs/>
          <w:lang w:val="pt-PT"/>
        </w:rPr>
        <w:t xml:space="preserve">Aceitação de responsável pelo tratamento: </w:t>
      </w:r>
      <w:r>
        <w:rPr>
          <w:lang w:val="pt-PT"/>
        </w:rPr>
        <w:t xml:space="preserve"/>
      </w:r>
      <w:r>
        <w:rPr>
          <w:lang w:val="pt-PT"/>
        </w:rPr>
        <w:t xml:space="preserve">somente a organização cliente pode ativá-la.</w:t>
      </w:r>
    </w:p>
    <w:p>
      <w:pPr>
        <w:pStyle w:val="Compact"/>
        <w:numPr>
          <w:ilvl w:val="0"/>
          <w:numId w:val="1035"/>
        </w:numPr>
      </w:pPr>
      <w:r>
        <w:rPr>
          <w:b/>
          <w:bCs/>
          <w:lang w:val="pt-PT"/>
        </w:rPr>
        <w:t xml:space="preserve">Alteração dedicada </w:t>
      </w:r>
      <w:r>
        <w:rPr>
          <w:lang w:val="pt-PT"/>
        </w:rPr>
        <w:t xml:space="preserve"/>
      </w:r>
      <w:r>
        <w:rPr>
          <w:lang w:val="pt-PT"/>
        </w:rPr>
        <w:t xml:space="preserve">da DPA: a sua ativação requer a assinatura prévia de uma alteração específica.</w:t>
      </w:r>
    </w:p>
    <w:p>
      <w:pPr>
        <w:pStyle w:val="Compact"/>
        <w:numPr>
          <w:ilvl w:val="0"/>
          <w:numId w:val="1035"/>
        </w:numPr>
      </w:pPr>
      <w:r>
        <w:rPr>
          <w:b/>
          <w:bCs/>
          <w:lang w:val="pt-PT"/>
        </w:rPr>
        <w:t xml:space="preserve">AIPD prévia: </w:t>
      </w:r>
      <w:r>
        <w:rPr>
          <w:lang w:val="pt-PT"/>
        </w:rPr>
        <w:t xml:space="preserve">é </w:t>
      </w:r>
      <w:r>
        <w:rPr>
          <w:lang w:val="pt-PT"/>
        </w:rPr>
        <w:t xml:space="preserve">necessária uma análise de impacto (artigo 35.º) antes da ativação.</w:t>
      </w:r>
    </w:p>
    <w:p>
      <w:pPr>
        <w:pStyle w:val="Compact"/>
        <w:numPr>
          <w:ilvl w:val="0"/>
          <w:numId w:val="1035"/>
        </w:numPr>
      </w:pPr>
      <w:r>
        <w:rPr>
          <w:b/>
          <w:bCs/>
          <w:lang w:val="pt-PT"/>
        </w:rPr>
        <w:t xml:space="preserve">Validação humana: </w:t>
      </w:r>
      <w:r>
        <w:rPr>
          <w:lang w:val="pt-PT"/>
        </w:rPr>
        <w:t xml:space="preserve"/>
      </w:r>
      <w:r>
        <w:rPr>
          <w:lang w:val="pt-PT"/>
        </w:rPr>
        <w:t xml:space="preserve">sugestões nunca são decisões automáticas definitivas; um utilizador válido autorizado pelo Cliente antes de qualquer atribuição.</w:t>
      </w:r>
    </w:p>
    <w:p>
      <w:pPr>
        <w:pStyle w:val="Compact"/>
        <w:numPr>
          <w:ilvl w:val="0"/>
          <w:numId w:val="1035"/>
        </w:numPr>
      </w:pPr>
      <w:r>
        <w:rPr>
          <w:b/>
          <w:bCs/>
          <w:lang w:val="pt-PT"/>
        </w:rPr>
        <w:t xml:space="preserve">Compromisso de não desenvolvimento: </w:t>
      </w:r>
      <w:r>
        <w:rPr>
          <w:lang w:val="pt-PT"/>
        </w:rPr>
        <w:t xml:space="preserve"/>
      </w:r>
      <w:r>
        <w:rPr>
          <w:lang w:val="pt-PT"/>
        </w:rPr>
        <w:t xml:space="preserve">OHADJA </w:t>
      </w:r>
      <w:r>
        <w:rPr>
          <w:lang w:val="pt-PT"/>
        </w:rPr>
        <w:t xml:space="preserve"/>
      </w:r>
      <w:r>
        <w:rPr>
          <w:b/>
          <w:bCs/>
          <w:lang w:val="pt-PT"/>
        </w:rPr>
        <w:t xml:space="preserve">compromete-se a </w:t>
      </w:r>
      <w:r>
        <w:rPr>
          <w:lang w:val="pt-PT"/>
        </w:rPr>
        <w:t xml:space="preserve"/>
      </w:r>
      <w:r>
        <w:rPr>
          <w:lang w:val="pt-PT"/>
        </w:rPr>
        <w:t xml:space="preserve">nunca introduzir processamento biométrico automático </w:t>
      </w:r>
      <w:r>
        <w:rPr>
          <w:lang w:val="pt-PT"/>
        </w:rPr>
        <w:t xml:space="preserve"/>
      </w:r>
      <w:r>
        <w:rPr>
          <w:b/>
          <w:bCs/>
          <w:lang w:val="pt-PT"/>
        </w:rPr>
        <w:t xml:space="preserve">persistente </w:t>
      </w:r>
      <w:r>
        <w:rPr>
          <w:lang w:val="pt-PT"/>
        </w:rPr>
        <w:t xml:space="preserve"/>
      </w:r>
      <w:r>
        <w:rPr>
          <w:lang w:val="pt-PT"/>
        </w:rPr>
        <w:t xml:space="preserve">(reconhecimento de voz com base de impressão vocal) </w:t>
      </w:r>
      <w:r>
        <w:rPr>
          <w:lang w:val="pt-PT"/>
        </w:rPr>
        <w:t xml:space="preserve"/>
      </w:r>
      <w:r>
        <w:rPr>
          <w:b/>
          <w:bCs/>
          <w:lang w:val="pt-PT"/>
        </w:rPr>
        <w:t xml:space="preserve">sem atualização explícita do </w:t>
      </w:r>
      <w:r>
        <w:rPr>
          <w:lang w:val="pt-PT"/>
        </w:rPr>
        <w:t xml:space="preserve"/>
      </w:r>
      <w:r>
        <w:rPr>
          <w:lang w:val="pt-PT"/>
        </w:rPr>
        <w:t xml:space="preserve">DPA sujeito a aceitação prévia por parte do Cliente, </w:t>
      </w:r>
      <w:r>
        <w:rPr>
          <w:lang w:val="pt-PT"/>
        </w:rPr>
        <w:t xml:space="preserve"/>
      </w:r>
      <w:r>
        <w:rPr>
          <w:b/>
          <w:bCs/>
          <w:lang w:val="pt-PT"/>
        </w:rPr>
        <w:t xml:space="preserve">com um aviso mínimo de 60 </w:t>
      </w:r>
      <w:r>
        <w:rPr>
          <w:lang w:val="pt-PT"/>
        </w:rPr>
        <w:t xml:space="preserve">dias.</w:t>
      </w:r>
    </w:p>
    <w:p>
      <w:r>
        <w:pict>
          <v:rect style="width:0;height:1.5pt" o:hralign="center" o:hrstd="t" o:hr="t"/>
        </w:pict>
      </w:r>
    </w:p>
    <w:bookmarkEnd w:id="136"/>
    <w:bookmarkStart w:id="137" w:name="X5cb896f79fde2817fdfc340537e1d6f68249cb8"/>
    <w:p>
      <w:pPr>
        <w:pStyle w:val="Heading2"/>
        <w:keepNext/>
        <w:keepLines/>
      </w:pPr>
      <w:r>
        <w:rPr>
          <w:color w:val="000000"/>
          <w:lang w:val="pt-PT"/>
        </w:rPr>
        <w:t xml:space="preserve">5. Medidas técnicas e organizacionais específicas</w:t>
      </w:r>
    </w:p>
    <w:p>
      <w:pPr>
        <w:pStyle w:val="FirstParagraph"/>
      </w:pPr>
      <w:r>
        <w:rPr>
          <w:lang w:val="pt-PT"/>
        </w:rPr>
        <w:t xml:space="preserve">Os MTOs dedicados à correlação de voz (DPA Anexo 3 §9) são os seguintes:</w:t>
      </w:r>
    </w:p>
    <w:p>
      <w:pPr>
        <w:pStyle w:val="Compact"/>
        <w:numPr>
          <w:ilvl w:val="0"/>
          <w:numId w:val="1036"/>
        </w:numPr>
      </w:pPr>
      <w:r>
        <w:rPr>
          <w:lang w:val="pt-PT"/>
        </w:rPr>
        <w:t xml:space="preserve">ativação no nível do locatário ou por configuração do cliente, quando disponível;</w:t>
      </w:r>
    </w:p>
    <w:p>
      <w:pPr>
        <w:pStyle w:val="Compact"/>
        <w:numPr>
          <w:ilvl w:val="0"/>
          <w:numId w:val="1036"/>
        </w:numPr>
      </w:pPr>
      <w:r>
        <w:rPr>
          <w:lang w:val="pt-PT"/>
        </w:rPr>
        <w:t xml:space="preserve">ausência de criação de perfil de voz persistente por padrão;</w:t>
      </w:r>
    </w:p>
    <w:p>
      <w:pPr>
        <w:pStyle w:val="Compact"/>
        <w:numPr>
          <w:ilvl w:val="0"/>
          <w:numId w:val="1036"/>
        </w:numPr>
      </w:pPr>
      <w:r>
        <w:rPr>
          <w:lang w:val="pt-PT"/>
        </w:rPr>
        <w:t xml:space="preserve">cálculo de embeddings temporários em RAM quando tecnicamente possível;</w:t>
      </w:r>
    </w:p>
    <w:p>
      <w:pPr>
        <w:pStyle w:val="Compact"/>
        <w:numPr>
          <w:ilvl w:val="0"/>
          <w:numId w:val="1036"/>
        </w:numPr>
      </w:pPr>
      <w:r>
        <w:rPr>
          <w:lang w:val="pt-PT"/>
        </w:rPr>
        <w:t xml:space="preserve">utilização de espaços temporários do tipo </w:t>
      </w:r>
      <w:r>
        <w:rPr>
          <w:lang w:val="pt-PT"/>
        </w:rPr>
        <w:t xml:space="preserve"/>
      </w:r>
      <w:r>
        <w:rPr>
          <w:rStyle w:val="VerbatimChar"/>
          <w:lang w:val="pt-PT"/>
        </w:rPr>
        <w:t xml:space="preserve">tmpfs</w:t>
      </w:r>
      <w:r>
        <w:rPr>
          <w:lang w:val="pt-PT"/>
        </w:rPr>
        <w:t xml:space="preserve"> </w:t>
      </w:r>
      <w:r>
        <w:rPr>
          <w:lang w:val="pt-PT"/>
        </w:rPr>
        <w:t xml:space="preserve">quando o ambiente permitir;</w:t>
      </w:r>
    </w:p>
    <w:p>
      <w:pPr>
        <w:pStyle w:val="Compact"/>
        <w:numPr>
          <w:ilvl w:val="0"/>
          <w:numId w:val="1036"/>
        </w:numPr>
      </w:pPr>
      <w:r>
        <w:rPr>
          <w:lang w:val="pt-PT"/>
        </w:rPr>
        <w:t xml:space="preserve">desabilitar a troca para os trabalhadores afetados quando o ambiente e a estabilidade permitirem;</w:t>
      </w:r>
    </w:p>
    <w:p>
      <w:pPr>
        <w:pStyle w:val="Compact"/>
        <w:numPr>
          <w:ilvl w:val="0"/>
          <w:numId w:val="1036"/>
        </w:numPr>
      </w:pPr>
      <w:r>
        <w:rPr>
          <w:lang w:val="pt-PT"/>
        </w:rPr>
        <w:t xml:space="preserve">exclusão de ficheiros temporários e embeddings ao final da solicitação;</w:t>
      </w:r>
    </w:p>
    <w:p>
      <w:pPr>
        <w:pStyle w:val="Compact"/>
        <w:numPr>
          <w:ilvl w:val="0"/>
          <w:numId w:val="1036"/>
        </w:numPr>
      </w:pPr>
      <w:r>
        <w:rPr>
          <w:lang w:val="pt-PT"/>
        </w:rPr>
        <w:t xml:space="preserve">limpeza em blocos de final de processamento, incluindo mecanismos </w:t>
      </w:r>
      <w:r>
        <w:rPr>
          <w:lang w:val="pt-PT"/>
        </w:rPr>
        <w:t xml:space="preserve"/>
      </w:r>
      <w:r>
        <w:rPr>
          <w:rStyle w:val="VerbatimChar"/>
          <w:lang w:val="pt-PT"/>
        </w:rPr>
        <w:t xml:space="preserve">finally</w:t>
      </w:r>
      <w:r>
        <w:rPr>
          <w:lang w:val="pt-PT"/>
        </w:rPr>
        <w:t xml:space="preserve">;</w:t>
      </w:r>
      <w:r>
        <w:rPr>
          <w:lang w:val="pt-PT"/>
        </w:rPr>
        <w:t xml:space="preserve"/>
      </w:r>
    </w:p>
    <w:p>
      <w:pPr>
        <w:pStyle w:val="Compact"/>
        <w:numPr>
          <w:ilvl w:val="0"/>
          <w:numId w:val="1036"/>
        </w:numPr>
      </w:pPr>
      <w:r>
        <w:rPr>
          <w:lang w:val="pt-PT"/>
        </w:rPr>
        <w:t xml:space="preserve">ausência de utilização de embeddings para treino de modelos próprios;</w:t>
      </w:r>
    </w:p>
    <w:p>
      <w:pPr>
        <w:pStyle w:val="Compact"/>
        <w:numPr>
          <w:ilvl w:val="0"/>
          <w:numId w:val="1036"/>
        </w:numPr>
      </w:pPr>
      <w:r>
        <w:rPr>
          <w:lang w:val="pt-PT"/>
        </w:rPr>
        <w:t xml:space="preserve">validação humana obrigatória das sugestões antes da atribuição final;</w:t>
      </w:r>
    </w:p>
    <w:p>
      <w:pPr>
        <w:pStyle w:val="Compact"/>
        <w:numPr>
          <w:ilvl w:val="0"/>
          <w:numId w:val="1036"/>
        </w:numPr>
      </w:pPr>
      <w:r>
        <w:rPr>
          <w:lang w:val="pt-PT"/>
        </w:rPr>
        <w:t xml:space="preserve">registo limitado a eventos técnicos necessários;</w:t>
      </w:r>
    </w:p>
    <w:p>
      <w:pPr>
        <w:pStyle w:val="Compact"/>
        <w:numPr>
          <w:ilvl w:val="0"/>
          <w:numId w:val="1036"/>
        </w:numPr>
      </w:pPr>
      <w:r>
        <w:rPr>
          <w:lang w:val="pt-PT"/>
        </w:rPr>
        <w:t xml:space="preserve">limpar/reduzir registos para evitar o registo desnecessário de impressões digitais, vetores ou extratos de voz;</w:t>
      </w:r>
    </w:p>
    <w:p>
      <w:pPr>
        <w:pStyle w:val="Compact"/>
        <w:numPr>
          <w:ilvl w:val="0"/>
          <w:numId w:val="1036"/>
        </w:numPr>
      </w:pPr>
      <w:r>
        <w:rPr>
          <w:lang w:val="pt-PT"/>
        </w:rPr>
        <w:t xml:space="preserve">separação do processamento por inquilino;</w:t>
      </w:r>
    </w:p>
    <w:p>
      <w:pPr>
        <w:pStyle w:val="Compact"/>
        <w:numPr>
          <w:ilvl w:val="0"/>
          <w:numId w:val="1036"/>
        </w:numPr>
      </w:pPr>
      <w:r>
        <w:rPr>
          <w:lang w:val="pt-PT"/>
        </w:rPr>
        <w:t xml:space="preserve">restrição de acesso a trabalhadores e saídas técnicas;</w:t>
      </w:r>
    </w:p>
    <w:p>
      <w:pPr>
        <w:pStyle w:val="Compact"/>
        <w:numPr>
          <w:ilvl w:val="0"/>
          <w:numId w:val="1036"/>
        </w:numPr>
      </w:pPr>
      <w:r>
        <w:rPr>
          <w:lang w:val="pt-PT"/>
        </w:rPr>
        <w:t xml:space="preserve">possibilidade de desativação da funcionalidade a pedido do cliente ou por cláusula contratual;</w:t>
      </w:r>
    </w:p>
    <w:p>
      <w:pPr>
        <w:pStyle w:val="Compact"/>
        <w:numPr>
          <w:ilvl w:val="0"/>
          <w:numId w:val="1036"/>
        </w:numPr>
      </w:pPr>
      <w:r>
        <w:rPr>
          <w:lang w:val="pt-PT"/>
        </w:rPr>
        <w:t xml:space="preserve">seleção de recursos de GPU localizados na UE/EEE quando necessário.</w:t>
      </w:r>
    </w:p>
    <w:p>
      <w:r>
        <w:pict>
          <v:rect style="width:0;height:1.5pt" o:hralign="center" o:hrstd="t" o:hr="t"/>
        </w:pict>
      </w:r>
    </w:p>
    <w:bookmarkEnd w:id="137"/>
    <w:bookmarkStart w:id="138" w:name="X78fc07a469ca6699f328a51971f58213a3ffac5"/>
    <w:p>
      <w:pPr>
        <w:pStyle w:val="Heading2"/>
        <w:keepNext/>
        <w:keepLines/>
      </w:pPr>
      <w:r>
        <w:rPr>
          <w:color w:val="000000"/>
          <w:lang w:val="pt-PT"/>
        </w:rPr>
        <w:t xml:space="preserve">6. Limitações e recomendações para responsável pelo tratamento</w:t>
      </w:r>
    </w:p>
    <w:p>
      <w:pPr>
        <w:pStyle w:val="FirstParagraph"/>
      </w:pPr>
      <w:r>
        <w:rPr>
          <w:lang w:val="pt-PT"/>
        </w:rPr>
        <w:t xml:space="preserve">Como responsável pelo tratamento, o Cliente mantém o controlo e a responsabilidade pelos seguintes elementos, esteja a correlação de voz ativada ou não:</w:t>
      </w:r>
    </w:p>
    <w:p>
      <w:pPr>
        <w:pStyle w:val="Compact"/>
        <w:numPr>
          <w:ilvl w:val="0"/>
          <w:numId w:val="1037"/>
        </w:numPr>
      </w:pPr>
      <w:r>
        <w:rPr>
          <w:b/>
          <w:bCs/>
          <w:lang w:val="pt-PT"/>
        </w:rPr>
        <w:t xml:space="preserve">Informação dos interessados: </w:t>
      </w:r>
      <w:r>
        <w:rPr>
          <w:lang w:val="pt-PT"/>
        </w:rPr>
        <w:t xml:space="preserve"/>
      </w:r>
      <w:r>
        <w:rPr>
          <w:lang w:val="pt-PT"/>
        </w:rPr>
        <w:t xml:space="preserve">informar os envolvidos sobre a implementação da diarização e, quando aplicável, da correlação de voz (artigos 12 a 14).</w:t>
      </w:r>
    </w:p>
    <w:p>
      <w:pPr>
        <w:pStyle w:val="Compact"/>
        <w:numPr>
          <w:ilvl w:val="0"/>
          <w:numId w:val="1037"/>
        </w:numPr>
      </w:pPr>
      <w:r>
        <w:rPr>
          <w:b/>
          <w:bCs/>
          <w:lang w:val="pt-PT"/>
        </w:rPr>
        <w:t xml:space="preserve">Fundamento de licitude: </w:t>
      </w:r>
      <w:r>
        <w:rPr>
          <w:lang w:val="pt-PT"/>
        </w:rPr>
        <w:t xml:space="preserve">documentar </w:t>
      </w:r>
      <w:r>
        <w:rPr>
          <w:lang w:val="pt-PT"/>
        </w:rPr>
        <w:t xml:space="preserve">o fundamento do artigo 6.º e, se forem tratadas categorias especiais, uma condição aplicável do artigo 9.º. Na relação de trabalho, não se presume que o consentimento seja livre devido à subordinação; só é adequado se a escolha for real, sem desvantagens e revogável. O acordo do empregador ou dos representantes não substitui esta análise.</w:t>
      </w:r>
    </w:p>
    <w:p>
      <w:pPr>
        <w:pStyle w:val="Compact"/>
        <w:numPr>
          <w:ilvl w:val="0"/>
          <w:numId w:val="1037"/>
        </w:numPr>
      </w:pPr>
      <w:r>
        <w:rPr>
          <w:b/>
          <w:bCs/>
          <w:lang w:val="pt-PT"/>
        </w:rPr>
        <w:t xml:space="preserve">Proporcionalidade e necessidade: </w:t>
      </w:r>
      <w:r>
        <w:rPr>
          <w:lang w:val="pt-PT"/>
        </w:rPr>
        <w:t xml:space="preserve"/>
      </w:r>
      <w:r>
        <w:rPr>
          <w:lang w:val="pt-PT"/>
        </w:rPr>
        <w:t xml:space="preserve">ativar a correlação de voz apenas se for necessária e proporcional à finalidade pretendida; na falta disso, atenha-se à diarização posicional e à atribuição manual.</w:t>
      </w:r>
    </w:p>
    <w:p>
      <w:pPr>
        <w:pStyle w:val="Compact"/>
        <w:numPr>
          <w:ilvl w:val="0"/>
          <w:numId w:val="1037"/>
        </w:numPr>
      </w:pPr>
      <w:r>
        <w:rPr>
          <w:b/>
          <w:bCs/>
          <w:lang w:val="pt-PT"/>
        </w:rPr>
        <w:t xml:space="preserve">AIPD: </w:t>
      </w:r>
      <w:r>
        <w:rPr>
          <w:lang w:val="pt-PT"/>
        </w:rPr>
        <w:t xml:space="preserve"/>
      </w:r>
      <w:r>
        <w:rPr>
          <w:lang w:val="pt-PT"/>
        </w:rPr>
        <w:t xml:space="preserve">realizar a análise de impacto antes de qualquer ativação da correlação de voz; OHADJA fornece o suporte e documentação técnica necessários (arquitetura, MTO, garantias de não persistência).</w:t>
      </w:r>
    </w:p>
    <w:p>
      <w:pPr>
        <w:pStyle w:val="Compact"/>
        <w:numPr>
          <w:ilvl w:val="0"/>
          <w:numId w:val="1037"/>
        </w:numPr>
      </w:pPr>
      <w:r>
        <w:rPr>
          <w:b/>
          <w:bCs/>
          <w:lang w:val="pt-PT"/>
        </w:rPr>
        <w:t xml:space="preserve">Validação humana: </w:t>
      </w:r>
      <w:r>
        <w:rPr>
          <w:lang w:val="pt-PT"/>
        </w:rPr>
        <w:t xml:space="preserve"/>
      </w:r>
      <w:r>
        <w:rPr>
          <w:lang w:val="pt-PT"/>
        </w:rPr>
        <w:t xml:space="preserve">mantenha uma revisão humana sistemática das sugestões antes da atribuição.</w:t>
      </w:r>
    </w:p>
    <w:p>
      <w:pPr>
        <w:pStyle w:val="FirstParagraph"/>
      </w:pPr>
      <w:r>
        <w:rPr>
          <w:b/>
          <w:bCs/>
          <w:lang w:val="pt-PT"/>
        </w:rPr>
        <w:t xml:space="preserve">Recomendação da OHADJA: </w:t>
      </w:r>
      <w:r>
        <w:rPr>
          <w:lang w:val="pt-PT"/>
        </w:rPr>
        <w:t xml:space="preserve"/>
      </w:r>
      <w:r>
        <w:rPr>
          <w:lang w:val="pt-PT"/>
        </w:rPr>
        <w:t xml:space="preserve">privilegiar a solução menos intrusiva que responda à necessidade documentada. Mesmo a diarização e a atribuição manual implicam </w:t>
      </w:r>
      <w:r>
        <w:rPr>
          <w:lang w:val="pt-PT"/>
        </w:rPr>
        <w:t xml:space="preserve"/>
      </w:r>
      <w:r>
        <w:rPr>
          <w:b/>
          <w:bCs/>
          <w:lang w:val="pt-PT"/>
        </w:rPr>
        <w:t xml:space="preserve">uma análise dos riscos associados à gravação e ao seu </w:t>
      </w:r>
      <w:r>
        <w:rPr>
          <w:lang w:val="pt-PT"/>
        </w:rPr>
        <w:t xml:space="preserve"/>
      </w:r>
      <w:r>
        <w:rPr>
          <w:lang w:val="pt-PT"/>
        </w:rPr>
        <w:t xml:space="preserve">conteúdo. A correlação vocal só deve ser ponderada após justificar a sua necessidade, examinar os artigos 6.º e 9.º, realizar uma AIPD prévia e celebrar um aditamento específico.</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38"/>
    <w:bookmarkEnd w:id="139"/>
    <w:bookmarkStart w:id="147" w:name="Xbb174e7fcc237e3b8817e4a78ba18c05179a16d"/>
    <w:p>
      <w:pPr>
        <w:pStyle w:val="Heading1"/>
        <w:keepNext/>
        <w:keepLines/>
      </w:pPr>
      <w:r>
        <w:rPr>
          <w:color w:val="000000"/>
          <w:lang w:val="pt-PT"/>
        </w:rPr>
        <w:t xml:space="preserve">Procedimentos de suporte ao cliente RGPD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OHA-RGPD-08</w:t>
            </w:r>
          </w:p>
        </w:tc>
      </w:tr>
      <w:tr>
        <w:trPr>
          <w:cantSplit/>
        </w:trPr>
        <w:tc>
          <w:tcPr/>
          <w:p>
            <w:pPr>
              <w:pStyle w:val="Compact"/>
            </w:pPr>
            <w:r>
              <w:rPr>
                <w:lang w:val="pt-PT"/>
              </w:rPr>
              <w:t xml:space="preserve">Objetivo</w:t>
            </w:r>
          </w:p>
        </w:tc>
        <w:tc>
          <w:tcPr/>
          <w:p>
            <w:pPr>
              <w:pStyle w:val="Compact"/>
            </w:pPr>
            <w:r>
              <w:rPr>
                <w:lang w:val="pt-PT"/>
              </w:rPr>
              <w:t xml:space="preserve">Fichas de procedimentos de assistência operacional RGPD (direitos, violações, restituição, AIPD, auditoria)</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40" w:name="objet"/>
    <w:p>
      <w:pPr>
        <w:pStyle w:val="Heading2"/>
        <w:keepNext/>
        <w:keepLines/>
      </w:pPr>
      <w:r>
        <w:rPr>
          <w:color w:val="000000"/>
          <w:lang w:val="pt-PT"/>
        </w:rPr>
        <w:t xml:space="preserve">Objetivo</w:t>
      </w:r>
    </w:p>
    <w:p>
      <w:pPr>
        <w:pStyle w:val="FirstParagraph"/>
      </w:pPr>
      <w:r>
        <w:rPr>
          <w:lang w:val="pt-PT"/>
        </w:rPr>
        <w:t xml:space="preserve">Este documento descreve, em forma de planilhas, os procedimentos operacionais pelos quais OHADJA auxilia o Cliente no cumprimento de suas obrigações RGPD. O Cliente permanece responsável pelo tratamento; OHADJA atua no suporte, dentro dos limites do DPA.</w:t>
      </w:r>
    </w:p>
    <w:p>
      <w:pPr>
        <w:pStyle w:val="BodyText"/>
      </w:pPr>
      <w:r>
        <w:rPr>
          <w:b/>
          <w:bCs/>
          <w:lang w:val="pt-PT"/>
        </w:rPr>
        <w:t xml:space="preserve">Contacto único: </w:t>
      </w:r>
      <w:r>
        <w:rPr>
          <w:lang w:val="pt-PT"/>
        </w:rPr>
        <w:t xml:space="preserve"/>
      </w:r>
      <w:hyperlink r:id="rId9">
        <w:r>
          <w:rPr>
            <w:rStyle w:val="Hyperlink"/>
            <w:lang w:val="pt-PT"/>
          </w:rPr>
          <w:t xml:space="preserve">privacy@transcribia.eu</w:t>
        </w:r>
      </w:hyperlink>
      <w:r>
        <w:rPr>
          <w:lang w:val="pt-PT"/>
        </w:rPr>
        <w:t xml:space="preserve">.</w:t>
      </w:r>
    </w:p>
    <w:p>
      <w:r>
        <w:pict>
          <v:rect style="width:0;height:1.5pt" o:hralign="center" o:hrstd="t" o:hr="t"/>
        </w:pict>
      </w:r>
    </w:p>
    <w:bookmarkEnd w:id="140"/>
    <w:bookmarkStart w:id="141" w:name="Xd4924d66601c499ace1dd22e56ade19d3c4cae9"/>
    <w:p>
      <w:pPr>
        <w:pStyle w:val="Heading2"/>
        <w:keepNext/>
        <w:keepLines/>
      </w:pPr>
      <w:r>
        <w:rPr>
          <w:color w:val="000000"/>
          <w:lang w:val="pt-PT"/>
        </w:rPr>
        <w:t xml:space="preserve">PROC-01 — Solicitações de exercício de direitos individuais</w:t>
      </w:r>
    </w:p>
    <w:p>
      <w:pPr>
        <w:pStyle w:val="FirstParagraph"/>
      </w:pPr>
      <w:r>
        <w:rPr>
          <w:b/>
          <w:bCs/>
          <w:lang w:val="pt-PT"/>
        </w:rPr>
        <w:t xml:space="preserve">Canal de receção. As </w:t>
      </w:r>
      <w:r>
        <w:rPr>
          <w:lang w:val="pt-PT"/>
        </w:rPr>
        <w:t xml:space="preserve"/>
      </w:r>
      <w:r>
        <w:rPr>
          <w:lang w:val="pt-PT"/>
        </w:rPr>
        <w:t xml:space="preserve">solicitações do cliente são enviadas por escrito para </w:t>
      </w:r>
      <w:r>
        <w:rPr>
          <w:lang w:val="pt-PT"/>
        </w:rPr>
        <w:t xml:space="preserve"/>
      </w:r>
      <w:hyperlink r:id="rId9">
        <w:r>
          <w:rPr>
            <w:rStyle w:val="Hyperlink"/>
            <w:lang w:val="pt-PT"/>
          </w:rPr>
          <w:t xml:space="preserve">privacy@transcribia.eu</w:t>
        </w:r>
      </w:hyperlink>
      <w:r>
        <w:rPr>
          <w:lang w:val="pt-PT"/>
        </w:rPr>
        <w:t xml:space="preserve">.</w:t>
      </w:r>
    </w:p>
    <w:p>
      <w:pPr>
        <w:pStyle w:val="BodyText"/>
      </w:pPr>
      <w:r>
        <w:rPr>
          <w:b/>
          <w:bCs/>
          <w:lang w:val="pt-PT"/>
        </w:rPr>
        <w:t xml:space="preserve">Tempo de suporte. </w:t>
      </w:r>
      <w:r>
        <w:rPr>
          <w:lang w:val="pt-PT"/>
        </w:rPr>
        <w:t xml:space="preserve">OHADJA </w:t>
      </w:r>
      <w:r>
        <w:rPr>
          <w:lang w:val="pt-PT"/>
        </w:rPr>
        <w:t xml:space="preserve">auxilia o Cliente no prazo de 7 dias úteis </w:t>
      </w:r>
      <w:r>
        <w:rPr>
          <w:lang w:val="pt-PT"/>
        </w:rPr>
        <w:t xml:space="preserve"/>
      </w:r>
      <w:r>
        <w:rPr>
          <w:b/>
          <w:bCs/>
          <w:lang w:val="pt-PT"/>
        </w:rPr>
        <w:t xml:space="preserve">a partir de uma </w:t>
      </w:r>
      <w:r>
        <w:rPr>
          <w:lang w:val="pt-PT"/>
        </w:rPr>
        <w:t xml:space="preserve"/>
      </w:r>
      <w:r>
        <w:rPr>
          <w:lang w:val="pt-PT"/>
        </w:rPr>
        <w:t xml:space="preserve">solicitação completa por escrito (exceto em caso de emergência justificada ou complexidade que justifique um período adicional razoável).</w:t>
      </w:r>
    </w:p>
    <w:p>
      <w:pPr>
        <w:pStyle w:val="BodyText"/>
      </w:pPr>
      <w:r>
        <w:rPr>
          <w:b/>
          <w:bCs/>
          <w:lang w:val="pt-PT"/>
        </w:rPr>
        <w:t xml:space="preserve">Princípio. </w:t>
      </w:r>
      <w:r>
        <w:rPr>
          <w:lang w:val="pt-PT"/>
        </w:rPr>
        <w:t xml:space="preserve"/>
      </w:r>
      <w:r>
        <w:rPr>
          <w:lang w:val="pt-PT"/>
        </w:rPr>
        <w:t xml:space="preserve">OHADJA </w:t>
      </w:r>
      <w:r>
        <w:rPr>
          <w:lang w:val="pt-PT"/>
        </w:rPr>
        <w:t xml:space="preserve"/>
      </w:r>
      <w:r>
        <w:rPr>
          <w:b/>
          <w:bCs/>
          <w:lang w:val="pt-PT"/>
        </w:rPr>
        <w:t xml:space="preserve">não responde diretamente </w:t>
      </w:r>
      <w:r>
        <w:rPr>
          <w:lang w:val="pt-PT"/>
        </w:rPr>
        <w:t xml:space="preserve"/>
      </w:r>
      <w:r>
        <w:rPr>
          <w:lang w:val="pt-PT"/>
        </w:rPr>
        <w:t xml:space="preserve">ao titular dos dados; auxilia o Cliente, que avalia a ação a ser tomada. Se OHADJA receber diretamente uma solicitação de uma pessoa, ele a encaminhará ao Cliente.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Direito</w:t>
            </w:r>
          </w:p>
        </w:tc>
        <w:tc>
          <w:tcPr/>
          <w:p>
            <w:pPr>
              <w:pStyle w:val="Compact"/>
            </w:pPr>
            <w:r>
              <w:rPr>
                <w:lang w:val="pt-PT"/>
              </w:rPr>
              <w:t xml:space="preserve">Operação possível</w:t>
            </w:r>
          </w:p>
        </w:tc>
        <w:tc>
          <w:tcPr/>
          <w:p>
            <w:pPr>
              <w:pStyle w:val="Compact"/>
            </w:pPr>
            <w:r>
              <w:rPr>
                <w:lang w:val="pt-PT"/>
              </w:rPr>
              <w:t xml:space="preserve">Quem faz o quê</w:t>
            </w:r>
          </w:p>
        </w:tc>
      </w:tr>
      <w:tr>
        <w:trPr>
          <w:cantSplit/>
        </w:trPr>
        <w:tc>
          <w:tcPr/>
          <w:p>
            <w:pPr>
              <w:pStyle w:val="Compact"/>
            </w:pPr>
            <w:r>
              <w:rPr>
                <w:lang w:val="pt-PT"/>
              </w:rPr>
              <w:t xml:space="preserve">Acesso (art. 15)</w:t>
            </w:r>
          </w:p>
        </w:tc>
        <w:tc>
          <w:tcPr/>
          <w:p>
            <w:pPr>
              <w:pStyle w:val="Compact"/>
            </w:pPr>
            <w:r>
              <w:rPr>
                <w:lang w:val="pt-PT"/>
              </w:rPr>
              <w:t xml:space="preserve">Exportação/pesquisa de sessões e conteúdos</w:t>
            </w:r>
          </w:p>
        </w:tc>
        <w:tc>
          <w:tcPr/>
          <w:p>
            <w:pPr>
              <w:pStyle w:val="Compact"/>
            </w:pPr>
            <w:r>
              <w:rPr>
                <w:lang w:val="pt-PT"/>
              </w:rPr>
              <w:t xml:space="preserve">Cliente via aplicativo; OHADJA em suporte técnico</w:t>
            </w:r>
          </w:p>
        </w:tc>
      </w:tr>
      <w:tr>
        <w:trPr>
          <w:cantSplit/>
        </w:trPr>
        <w:tc>
          <w:tcPr/>
          <w:p>
            <w:pPr>
              <w:pStyle w:val="Compact"/>
            </w:pPr>
            <w:r>
              <w:rPr>
                <w:lang w:val="pt-PT"/>
              </w:rPr>
              <w:t xml:space="preserve">Retificação (art. 16)</w:t>
            </w:r>
          </w:p>
        </w:tc>
        <w:tc>
          <w:tcPr/>
          <w:p>
            <w:pPr>
              <w:pStyle w:val="Compact"/>
            </w:pPr>
            <w:r>
              <w:rPr>
                <w:lang w:val="pt-PT"/>
              </w:rPr>
              <w:t xml:space="preserve">Edição gratuita de transcrições e conteúdo</w:t>
            </w:r>
          </w:p>
        </w:tc>
        <w:tc>
          <w:tcPr/>
          <w:p>
            <w:pPr>
              <w:pStyle w:val="Compact"/>
            </w:pPr>
            <w:r>
              <w:rPr>
                <w:lang w:val="pt-PT"/>
              </w:rPr>
              <w:t xml:space="preserve">Cliente (autoatendimento)</w:t>
            </w:r>
          </w:p>
        </w:tc>
      </w:tr>
      <w:tr>
        <w:trPr>
          <w:cantSplit/>
        </w:trPr>
        <w:tc>
          <w:tcPr/>
          <w:p>
            <w:pPr>
              <w:pStyle w:val="Compact"/>
            </w:pPr>
            <w:r>
              <w:rPr>
                <w:lang w:val="pt-PT"/>
              </w:rPr>
              <w:t xml:space="preserve">Apagamento (art. 17)</w:t>
            </w:r>
          </w:p>
        </w:tc>
        <w:tc>
          <w:tcPr/>
          <w:p>
            <w:pPr>
              <w:pStyle w:val="Compact"/>
            </w:pPr>
            <w:r>
              <w:rPr>
                <w:lang w:val="pt-PT"/>
              </w:rPr>
              <w:t xml:space="preserve">Exclusão certificada rastreada + certificado</w:t>
            </w:r>
          </w:p>
        </w:tc>
        <w:tc>
          <w:tcPr/>
          <w:p>
            <w:pPr>
              <w:pStyle w:val="Compact"/>
            </w:pPr>
            <w:r>
              <w:rPr>
                <w:lang w:val="pt-PT"/>
              </w:rPr>
              <w:t xml:space="preserve">Gatilhos do cliente (Configurações → Portabilidade); OHADJA suporte/limpeza de backups</w:t>
            </w:r>
          </w:p>
        </w:tc>
      </w:tr>
      <w:tr>
        <w:trPr>
          <w:cantSplit/>
        </w:trPr>
        <w:tc>
          <w:tcPr/>
          <w:p>
            <w:pPr>
              <w:pStyle w:val="Compact"/>
            </w:pPr>
            <w:r>
              <w:rPr>
                <w:lang w:val="pt-PT"/>
              </w:rPr>
              <w:t xml:space="preserve">Portabilidade (art. 20)</w:t>
            </w:r>
          </w:p>
        </w:tc>
        <w:tc>
          <w:tcPr/>
          <w:p>
            <w:pPr>
              <w:pStyle w:val="Compact"/>
            </w:pPr>
            <w:r>
              <w:rPr>
                <w:lang w:val="pt-PT"/>
              </w:rPr>
              <w:t xml:space="preserve">Exportar </w:t>
            </w:r>
            <w:r>
              <w:rPr>
                <w:lang w:val="pt-PT"/>
              </w:rPr>
              <w:t xml:space="preserve"/>
            </w:r>
            <w:r>
              <w:rPr>
                <w:rStyle w:val="VerbatimChar"/>
                <w:lang w:val="pt-PT"/>
              </w:rPr>
              <w:t xml:space="preserve">.tar.gz</w:t>
            </w:r>
            <w:r>
              <w:rPr>
                <w:lang w:val="pt-PT"/>
              </w:rPr>
              <w:t xml:space="preserve"> </w:t>
            </w:r>
            <w:r>
              <w:rPr>
                <w:lang w:val="pt-PT"/>
              </w:rPr>
              <w:t xml:space="preserve">assinado SHA-256 pelo locatário</w:t>
            </w:r>
          </w:p>
        </w:tc>
        <w:tc>
          <w:tcPr/>
          <w:p>
            <w:pPr>
              <w:pStyle w:val="Compact"/>
            </w:pPr>
            <w:r>
              <w:rPr>
                <w:lang w:val="pt-PT"/>
              </w:rPr>
              <w:t xml:space="preserve">Cliente (autoatendimento)</w:t>
            </w:r>
          </w:p>
        </w:tc>
      </w:tr>
      <w:tr>
        <w:trPr>
          <w:cantSplit/>
        </w:trPr>
        <w:tc>
          <w:tcPr/>
          <w:p>
            <w:pPr>
              <w:pStyle w:val="Compact"/>
            </w:pPr>
            <w:r>
              <w:rPr>
                <w:lang w:val="pt-PT"/>
              </w:rPr>
              <w:t xml:space="preserve">Limitação (art. 18)</w:t>
            </w:r>
          </w:p>
        </w:tc>
        <w:tc>
          <w:tcPr/>
          <w:p>
            <w:pPr>
              <w:pStyle w:val="Compact"/>
            </w:pPr>
            <w:r>
              <w:rPr>
                <w:lang w:val="pt-PT"/>
              </w:rPr>
              <w:t xml:space="preserve">Restrição de acesso/processamento de conteúdo direcionado</w:t>
            </w:r>
          </w:p>
        </w:tc>
        <w:tc>
          <w:tcPr/>
          <w:p>
            <w:pPr>
              <w:pStyle w:val="Compact"/>
            </w:pPr>
            <w:r>
              <w:rPr>
                <w:lang w:val="pt-PT"/>
              </w:rPr>
              <w:t xml:space="preserve">Cliente; OHADJA em suporte técnico</w:t>
            </w:r>
          </w:p>
        </w:tc>
      </w:tr>
      <w:tr>
        <w:trPr>
          <w:cantSplit/>
        </w:trPr>
        <w:tc>
          <w:tcPr/>
          <w:p>
            <w:pPr>
              <w:pStyle w:val="Compact"/>
            </w:pPr>
            <w:r>
              <w:rPr>
                <w:lang w:val="pt-PT"/>
              </w:rPr>
              <w:t xml:space="preserve">Oposição (art. 21)</w:t>
            </w:r>
          </w:p>
        </w:tc>
        <w:tc>
          <w:tcPr/>
          <w:p>
            <w:pPr>
              <w:pStyle w:val="Compact"/>
            </w:pPr>
            <w:r>
              <w:rPr>
                <w:lang w:val="pt-PT"/>
              </w:rPr>
              <w:t xml:space="preserve">Cessação do tratamento em questão de acordo com a decisão do Cliente</w:t>
            </w:r>
          </w:p>
        </w:tc>
        <w:tc>
          <w:tcPr/>
          <w:p>
            <w:pPr>
              <w:pStyle w:val="Compact"/>
            </w:pPr>
            <w:r>
              <w:rPr>
                <w:lang w:val="pt-PT"/>
              </w:rPr>
              <w:t xml:space="preserve">O Cliente avalia; a OHADJA executa as operações técnicas</w:t>
            </w:r>
          </w:p>
        </w:tc>
      </w:tr>
    </w:tbl>
    <w:p>
      <w:r>
        <w:pict>
          <v:rect style="width:0;height:1.5pt" o:hralign="center" o:hrstd="t" o:hr="t"/>
        </w:pict>
      </w:r>
    </w:p>
    <w:bookmarkEnd w:id="141"/>
    <w:bookmarkStart w:id="142" w:name="Xf2dfb29b41ebd5e3b0b22ee6a749e96ee0a58c3"/>
    <w:p>
      <w:pPr>
        <w:pStyle w:val="Heading2"/>
        <w:keepNext/>
        <w:keepLines/>
      </w:pPr>
      <w:r>
        <w:rPr>
          <w:color w:val="000000"/>
          <w:lang w:val="pt-PT"/>
        </w:rPr>
        <w:t xml:space="preserve">PROC-02 — Notificação de violação de dados</w:t>
      </w:r>
    </w:p>
    <w:p>
      <w:pPr>
        <w:pStyle w:val="FirstParagraph"/>
      </w:pPr>
      <w:r>
        <w:rPr>
          <w:b/>
          <w:bCs/>
          <w:lang w:val="pt-PT"/>
        </w:rPr>
        <w:t xml:space="preserve">Detecção. </w:t>
      </w:r>
      <w:r>
        <w:rPr>
          <w:lang w:val="pt-PT"/>
        </w:rPr>
        <w:t xml:space="preserve"/>
      </w:r>
      <w:r>
        <w:rPr>
          <w:lang w:val="pt-PT"/>
        </w:rPr>
        <w:t xml:space="preserve">Monitorização 24 horas por dia, 7 dias por semana (fila, disco, certificados, dependências), trilha de auditoria, alertas (ClamAV, segurança).</w:t>
      </w:r>
    </w:p>
    <w:p>
      <w:pPr>
        <w:pStyle w:val="BodyText"/>
      </w:pPr>
      <w:r>
        <w:rPr>
          <w:b/>
          <w:bCs/>
          <w:lang w:val="pt-PT"/>
        </w:rPr>
        <w:t xml:space="preserve">Qualificação. </w:t>
      </w:r>
      <w:r>
        <w:rPr>
          <w:lang w:val="pt-PT"/>
        </w:rPr>
        <w:t xml:space="preserve"/>
      </w:r>
      <w:r>
        <w:rPr>
          <w:lang w:val="pt-PT"/>
        </w:rPr>
        <w:t xml:space="preserve">OHADJA analisa o evento, limita seus efeitos, restaura a segurança e preserva os elementos de investigação.</w:t>
      </w:r>
    </w:p>
    <w:p>
      <w:pPr>
        <w:pStyle w:val="BodyText"/>
      </w:pPr>
      <w:r>
        <w:rPr>
          <w:b/>
          <w:bCs/>
          <w:lang w:val="pt-PT"/>
        </w:rPr>
        <w:t xml:space="preserve">Notificação ao Cliente. Em caso de </w:t>
      </w:r>
      <w:r>
        <w:rPr>
          <w:lang w:val="pt-PT"/>
        </w:rPr>
        <w:t xml:space="preserve"/>
      </w:r>
      <w:r>
        <w:rPr>
          <w:lang w:val="pt-PT"/>
        </w:rPr>
        <w:t xml:space="preserve">violação relativa aos dados do Cliente, a OHADJA informa-o sem demora injustificada após ter conhecimento </w:t>
      </w:r>
      <w:r>
        <w:rPr>
          <w:lang w:val="pt-PT"/>
        </w:rPr>
        <w:t xml:space="preserve"/>
      </w:r>
      <w:r>
        <w:rPr>
          <w:b/>
          <w:bCs/>
          <w:lang w:val="pt-PT"/>
        </w:rPr>
        <w:t xml:space="preserve">da violação, incluindo fora dos dias úteis (DPA §8), com os elementos disponíveis do artigo 33.º, </w:t>
      </w:r>
      <w:r>
        <w:rPr>
          <w:lang w:val="pt-PT"/>
        </w:rPr>
        <w:t xml:space="preserve">n.º </w:t>
      </w:r>
      <w:r>
        <w:rPr>
          <w:lang w:val="pt-PT"/>
        </w:rPr>
        <w:t xml:space="preserve">3; são prestadas informações complementares sem demora injustificada:</w:t>
      </w:r>
    </w:p>
    <w:p>
      <w:pPr>
        <w:pStyle w:val="Compact"/>
        <w:numPr>
          <w:ilvl w:val="0"/>
          <w:numId w:val="1038"/>
        </w:numPr>
      </w:pPr>
      <w:r>
        <w:rPr>
          <w:lang w:val="pt-PT"/>
        </w:rPr>
        <w:t xml:space="preserve">natureza da violação;</w:t>
      </w:r>
    </w:p>
    <w:p>
      <w:pPr>
        <w:pStyle w:val="Compact"/>
        <w:numPr>
          <w:ilvl w:val="0"/>
          <w:numId w:val="1038"/>
        </w:numPr>
      </w:pPr>
      <w:r>
        <w:rPr>
          <w:lang w:val="pt-PT"/>
        </w:rPr>
        <w:t xml:space="preserve">categorias de dados em causa;</w:t>
      </w:r>
    </w:p>
    <w:p>
      <w:pPr>
        <w:pStyle w:val="Compact"/>
        <w:numPr>
          <w:ilvl w:val="0"/>
          <w:numId w:val="1038"/>
        </w:numPr>
      </w:pPr>
      <w:r>
        <w:rPr>
          <w:lang w:val="pt-PT"/>
        </w:rPr>
        <w:t xml:space="preserve">categorias e número aproximado de pessoas envolvidas (se disponível);</w:t>
      </w:r>
    </w:p>
    <w:p>
      <w:pPr>
        <w:pStyle w:val="Compact"/>
        <w:numPr>
          <w:ilvl w:val="0"/>
          <w:numId w:val="1038"/>
        </w:numPr>
      </w:pPr>
      <w:r>
        <w:rPr>
          <w:lang w:val="pt-PT"/>
        </w:rPr>
        <w:t xml:space="preserve">categorias e número aproximado de registos afetados (se disponível);</w:t>
      </w:r>
    </w:p>
    <w:p>
      <w:pPr>
        <w:pStyle w:val="Compact"/>
        <w:numPr>
          <w:ilvl w:val="0"/>
          <w:numId w:val="1038"/>
        </w:numPr>
      </w:pPr>
      <w:r>
        <w:rPr>
          <w:lang w:val="pt-PT"/>
        </w:rPr>
        <w:t xml:space="preserve">consequências prováveis;</w:t>
      </w:r>
    </w:p>
    <w:p>
      <w:pPr>
        <w:pStyle w:val="Compact"/>
        <w:numPr>
          <w:ilvl w:val="0"/>
          <w:numId w:val="1038"/>
        </w:numPr>
      </w:pPr>
      <w:r>
        <w:rPr>
          <w:lang w:val="pt-PT"/>
        </w:rPr>
        <w:t xml:space="preserve">medidas tomadas ou propostas para remediar e mitigar;</w:t>
      </w:r>
    </w:p>
    <w:p>
      <w:pPr>
        <w:pStyle w:val="Compact"/>
        <w:numPr>
          <w:ilvl w:val="0"/>
          <w:numId w:val="1038"/>
        </w:numPr>
      </w:pPr>
      <w:r>
        <w:rPr>
          <w:lang w:val="pt-PT"/>
        </w:rPr>
        <w:t xml:space="preserve">ponto de contacto para maiores informações.</w:t>
      </w:r>
    </w:p>
    <w:p>
      <w:pPr>
        <w:pStyle w:val="FirstParagraph"/>
      </w:pPr>
      <w:r>
        <w:rPr>
          <w:b/>
          <w:bCs/>
          <w:lang w:val="pt-PT"/>
        </w:rPr>
        <w:t xml:space="preserve">Informações escalonadas. </w:t>
      </w:r>
      <w:r>
        <w:rPr>
          <w:lang w:val="pt-PT"/>
        </w:rPr>
        <w:t xml:space="preserve"/>
      </w:r>
      <w:r>
        <w:rPr>
          <w:lang w:val="pt-PT"/>
        </w:rPr>
        <w:t xml:space="preserve">Quando todas as informações não estão disponíveis simultaneamente, elas são comunicadas de forma escalonada, sem demora injustificada (art. 33.4).</w:t>
      </w:r>
    </w:p>
    <w:p>
      <w:pPr>
        <w:pStyle w:val="BodyText"/>
      </w:pPr>
      <w:r>
        <w:rPr>
          <w:b/>
          <w:bCs/>
          <w:lang w:val="pt-PT"/>
        </w:rPr>
        <w:t xml:space="preserve">Repartição de responsabilidades. O </w:t>
      </w:r>
      <w:r>
        <w:rPr>
          <w:lang w:val="pt-PT"/>
        </w:rPr>
        <w:t xml:space="preserve"/>
      </w:r>
      <w:r>
        <w:rPr>
          <w:lang w:val="pt-PT"/>
        </w:rPr>
        <w:t xml:space="preserve">Cliente, responsável pelo tratamento, avalia se é exigida uma notificação à autoridade de controlo competente nos termos do artigo 33.º do RGPD; quando exigida, realiza-a sem demora injustificada </w:t>
      </w:r>
      <w:r>
        <w:rPr>
          <w:b/>
          <w:bCs/>
          <w:lang w:val="pt-PT"/>
        </w:rPr>
        <w:t xml:space="preserve">e, sempre que </w:t>
      </w:r>
      <w:r>
        <w:rPr>
          <w:lang w:val="pt-PT"/>
        </w:rPr>
        <w:t xml:space="preserve">possível, nas 72 horas após ter conhecimento da violação. A autoridade não é determinada pelo idioma do documento; a CNIL é a autoridade francesa. Avalia separadamente a comunicação aos titulares dos dados quando o risco for elevado, nas condições do artigo 34.º.</w:t>
      </w:r>
    </w:p>
    <w:p>
      <w:pPr>
        <w:pStyle w:val="BodyText"/>
      </w:pPr>
      <w:r>
        <w:rPr>
          <w:b/>
          <w:bCs/>
          <w:lang w:val="pt-PT"/>
        </w:rPr>
        <w:t xml:space="preserve">Registre-se. </w:t>
      </w:r>
      <w:r>
        <w:rPr>
          <w:lang w:val="pt-PT"/>
        </w:rPr>
        <w:t xml:space="preserve"/>
      </w:r>
      <w:r>
        <w:rPr>
          <w:lang w:val="pt-PT"/>
        </w:rPr>
        <w:t xml:space="preserve">OHADJA monitora violações relativas ao Cliente.</w:t>
      </w:r>
    </w:p>
    <w:p>
      <w:pPr>
        <w:pStyle w:val="SourceCode"/>
      </w:pPr>
      <w:r>
        <w:rPr>
          <w:rStyle w:val="VerbatimChar"/>
          <w:rFonts w:ascii="Courier New" w:hAnsi="Courier New" w:eastAsia="Courier New" w:cs="Courier New"/>
          <w:sz w:val="18"/>
          <w:szCs w:val="18"/>
        </w:rPr>
        <w:t xml:space="preserve">Deteção -&gt; Avaliação (contenção, preservação)</w:t>
        <w:br/>
        <w:t xml:space="preserve">  -&gt; Notificação ao Cliente sem demora injustificada (conteúdo art. 33.3)</w:t>
        <w:br/>
        <w:t xml:space="preserve">  -&gt; [Cliente] notificação à autoridade de controlo competente</w:t>
        <w:br/>
        <w:t xml:space="preserve">     &lt;= 72 h após conhecimento, se exigida (art. 33.º)</w:t>
        <w:br/>
        <w:t xml:space="preserve">  -&gt; Informação faseada se necessário -&gt; Registo</w:t>
      </w:r>
    </w:p>
    <w:p>
      <w:r>
        <w:pict>
          <v:rect style="width:0;height:1.5pt" o:hralign="center" o:hrstd="t" o:hr="t"/>
        </w:pict>
      </w:r>
    </w:p>
    <w:bookmarkEnd w:id="142"/>
    <w:bookmarkStart w:id="143" w:name="X792fea81bfb021da122d0633eac6cb82ef8ab0f"/>
    <w:p>
      <w:pPr>
        <w:pStyle w:val="Heading2"/>
        <w:keepNext/>
        <w:keepLines/>
      </w:pPr>
      <w:r>
        <w:rPr>
          <w:color w:val="000000"/>
          <w:lang w:val="pt-PT"/>
        </w:rPr>
        <w:t xml:space="preserve">PROC-03 — Devolução/exclusão no final do contrato</w:t>
      </w:r>
    </w:p>
    <w:p>
      <w:pPr>
        <w:pStyle w:val="FirstParagraph"/>
      </w:pPr>
      <w:r>
        <w:rPr>
          <w:lang w:val="pt-PT"/>
        </w:rPr>
        <w:t xml:space="preserve">De acordo com o DPA §11, no final do contrato o Cliente </w:t>
      </w:r>
      <w:r>
        <w:rPr>
          <w:lang w:val="pt-PT"/>
        </w:rPr>
        <w:t xml:space="preserve"/>
      </w:r>
      <w:r>
        <w:rPr>
          <w:b/>
          <w:bCs/>
          <w:lang w:val="pt-PT"/>
        </w:rPr>
        <w:t xml:space="preserve">escolhe por </w:t>
      </w:r>
      <w:r>
        <w:rPr>
          <w:lang w:val="pt-PT"/>
        </w:rPr>
        <w:t xml:space="preserve"/>
      </w:r>
      <w:r>
        <w:rPr>
          <w:lang w:val="pt-PT"/>
        </w:rPr>
        <w:t xml:space="preserve">escrito:</w:t>
      </w:r>
    </w:p>
    <w:p>
      <w:pPr>
        <w:pStyle w:val="Compact"/>
        <w:numPr>
          <w:ilvl w:val="0"/>
          <w:numId w:val="1039"/>
        </w:numPr>
      </w:pPr>
      <w:r>
        <w:rPr>
          <w:b/>
          <w:bCs/>
          <w:lang w:val="pt-PT"/>
        </w:rPr>
        <w:t xml:space="preserve">Restituição: </w:t>
      </w:r>
      <w:r>
        <w:rPr>
          <w:lang w:val="pt-PT"/>
        </w:rPr>
        <w:t xml:space="preserve"/>
      </w:r>
      <w:r>
        <w:rPr>
          <w:lang w:val="pt-PT"/>
        </w:rPr>
        <w:t xml:space="preserve">exportação padrão </w:t>
      </w:r>
      <w:r>
        <w:rPr>
          <w:lang w:val="pt-PT"/>
        </w:rPr>
        <w:t xml:space="preserve"/>
      </w:r>
      <w:r>
        <w:rPr>
          <w:rStyle w:val="VerbatimChar"/>
          <w:lang w:val="pt-PT"/>
        </w:rPr>
        <w:t xml:space="preserve">.tar.gz</w:t>
      </w:r>
      <w:r>
        <w:rPr>
          <w:lang w:val="pt-PT"/>
        </w:rPr>
        <w:t xml:space="preserve"> </w:t>
      </w:r>
      <w:r>
        <w:rPr>
          <w:lang w:val="pt-PT"/>
        </w:rPr>
        <w:t xml:space="preserve">assinado SHA-256 pelo inquilino.</w:t>
      </w:r>
    </w:p>
    <w:p>
      <w:pPr>
        <w:pStyle w:val="Compact"/>
        <w:numPr>
          <w:ilvl w:val="0"/>
          <w:numId w:val="1039"/>
        </w:numPr>
      </w:pPr>
      <w:r>
        <w:rPr>
          <w:b/>
          <w:bCs/>
          <w:lang w:val="pt-PT"/>
        </w:rPr>
        <w:t xml:space="preserve">Exclusão: </w:t>
      </w:r>
      <w:r>
        <w:rPr>
          <w:lang w:val="pt-PT"/>
        </w:rPr>
        <w:t xml:space="preserve"/>
      </w:r>
      <w:r>
        <w:rPr>
          <w:lang w:val="pt-PT"/>
        </w:rPr>
        <w:t xml:space="preserve">produção excluída </w:t>
      </w:r>
      <w:r>
        <w:rPr>
          <w:lang w:val="pt-PT"/>
        </w:rPr>
        <w:t xml:space="preserve">≤ </w:t>
      </w:r>
      <w:r>
        <w:rPr>
          <w:b/>
          <w:bCs/>
          <w:lang w:val="pt-PT"/>
        </w:rPr>
        <w:t xml:space="preserve">30 dias; </w:t>
      </w:r>
      <w:r>
        <w:rPr>
          <w:lang w:val="pt-PT"/>
        </w:rPr>
        <w:t xml:space="preserve"/>
      </w:r>
      <w:r>
        <w:rPr>
          <w:lang w:val="pt-PT"/>
        </w:rPr>
        <w:t xml:space="preserve">backups eliminados </w:t>
      </w:r>
      <w:r>
        <w:rPr>
          <w:lang w:val="pt-PT"/>
        </w:rPr>
        <w:t xml:space="preserve"/>
      </w:r>
      <w:r>
        <w:rPr>
          <w:b/>
          <w:bCs/>
          <w:lang w:val="pt-PT"/>
        </w:rPr>
        <w:t xml:space="preserve">≤ 90 </w:t>
      </w:r>
      <w:r>
        <w:rPr>
          <w:lang w:val="pt-PT"/>
        </w:rPr>
        <w:t xml:space="preserve">dias.</w:t>
      </w:r>
    </w:p>
    <w:p>
      <w:pPr>
        <w:pStyle w:val="Compact"/>
        <w:numPr>
          <w:ilvl w:val="0"/>
          <w:numId w:val="1039"/>
        </w:numPr>
      </w:pPr>
      <w:r>
        <w:rPr>
          <w:b/>
          <w:bCs/>
          <w:lang w:val="pt-PT"/>
        </w:rPr>
        <w:t xml:space="preserve">Certificado </w:t>
      </w:r>
      <w:r>
        <w:rPr>
          <w:lang w:val="pt-PT"/>
        </w:rPr>
        <w:t xml:space="preserve"/>
      </w:r>
      <w:r>
        <w:rPr>
          <w:lang w:val="pt-PT"/>
        </w:rPr>
        <w:t xml:space="preserve">de remoção ou devolução fornecido </w:t>
      </w:r>
      <w:r>
        <w:rPr>
          <w:lang w:val="pt-PT"/>
        </w:rPr>
        <w:t xml:space="preserve"/>
      </w:r>
      <w:r>
        <w:rPr>
          <w:b/>
          <w:bCs/>
          <w:lang w:val="pt-PT"/>
        </w:rPr>
        <w:t xml:space="preserve">≤ 30 dias </w:t>
      </w:r>
      <w:r>
        <w:rPr>
          <w:lang w:val="pt-PT"/>
        </w:rPr>
        <w:t xml:space="preserve"/>
      </w:r>
      <w:r>
        <w:rPr>
          <w:lang w:val="pt-PT"/>
        </w:rPr>
        <w:t xml:space="preserve">após a conclusão.</w:t>
      </w:r>
    </w:p>
    <w:p>
      <w:r>
        <w:pict>
          <v:rect style="width:0;height:1.5pt" o:hralign="center" o:hrstd="t" o:hr="t"/>
        </w:pict>
      </w:r>
    </w:p>
    <w:bookmarkEnd w:id="143"/>
    <w:bookmarkStart w:id="144" w:name="X6001a8d9102cccbb3e345d0a66583a05f743cff"/>
    <w:p>
      <w:pPr>
        <w:pStyle w:val="Heading2"/>
        <w:keepNext/>
        <w:keepLines/>
      </w:pPr>
      <w:r>
        <w:rPr>
          <w:color w:val="000000"/>
          <w:lang w:val="pt-PT"/>
        </w:rPr>
        <w:t xml:space="preserve">PROC-04 — Auxílio na análise de impacto (AIPD)</w:t>
      </w:r>
    </w:p>
    <w:p>
      <w:pPr>
        <w:pStyle w:val="FirstParagraph"/>
      </w:pPr>
      <w:r>
        <w:rPr>
          <w:b/>
          <w:bCs/>
          <w:lang w:val="pt-PT"/>
        </w:rPr>
        <w:t xml:space="preserve">Informações fornecidas por </w:t>
      </w:r>
      <w:r>
        <w:rPr>
          <w:lang w:val="pt-PT"/>
        </w:rPr>
        <w:t xml:space="preserve">OHADJA: </w:t>
      </w:r>
      <w:r>
        <w:rPr>
          <w:lang w:val="pt-PT"/>
        </w:rPr>
        <w:t xml:space="preserve">arquitetura de serviço, medidas técnicas e organizacionais (MTO), lista de subcontratantes ulteriores, mapeamento de fluxo, garantias específicas para correlação de voz.</w:t>
      </w:r>
    </w:p>
    <w:p>
      <w:pPr>
        <w:pStyle w:val="BodyText"/>
      </w:pPr>
      <w:r>
        <w:rPr>
          <w:b/>
          <w:bCs/>
          <w:lang w:val="pt-PT"/>
        </w:rPr>
        <w:t xml:space="preserve">Resultados: </w:t>
      </w:r>
      <w:r>
        <w:rPr>
          <w:lang w:val="pt-PT"/>
        </w:rPr>
        <w:t xml:space="preserve"/>
      </w:r>
      <w:r>
        <w:rPr>
          <w:lang w:val="pt-PT"/>
        </w:rPr>
        <w:t xml:space="preserve">uma </w:t>
      </w:r>
      <w:r>
        <w:rPr>
          <w:lang w:val="pt-PT"/>
        </w:rPr>
        <w:t xml:space="preserve"/>
      </w:r>
      <w:r>
        <w:rPr>
          <w:b/>
          <w:bCs/>
          <w:lang w:val="pt-PT"/>
        </w:rPr>
        <w:t xml:space="preserve">DPIA/AIPD genérica está </w:t>
      </w:r>
      <w:r>
        <w:rPr>
          <w:lang w:val="pt-PT"/>
        </w:rPr>
        <w:t xml:space="preserve"/>
      </w:r>
      <w:r>
        <w:rPr>
          <w:lang w:val="pt-PT"/>
        </w:rPr>
        <w:t xml:space="preserve">disponível mediante solicitação, para suporte; O AIPD continua a ser da responsabilidade do Cliente (responsável pelo </w:t>
      </w:r>
      <w:r>
        <w:rPr>
          <w:lang w:val="pt-PT"/>
        </w:rPr>
        <w:t xml:space="preserve"/>
      </w:r>
      <w:r>
        <w:rPr>
          <w:b/>
          <w:bCs/>
          <w:lang w:val="pt-PT"/>
        </w:rPr>
        <w:t xml:space="preserve">tratamento). </w:t>
      </w:r>
      <w:r>
        <w:rPr>
          <w:lang w:val="pt-PT"/>
        </w:rPr>
        <w:t xml:space="preserve"/>
      </w:r>
      <w:r>
        <w:rPr>
          <w:lang w:val="pt-PT"/>
        </w:rPr>
        <w:t xml:space="preserve">Um workshop de apoio pode ser organizado.</w:t>
      </w:r>
    </w:p>
    <w:p>
      <w:pPr>
        <w:pStyle w:val="BodyText"/>
      </w:pPr>
      <w:r>
        <w:rPr>
          <w:b/>
          <w:bCs/>
          <w:lang w:val="pt-PT"/>
        </w:rPr>
        <w:t xml:space="preserve">Caso de correlação de voz: </w:t>
      </w:r>
      <w:r>
        <w:rPr>
          <w:lang w:val="pt-PT"/>
        </w:rPr>
        <w:t xml:space="preserve"/>
      </w:r>
      <w:r>
        <w:rPr>
          <w:lang w:val="pt-PT"/>
        </w:rPr>
        <w:t xml:space="preserve">AIPD </w:t>
      </w:r>
      <w:r>
        <w:rPr>
          <w:lang w:val="pt-PT"/>
        </w:rPr>
        <w:t xml:space="preserve"/>
      </w:r>
      <w:r>
        <w:rPr>
          <w:b/>
          <w:bCs/>
          <w:lang w:val="pt-PT"/>
        </w:rPr>
        <w:t xml:space="preserve">prévio obrigatório </w:t>
      </w:r>
      <w:r>
        <w:rPr>
          <w:lang w:val="pt-PT"/>
        </w:rPr>
        <w:t xml:space="preserve"/>
      </w:r>
      <w:r>
        <w:rPr>
          <w:lang w:val="pt-PT"/>
        </w:rPr>
        <w:t xml:space="preserve">antes da ativação (ver OHA-RGPD-07).</w:t>
      </w:r>
    </w:p>
    <w:p>
      <w:r>
        <w:pict>
          <v:rect style="width:0;height:1.5pt" o:hralign="center" o:hrstd="t" o:hr="t"/>
        </w:pict>
      </w:r>
    </w:p>
    <w:bookmarkEnd w:id="144"/>
    <w:bookmarkStart w:id="145" w:name="proc-05--assistance-à-laudit"/>
    <w:p>
      <w:pPr>
        <w:pStyle w:val="Heading2"/>
        <w:keepNext/>
        <w:keepLines/>
      </w:pPr>
      <w:r>
        <w:rPr>
          <w:color w:val="000000"/>
          <w:lang w:val="pt-PT"/>
        </w:rPr>
        <w:t xml:space="preserve">PROC-05 — Assistência de auditoria</w:t>
      </w:r>
    </w:p>
    <w:p>
      <w:pPr>
        <w:pStyle w:val="Compact"/>
        <w:numPr>
          <w:ilvl w:val="0"/>
          <w:numId w:val="1040"/>
        </w:numPr>
      </w:pPr>
      <w:r>
        <w:rPr>
          <w:lang w:val="pt-PT"/>
        </w:rPr>
        <w:t xml:space="preserve">Direito do cliente à auditoria: </w:t>
      </w:r>
      <w:r>
        <w:rPr>
          <w:lang w:val="pt-PT"/>
        </w:rPr>
        <w:t xml:space="preserve"/>
      </w:r>
      <w:r>
        <w:rPr>
          <w:b/>
          <w:bCs/>
          <w:lang w:val="pt-PT"/>
        </w:rPr>
        <w:t xml:space="preserve">1 auditoria por ano civil, </w:t>
      </w:r>
      <w:r>
        <w:rPr>
          <w:lang w:val="pt-PT"/>
        </w:rPr>
        <w:t xml:space="preserve">notificação por </w:t>
      </w:r>
      <w:r>
        <w:rPr>
          <w:lang w:val="pt-PT"/>
        </w:rPr>
        <w:t xml:space="preserve"/>
      </w:r>
      <w:r>
        <w:rPr>
          <w:b/>
          <w:bCs/>
          <w:lang w:val="pt-PT"/>
        </w:rPr>
        <w:t xml:space="preserve">escrito ≥ 30 </w:t>
      </w:r>
      <w:r>
        <w:rPr>
          <w:lang w:val="pt-PT"/>
        </w:rPr>
        <w:t xml:space="preserve">dias </w:t>
      </w:r>
      <w:r>
        <w:rPr>
          <w:lang w:val="pt-PT"/>
        </w:rPr>
        <w:t xml:space="preserve">(exceto incidente grave ou solicitação de autoridade).</w:t>
      </w:r>
    </w:p>
    <w:p>
      <w:pPr>
        <w:pStyle w:val="Compact"/>
        <w:numPr>
          <w:ilvl w:val="0"/>
          <w:numId w:val="1040"/>
        </w:numPr>
      </w:pPr>
      <w:r>
        <w:rPr>
          <w:lang w:val="pt-PT"/>
        </w:rPr>
        <w:t xml:space="preserve">Realizado em dias/horários úteis, sem comprometer a segurança, disponibilidade ou confidencialidade dos dados de outros clientes.</w:t>
      </w:r>
    </w:p>
    <w:p>
      <w:pPr>
        <w:pStyle w:val="Compact"/>
        <w:numPr>
          <w:ilvl w:val="0"/>
          <w:numId w:val="1040"/>
        </w:numPr>
      </w:pPr>
      <w:r>
        <w:rPr>
          <w:lang w:val="pt-PT"/>
        </w:rPr>
        <w:t xml:space="preserve">Possível auditor terceirizado (sujeito a confidencialidade, não concorrente).</w:t>
      </w:r>
    </w:p>
    <w:p>
      <w:pPr>
        <w:pStyle w:val="Compact"/>
        <w:numPr>
          <w:ilvl w:val="0"/>
          <w:numId w:val="1040"/>
        </w:numPr>
      </w:pPr>
      <w:r>
        <w:rPr>
          <w:lang w:val="pt-PT"/>
        </w:rPr>
        <w:t xml:space="preserve">Âmbito: cumprimento do artigo 28.º e do DPA; exclusão de dados de outros clientes, segredos comerciais, código-fonte não licenciado.</w:t>
      </w:r>
    </w:p>
    <w:p>
      <w:pPr>
        <w:pStyle w:val="Compact"/>
        <w:numPr>
          <w:ilvl w:val="0"/>
          <w:numId w:val="1040"/>
        </w:numPr>
      </w:pPr>
      <w:r>
        <w:rPr>
          <w:lang w:val="pt-PT"/>
        </w:rPr>
        <w:t xml:space="preserve">Em caso de não conformidade substancial: plano de remediação proporcional.</w:t>
      </w:r>
    </w:p>
    <w:p>
      <w:r>
        <w:pict>
          <v:rect style="width:0;height:1.5pt" o:hralign="center" o:hrstd="t" o:hr="t"/>
        </w:pict>
      </w:r>
    </w:p>
    <w:bookmarkEnd w:id="145"/>
    <w:bookmarkStart w:id="146" w:name="proc-06--escalade-et-contacts"/>
    <w:p>
      <w:pPr>
        <w:pStyle w:val="Heading2"/>
        <w:keepNext/>
        <w:keepLines/>
      </w:pPr>
      <w:r>
        <w:rPr>
          <w:color w:val="000000"/>
          <w:lang w:val="pt-PT"/>
        </w:rPr>
        <w:t xml:space="preserve">PROC-06 — Escalação e contactos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pt-PT"/>
              </w:rPr>
              <w:t xml:space="preserve">Assunto</w:t>
            </w:r>
          </w:p>
        </w:tc>
        <w:tc>
          <w:tcPr/>
          <w:p>
            <w:pPr>
              <w:pStyle w:val="Compact"/>
            </w:pPr>
            <w:r>
              <w:rPr>
                <w:lang w:val="pt-PT"/>
              </w:rPr>
              <w:t xml:space="preserve">Contacto</w:t>
            </w:r>
          </w:p>
        </w:tc>
        <w:tc>
          <w:tcPr/>
          <w:p>
            <w:pPr>
              <w:pStyle w:val="Compact"/>
            </w:pPr>
            <w:r>
              <w:rPr>
                <w:lang w:val="pt-PT"/>
              </w:rPr>
              <w:t xml:space="preserve">Prazo previsto</w:t>
            </w:r>
          </w:p>
        </w:tc>
      </w:tr>
      <w:tr>
        <w:trPr>
          <w:cantSplit/>
        </w:trPr>
        <w:tc>
          <w:tcPr/>
          <w:p>
            <w:pPr>
              <w:pStyle w:val="Compact"/>
            </w:pPr>
            <w:r>
              <w:rPr>
                <w:lang w:val="pt-PT"/>
              </w:rPr>
              <w:t xml:space="preserve">Exercício de direitos</w:t>
            </w:r>
          </w:p>
        </w:tc>
        <w:tc>
          <w:tcPr/>
          <w:p>
            <w:pPr>
              <w:pStyle w:val="Compact"/>
            </w:pPr>
            <w:hyperlink r:id="rId9">
              <w:r>
                <w:rPr>
                  <w:rStyle w:val="Hyperlink"/>
                  <w:lang w:val="pt-PT"/>
                </w:rPr>
                <w:t xml:space="preserve">privacy@transcribia.eu</w:t>
              </w:r>
            </w:hyperlink>
          </w:p>
        </w:tc>
        <w:tc>
          <w:tcPr/>
          <w:p>
            <w:pPr>
              <w:pStyle w:val="Compact"/>
            </w:pPr>
            <w:r>
              <w:rPr>
                <w:lang w:val="pt-PT"/>
              </w:rPr>
              <w:t xml:space="preserve">Assistência ≤ 7 dias úteis</w:t>
            </w:r>
          </w:p>
        </w:tc>
      </w:tr>
      <w:tr>
        <w:trPr>
          <w:cantSplit/>
        </w:trPr>
        <w:tc>
          <w:tcPr/>
          <w:p>
            <w:pPr>
              <w:pStyle w:val="Compact"/>
            </w:pPr>
            <w:r>
              <w:rPr>
                <w:lang w:val="pt-PT"/>
              </w:rPr>
              <w:t xml:space="preserve">Violação de dados</w:t>
            </w:r>
          </w:p>
        </w:tc>
        <w:tc>
          <w:tcPr/>
          <w:p>
            <w:pPr>
              <w:pStyle w:val="Compact"/>
            </w:pPr>
            <w:hyperlink r:id="rId9">
              <w:r>
                <w:rPr>
                  <w:rStyle w:val="Hyperlink"/>
                  <w:lang w:val="pt-PT"/>
                </w:rPr>
                <w:t xml:space="preserve">privacy@transcribia.eu</w:t>
              </w:r>
            </w:hyperlink>
          </w:p>
        </w:tc>
        <w:tc>
          <w:tcPr/>
          <w:p>
            <w:pPr>
              <w:pStyle w:val="Compact"/>
            </w:pPr>
            <w:r>
              <w:rPr>
                <w:lang w:val="pt-PT"/>
              </w:rPr>
              <w:t xml:space="preserve">Notificação sem demora injustificada após ter conhecimento, incluindo fora dos dias úteis</w:t>
            </w:r>
          </w:p>
        </w:tc>
      </w:tr>
      <w:tr>
        <w:trPr>
          <w:cantSplit/>
        </w:trPr>
        <w:tc>
          <w:tcPr/>
          <w:p>
            <w:pPr>
              <w:pStyle w:val="Compact"/>
            </w:pPr>
            <w:r>
              <w:rPr>
                <w:lang w:val="pt-PT"/>
              </w:rPr>
              <w:t xml:space="preserve">Restituição/exclusão</w:t>
            </w:r>
          </w:p>
        </w:tc>
        <w:tc>
          <w:tcPr/>
          <w:p>
            <w:pPr>
              <w:pStyle w:val="Compact"/>
            </w:pPr>
            <w:hyperlink r:id="rId9">
              <w:r>
                <w:rPr>
                  <w:rStyle w:val="Hyperlink"/>
                  <w:lang w:val="pt-PT"/>
                </w:rPr>
                <w:t xml:space="preserve">privacy@transcribia.eu</w:t>
              </w:r>
            </w:hyperlink>
          </w:p>
        </w:tc>
        <w:tc>
          <w:tcPr/>
          <w:p>
            <w:pPr>
              <w:pStyle w:val="Compact"/>
            </w:pPr>
            <w:r>
              <w:rPr>
                <w:lang w:val="pt-PT"/>
              </w:rPr>
              <w:t xml:space="preserve">Exclusão ≤ 30 dias/certificado ≤ 30 dias</w:t>
            </w:r>
          </w:p>
        </w:tc>
      </w:tr>
      <w:tr>
        <w:trPr>
          <w:cantSplit/>
        </w:trPr>
        <w:tc>
          <w:tcPr/>
          <w:p>
            <w:pPr>
              <w:pStyle w:val="Compact"/>
            </w:pPr>
            <w:r>
              <w:rPr>
                <w:lang w:val="pt-PT"/>
              </w:rPr>
              <w:t xml:space="preserve">AIPD/documentação</w:t>
            </w:r>
          </w:p>
        </w:tc>
        <w:tc>
          <w:tcPr/>
          <w:p>
            <w:pPr>
              <w:pStyle w:val="Compact"/>
            </w:pPr>
            <w:hyperlink r:id="rId9">
              <w:r>
                <w:rPr>
                  <w:rStyle w:val="Hyperlink"/>
                  <w:lang w:val="pt-PT"/>
                </w:rPr>
                <w:t xml:space="preserve">privacy@transcribia.eu</w:t>
              </w:r>
            </w:hyperlink>
          </w:p>
        </w:tc>
        <w:tc>
          <w:tcPr/>
          <w:p>
            <w:pPr>
              <w:pStyle w:val="Compact"/>
            </w:pPr>
            <w:r>
              <w:rPr>
                <w:lang w:val="pt-PT"/>
              </w:rPr>
              <w:t xml:space="preserve">A pedido</w:t>
            </w:r>
          </w:p>
        </w:tc>
      </w:tr>
      <w:tr>
        <w:trPr>
          <w:cantSplit/>
        </w:trPr>
        <w:tc>
          <w:tcPr/>
          <w:p>
            <w:pPr>
              <w:pStyle w:val="Compact"/>
            </w:pPr>
            <w:r>
              <w:rPr>
                <w:lang w:val="pt-PT"/>
              </w:rPr>
              <w:t xml:space="preserve">Auditoria</w:t>
            </w:r>
          </w:p>
        </w:tc>
        <w:tc>
          <w:tcPr/>
          <w:p>
            <w:pPr>
              <w:pStyle w:val="Compact"/>
            </w:pPr>
            <w:hyperlink r:id="rId9">
              <w:r>
                <w:rPr>
                  <w:rStyle w:val="Hyperlink"/>
                  <w:lang w:val="pt-PT"/>
                </w:rPr>
                <w:t xml:space="preserve">privacy@transcribia.eu</w:t>
              </w:r>
            </w:hyperlink>
          </w:p>
        </w:tc>
        <w:tc>
          <w:tcPr/>
          <w:p>
            <w:pPr>
              <w:pStyle w:val="Compact"/>
            </w:pPr>
            <w:r>
              <w:rPr>
                <w:lang w:val="pt-PT"/>
              </w:rPr>
              <w:t xml:space="preserve">Aviso ≥ 30 dias</w:t>
            </w:r>
          </w:p>
        </w:tc>
      </w:tr>
    </w:tbl>
    <w:p>
      <w:pPr>
        <w:pStyle w:val="BlockText"/>
      </w:pPr>
      <w:r>
        <w:rPr>
          <w:lang w:val="pt-PT"/>
        </w:rPr>
        <w:t xml:space="preserve">Os detalhes de contacto da pessoa de contacto do lado do Cliente (pessoa de contacto, DPO) devem ser preenchidos pelo Cliente — consulte OHA-RGPD-09.</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46"/>
    <w:bookmarkEnd w:id="147"/>
    <w:bookmarkStart w:id="152" w:name="Xd09627a6906f0cfd013e0f21fecf00b43a25682"/>
    <w:p>
      <w:pPr>
        <w:pStyle w:val="Heading1"/>
        <w:keepNext/>
        <w:keepLines/>
      </w:pPr>
      <w:r>
        <w:rPr>
          <w:color w:val="000000"/>
          <w:lang w:val="pt-PT"/>
        </w:rPr>
        <w:t xml:space="preserve">Contacto e pessoa de referência para proteção de dados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OHA-RGPD-09</w:t>
            </w:r>
          </w:p>
        </w:tc>
      </w:tr>
      <w:tr>
        <w:trPr>
          <w:cantSplit/>
        </w:trPr>
        <w:tc>
          <w:tcPr/>
          <w:p>
            <w:pPr>
              <w:pStyle w:val="Compact"/>
            </w:pPr>
            <w:r>
              <w:rPr>
                <w:lang w:val="pt-PT"/>
              </w:rPr>
              <w:t xml:space="preserve">Objetivo</w:t>
            </w:r>
          </w:p>
        </w:tc>
        <w:tc>
          <w:tcPr/>
          <w:p>
            <w:pPr>
              <w:pStyle w:val="Compact"/>
            </w:pPr>
            <w:r>
              <w:rPr>
                <w:lang w:val="pt-PT"/>
              </w:rPr>
              <w:t xml:space="preserve">Pessoa de contacto da OHADJA para proteção de dados e contactos</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Destinatário</w:t>
            </w:r>
          </w:p>
        </w:tc>
        <w:tc>
          <w:tcPr/>
          <w:p>
            <w:pPr>
              <w:pStyle w:val="Compact"/>
            </w:pPr>
            <w:r>
              <w:rPr>
                <w:lang w:val="pt-PT"/>
              </w:rPr>
              <w:t xml:space="preserve">Organização do cliente (documento padrão)</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148" w:name="Xd7a3ca93746dcf1d0f8d53c63f17d63b80b17bf"/>
    <w:p>
      <w:pPr>
        <w:pStyle w:val="Heading2"/>
        <w:keepNext/>
        <w:keepLines/>
      </w:pPr>
      <w:r>
        <w:rPr>
          <w:color w:val="000000"/>
          <w:lang w:val="pt-PT"/>
        </w:rPr>
        <w:t xml:space="preserve">1. Ausência de DPO na aceção do artigo 37.º</w:t>
      </w:r>
    </w:p>
    <w:p>
      <w:pPr>
        <w:pStyle w:val="FirstParagraph"/>
      </w:pPr>
      <w:r>
        <w:rPr>
          <w:lang w:val="pt-PT"/>
        </w:rPr>
        <w:t xml:space="preserve">A OHADJA não designou um encarregado da proteção de dados (EPD) à data do </w:t>
      </w:r>
      <w:r>
        <w:rPr>
          <w:lang w:val="pt-PT"/>
        </w:rPr>
        <w:t xml:space="preserve"/>
      </w:r>
      <w:r>
        <w:rPr>
          <w:b/>
          <w:bCs/>
          <w:lang w:val="pt-PT"/>
        </w:rPr>
        <w:t xml:space="preserve">presente documento. A necessidade de designação deve ser </w:t>
      </w:r>
      <w:r>
        <w:rPr>
          <w:lang w:val="pt-PT"/>
        </w:rPr>
        <w:t xml:space="preserve"/>
      </w:r>
      <w:r>
        <w:rPr>
          <w:lang w:val="pt-PT"/>
        </w:rPr>
        <w:t xml:space="preserve">avaliada e documentada à luz do artigo 37.º, incluindo para os tratamentos realizados na qualidade de subcontratante: natureza das atividades principais, controlo regular e sistemático em grande </w:t>
      </w:r>
      <w:r>
        <w:rPr>
          <w:lang w:val="pt-PT"/>
        </w:rPr>
        <w:t xml:space="preserve"/>
      </w:r>
      <w:r>
        <w:rPr>
          <w:b/>
          <w:bCs/>
          <w:lang w:val="pt-PT"/>
        </w:rPr>
        <w:t xml:space="preserve">escala e tratamento em grande escala de categorias </w:t>
      </w:r>
      <w:r>
        <w:rPr>
          <w:lang w:val="pt-PT"/>
        </w:rPr>
        <w:t xml:space="preserve"/>
      </w:r>
      <w:r>
        <w:rPr>
          <w:lang w:val="pt-PT"/>
        </w:rPr>
        <w:t xml:space="preserve">especiais ou de dados penais. O simples facto de atuar por conta de clientes não constitui </w:t>
      </w:r>
      <w:r>
        <w:rPr>
          <w:lang w:val="pt-PT"/>
        </w:rPr>
        <w:t xml:space="preserve"/>
      </w:r>
      <w:r>
        <w:rPr>
          <w:b/>
          <w:bCs/>
          <w:lang w:val="pt-PT"/>
        </w:rPr>
        <w:t xml:space="preserve">uma isenção. A análise e, se </w:t>
      </w:r>
      <w:r>
        <w:rPr>
          <w:lang w:val="pt-PT"/>
        </w:rPr>
        <w:t xml:space="preserve"/>
      </w:r>
      <w:r>
        <w:rPr>
          <w:lang w:val="pt-PT"/>
        </w:rPr>
        <w:t xml:space="preserve">necessário, a </w:t>
      </w:r>
      <w:r>
        <w:rPr>
          <w:lang w:val="pt-PT"/>
        </w:rPr>
        <w:t xml:space="preserve">designação </w:t>
      </w:r>
      <w:r>
        <w:rPr>
          <w:b/>
          <w:bCs/>
          <w:lang w:val="pt-PT"/>
        </w:rPr>
        <w:t xml:space="preserve">devem </w:t>
      </w:r>
      <w:r>
        <w:rPr>
          <w:lang w:val="pt-PT"/>
        </w:rPr>
        <w:t xml:space="preserve"/>
      </w:r>
      <w:r>
        <w:rPr>
          <w:lang w:val="pt-PT"/>
        </w:rPr>
        <w:t xml:space="preserve">ser atualizadas quando o âmbito da atividade se alterar.</w:t>
      </w:r>
    </w:p>
    <w:bookmarkEnd w:id="148"/>
    <w:bookmarkStart w:id="149" w:name="Xd48118d6a794f15c0faa6b011a9f0f3df2cd5dc"/>
    <w:p>
      <w:pPr>
        <w:pStyle w:val="Heading2"/>
        <w:keepNext/>
        <w:keepLines/>
      </w:pPr>
      <w:r>
        <w:rPr>
          <w:color w:val="000000"/>
          <w:lang w:val="pt-PT"/>
        </w:rPr>
        <w:t xml:space="preserve">2. Pessoa de contacto para proteção de dados</w:t>
      </w:r>
    </w:p>
    <w:p>
      <w:pPr>
        <w:pStyle w:val="FirstParagraph"/>
      </w:pPr>
      <w:r>
        <w:rPr>
          <w:lang w:val="pt-PT"/>
        </w:rPr>
        <w:t xml:space="preserve">Na ausência de obrigação de designar um EPD, a OHADJA designou uma </w:t>
      </w:r>
      <w:r>
        <w:rPr>
          <w:lang w:val="pt-PT"/>
        </w:rPr>
        <w:t xml:space="preserve"/>
      </w:r>
      <w:r>
        <w:rPr>
          <w:b/>
          <w:bCs/>
          <w:lang w:val="pt-PT"/>
        </w:rPr>
        <w:t xml:space="preserve">pessoa de contacto para proteção </w:t>
      </w:r>
      <w:r>
        <w:rPr>
          <w:lang w:val="pt-PT"/>
        </w:rPr>
        <w:t xml:space="preserve">de dados, ponto de contacto único para todas as questões de conformidade: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Nome</w:t>
            </w:r>
          </w:p>
        </w:tc>
        <w:tc>
          <w:tcPr/>
          <w:p>
            <w:pPr>
              <w:pStyle w:val="Compact"/>
            </w:pPr>
            <w:r>
              <w:rPr>
                <w:lang w:val="pt-PT"/>
              </w:rPr>
              <w:t xml:space="preserve">Olivier Dupont</w:t>
            </w:r>
          </w:p>
        </w:tc>
      </w:tr>
      <w:tr>
        <w:trPr>
          <w:cantSplit/>
        </w:trPr>
        <w:tc>
          <w:tcPr/>
          <w:p>
            <w:pPr>
              <w:pStyle w:val="Compact"/>
            </w:pPr>
            <w:r>
              <w:rPr>
                <w:lang w:val="pt-PT"/>
              </w:rPr>
              <w:t xml:space="preserve">Função</w:t>
            </w:r>
          </w:p>
        </w:tc>
        <w:tc>
          <w:tcPr/>
          <w:p>
            <w:pPr>
              <w:pStyle w:val="Compact"/>
            </w:pPr>
            <w:r>
              <w:rPr>
                <w:lang w:val="pt-PT"/>
              </w:rPr>
              <w:t xml:space="preserve">CTO, cofundador da OHADJA</w:t>
            </w:r>
          </w:p>
        </w:tc>
      </w:tr>
      <w:tr>
        <w:trPr>
          <w:cantSplit/>
        </w:trPr>
        <w:tc>
          <w:tcPr/>
          <w:p>
            <w:pPr>
              <w:pStyle w:val="Compact"/>
            </w:pPr>
            <w:r>
              <w:rPr>
                <w:lang w:val="pt-PT"/>
              </w:rPr>
              <w:t xml:space="preserve">Posicionamento</w:t>
            </w:r>
          </w:p>
        </w:tc>
        <w:tc>
          <w:tcPr/>
          <w:p>
            <w:pPr>
              <w:pStyle w:val="Compact"/>
            </w:pPr>
            <w:r>
              <w:rPr>
                <w:lang w:val="pt-PT"/>
              </w:rPr>
              <w:t xml:space="preserve">Gestão técnica - tomador de decisão</w:t>
            </w:r>
          </w:p>
        </w:tc>
      </w:tr>
      <w:tr>
        <w:trPr>
          <w:cantSplit/>
        </w:trPr>
        <w:tc>
          <w:tcPr/>
          <w:p>
            <w:pPr>
              <w:pStyle w:val="Compact"/>
            </w:pPr>
            <w:r>
              <w:rPr>
                <w:lang w:val="pt-PT"/>
              </w:rPr>
              <w:t xml:space="preserve">Endereço</w:t>
            </w:r>
          </w:p>
        </w:tc>
        <w:tc>
          <w:tcPr/>
          <w:p>
            <w:pPr>
              <w:pStyle w:val="Compact"/>
            </w:pPr>
            <w:hyperlink r:id="rId9">
              <w:r>
                <w:rPr>
                  <w:rStyle w:val="Hyperlink"/>
                  <w:lang w:val="pt-PT"/>
                </w:rPr>
                <w:t xml:space="preserve">privacy@transcribia.eu</w:t>
              </w:r>
            </w:hyperlink>
          </w:p>
        </w:tc>
      </w:tr>
    </w:tbl>
    <w:p>
      <w:pPr>
        <w:pStyle w:val="BodyText"/>
      </w:pPr>
      <w:r>
        <w:rPr>
          <w:b/>
          <w:bCs/>
          <w:lang w:val="pt-PT"/>
        </w:rPr>
        <w:t xml:space="preserve">Funções da pessoa de contacto:</w:t>
      </w:r>
    </w:p>
    <w:p>
      <w:pPr>
        <w:pStyle w:val="Compact"/>
        <w:numPr>
          <w:ilvl w:val="0"/>
          <w:numId w:val="1041"/>
        </w:numPr>
      </w:pPr>
      <w:r>
        <w:rPr>
          <w:lang w:val="pt-PT"/>
        </w:rPr>
        <w:t xml:space="preserve">ponto único de contacto para o Cliente nos assuntos RGPD;</w:t>
      </w:r>
    </w:p>
    <w:p>
      <w:pPr>
        <w:pStyle w:val="Compact"/>
        <w:numPr>
          <w:ilvl w:val="0"/>
          <w:numId w:val="1041"/>
        </w:numPr>
      </w:pPr>
      <w:r>
        <w:rPr>
          <w:lang w:val="pt-PT"/>
        </w:rPr>
        <w:t xml:space="preserve">processamento de pedidos de assistência (direitos individuais, AIPD, auditoria);</w:t>
      </w:r>
    </w:p>
    <w:p>
      <w:pPr>
        <w:pStyle w:val="Compact"/>
        <w:numPr>
          <w:ilvl w:val="0"/>
          <w:numId w:val="1041"/>
        </w:numPr>
      </w:pPr>
      <w:r>
        <w:rPr>
          <w:lang w:val="pt-PT"/>
        </w:rPr>
        <w:t xml:space="preserve">lidar com notificações de violação de dados;</w:t>
      </w:r>
    </w:p>
    <w:p>
      <w:pPr>
        <w:pStyle w:val="Compact"/>
        <w:numPr>
          <w:ilvl w:val="0"/>
          <w:numId w:val="1041"/>
        </w:numPr>
      </w:pPr>
      <w:r>
        <w:rPr>
          <w:lang w:val="pt-PT"/>
        </w:rPr>
        <w:t xml:space="preserve">monitorização de subcontratantes ulteriores e alterações na lista;</w:t>
      </w:r>
    </w:p>
    <w:p>
      <w:pPr>
        <w:pStyle w:val="Compact"/>
        <w:numPr>
          <w:ilvl w:val="0"/>
          <w:numId w:val="1041"/>
        </w:numPr>
      </w:pPr>
      <w:r>
        <w:rPr>
          <w:lang w:val="pt-PT"/>
        </w:rPr>
        <w:t xml:space="preserve">gestão de compromissos de segurança e proteção de dados.</w:t>
      </w:r>
    </w:p>
    <w:p>
      <w:pPr>
        <w:pStyle w:val="BlockText"/>
      </w:pPr>
      <w:r>
        <w:rPr>
          <w:lang w:val="pt-PT"/>
        </w:rPr>
        <w:t xml:space="preserve">Lembrete: </w:t>
      </w:r>
      <w:r>
        <w:rPr>
          <w:lang w:val="pt-PT"/>
        </w:rPr>
        <w:t xml:space="preserve"/>
      </w:r>
      <w:r>
        <w:rPr>
          <w:b/>
          <w:bCs/>
          <w:lang w:val="pt-PT"/>
        </w:rPr>
        <w:t xml:space="preserve">AMBASSADIA </w:t>
      </w:r>
      <w:r>
        <w:rPr>
          <w:lang w:val="pt-PT"/>
        </w:rPr>
        <w:t xml:space="preserve"/>
      </w:r>
      <w:r>
        <w:rPr>
          <w:lang w:val="pt-PT"/>
        </w:rPr>
        <w:t xml:space="preserve">SARL atua apenas como </w:t>
      </w:r>
      <w:r>
        <w:rPr>
          <w:lang w:val="pt-PT"/>
        </w:rPr>
        <w:t xml:space="preserve"/>
      </w:r>
      <w:r>
        <w:rPr>
          <w:b/>
          <w:bCs/>
          <w:lang w:val="pt-PT"/>
        </w:rPr>
        <w:t xml:space="preserve">revendedor/distribuidor comercial </w:t>
      </w:r>
      <w:r>
        <w:rPr>
          <w:lang w:val="pt-PT"/>
        </w:rPr>
        <w:t xml:space="preserve"/>
      </w:r>
      <w:r>
        <w:rPr>
          <w:lang w:val="pt-PT"/>
        </w:rPr>
        <w:t xml:space="preserve">(Mónaco e França) e não tem nenhuma função no processamento de dados de produção (consulte OHA-RGPD-01). O contacto de proteção de dados é o OHADJA acima.</w:t>
      </w:r>
    </w:p>
    <w:bookmarkEnd w:id="149"/>
    <w:bookmarkStart w:id="150" w:name="Xd27d2de919086e13e632c8f876706769bd7cd44"/>
    <w:p>
      <w:pPr>
        <w:pStyle w:val="Heading2"/>
        <w:keepNext/>
        <w:keepLines/>
      </w:pPr>
      <w:r>
        <w:rPr>
          <w:color w:val="000000"/>
          <w:lang w:val="pt-PT"/>
        </w:rPr>
        <w:t xml:space="preserve">3. Compromisso com o desenvolvimento</w:t>
      </w:r>
    </w:p>
    <w:p>
      <w:pPr>
        <w:pStyle w:val="FirstParagraph"/>
      </w:pPr>
      <w:r>
        <w:rPr>
          <w:lang w:val="pt-PT"/>
        </w:rPr>
        <w:t xml:space="preserve">OHADJA compromete-se </w:t>
      </w:r>
      <w:r>
        <w:rPr>
          <w:lang w:val="pt-PT"/>
        </w:rPr>
        <w:t xml:space="preserve"/>
      </w:r>
      <w:r>
        <w:rPr>
          <w:b/>
          <w:bCs/>
          <w:lang w:val="pt-PT"/>
        </w:rPr>
        <w:t xml:space="preserve">a nomear um DPO </w:t>
      </w:r>
      <w:r>
        <w:rPr>
          <w:lang w:val="pt-PT"/>
        </w:rPr>
        <w:t xml:space="preserve"/>
      </w:r>
      <w:r>
        <w:rPr>
          <w:lang w:val="pt-PT"/>
        </w:rPr>
        <w:t xml:space="preserve">externo se a evolução da sua atividade criar a obrigação ou oportunidade (crescimento em volume, natureza do tratamento). </w:t>
      </w:r>
      <w:r>
        <w:rPr>
          <w:lang w:val="pt-PT"/>
        </w:rPr>
        <w:t xml:space="preserve"/>
      </w:r>
      <w:r>
        <w:rPr>
          <w:b/>
          <w:bCs/>
          <w:lang w:val="pt-PT"/>
        </w:rPr>
        <w:t xml:space="preserve">Decisão [A SER CONFIRMADA]. </w:t>
      </w:r>
      <w:r>
        <w:rPr>
          <w:lang w:val="pt-PT"/>
        </w:rPr>
        <w:t xml:space="preserve"/>
      </w:r>
      <w:r>
        <w:rPr>
          <w:lang w:val="pt-PT"/>
        </w:rPr>
        <w:t xml:space="preserve">O Cliente seria informado.</w:t>
      </w:r>
    </w:p>
    <w:bookmarkEnd w:id="150"/>
    <w:bookmarkStart w:id="151" w:name="X287af0f67808bd24f67c60b7531ef259dcc71bf"/>
    <w:p>
      <w:pPr>
        <w:pStyle w:val="Heading2"/>
        <w:keepNext/>
        <w:keepLines/>
      </w:pPr>
      <w:r>
        <w:rPr>
          <w:color w:val="000000"/>
          <w:lang w:val="pt-PT"/>
        </w:rPr>
        <w:t xml:space="preserve">4. Contactos do lado do cliente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Elemento</w:t>
            </w:r>
          </w:p>
        </w:tc>
        <w:tc>
          <w:tcPr/>
          <w:p>
            <w:pPr>
              <w:pStyle w:val="Compact"/>
            </w:pPr>
            <w:r>
              <w:rPr>
                <w:lang w:val="pt-PT"/>
              </w:rPr>
              <w:t xml:space="preserve">Valor</w:t>
            </w:r>
          </w:p>
        </w:tc>
      </w:tr>
      <w:tr>
        <w:trPr>
          <w:cantSplit/>
        </w:trPr>
        <w:tc>
          <w:tcPr/>
          <w:p>
            <w:pPr>
              <w:pStyle w:val="Compact"/>
            </w:pPr>
            <w:r>
              <w:rPr>
                <w:lang w:val="pt-PT"/>
              </w:rPr>
              <w:t xml:space="preserve">Responsável pelo tratamento</w:t>
            </w:r>
          </w:p>
        </w:tc>
        <w:tc>
          <w:tcPr/>
          <w:p>
            <w:pPr>
              <w:pStyle w:val="Compact"/>
            </w:pPr>
            <w:r>
              <w:rPr>
                <w:lang w:val="pt-PT"/>
              </w:rPr>
              <w:t xml:space="preserve">o cliente</w:t>
            </w:r>
          </w:p>
        </w:tc>
      </w:tr>
      <w:tr>
        <w:trPr>
          <w:cantSplit/>
        </w:trPr>
        <w:tc>
          <w:tcPr/>
          <w:p>
            <w:pPr>
              <w:pStyle w:val="Compact"/>
            </w:pPr>
            <w:r>
              <w:rPr>
                <w:lang w:val="pt-PT"/>
              </w:rPr>
              <w:t xml:space="preserve">Representante</w:t>
            </w:r>
          </w:p>
        </w:tc>
        <w:tc>
          <w:tcPr/>
          <w:p>
            <w:pPr>
              <w:pStyle w:val="Compact"/>
            </w:pPr>
            <w:r>
              <w:rPr>
                <w:lang w:val="pt-PT"/>
              </w:rPr>
              <w:t xml:space="preserve">[A SER PREENCHIDO pelo cliente]</w:t>
            </w:r>
          </w:p>
        </w:tc>
      </w:tr>
      <w:tr>
        <w:trPr>
          <w:cantSplit/>
        </w:trPr>
        <w:tc>
          <w:tcPr/>
          <w:p>
            <w:pPr>
              <w:pStyle w:val="Compact"/>
            </w:pPr>
            <w:r>
              <w:rPr>
                <w:lang w:val="pt-PT"/>
              </w:rPr>
              <w:t xml:space="preserve">Oficial de Proteção de Dados (DPO)</w:t>
            </w:r>
          </w:p>
        </w:tc>
        <w:tc>
          <w:tcPr/>
          <w:p>
            <w:pPr>
              <w:pStyle w:val="Compact"/>
            </w:pPr>
            <w:r>
              <w:rPr>
                <w:lang w:val="pt-PT"/>
              </w:rPr>
              <w:t xml:space="preserve">[A SER PREENCHIDO pelo cliente: nome, email]</w:t>
            </w:r>
          </w:p>
        </w:tc>
      </w:tr>
      <w:tr>
        <w:trPr>
          <w:cantSplit/>
        </w:trPr>
        <w:tc>
          <w:tcPr/>
          <w:p>
            <w:pPr>
              <w:pStyle w:val="Compact"/>
            </w:pPr>
            <w:r>
              <w:rPr>
                <w:lang w:val="pt-PT"/>
              </w:rPr>
              <w:t xml:space="preserve">Serviço comercial de referência</w:t>
            </w:r>
          </w:p>
        </w:tc>
        <w:tc>
          <w:tcPr/>
          <w:p>
            <w:pPr>
              <w:pStyle w:val="Compact"/>
            </w:pPr>
            <w:r>
              <w:rPr>
                <w:lang w:val="pt-PT"/>
              </w:rPr>
              <w:t xml:space="preserve">[A SER PREENCHIDO pelo cliente]</w:t>
            </w:r>
          </w:p>
        </w:tc>
      </w:tr>
    </w:tbl>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p>
      <w:r>
        <w:br w:type="page"/>
      </w:r>
    </w:p>
    <w:bookmarkEnd w:id="151"/>
    <w:bookmarkEnd w:id="152"/>
    <w:bookmarkStart w:id="161" w:name="Xa0817e5cfd9d4fab3462efccc36c0418bca3f2a"/>
    <w:p>
      <w:pPr>
        <w:pStyle w:val="Heading1"/>
        <w:keepNext/>
        <w:keepLines/>
      </w:pPr>
      <w:r>
        <w:rPr>
          <w:color w:val="000000"/>
          <w:lang w:val="pt-PT"/>
        </w:rPr>
        <w:t xml:space="preserve">TranscribIA — Status das certificações e abordagem de conformidade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pt-PT"/>
              </w:rPr>
              <w:t xml:space="preserve">Referência</w:t>
            </w:r>
          </w:p>
        </w:tc>
        <w:tc>
          <w:tcPr/>
          <w:p>
            <w:pPr>
              <w:pStyle w:val="Compact"/>
            </w:pPr>
            <w:r>
              <w:rPr>
                <w:lang w:val="pt-PT"/>
              </w:rPr>
              <w:t xml:space="preserve">CERT-TRANSCRIBIA-2026-01</w:t>
            </w:r>
          </w:p>
        </w:tc>
      </w:tr>
      <w:tr>
        <w:trPr>
          <w:cantSplit/>
        </w:trPr>
        <w:tc>
          <w:tcPr/>
          <w:p>
            <w:pPr>
              <w:pStyle w:val="Compact"/>
            </w:pPr>
            <w:r>
              <w:rPr>
                <w:b/>
                <w:bCs/>
                <w:lang w:val="pt-PT"/>
              </w:rPr>
              <w:t xml:space="preserve">Versão</w:t>
            </w:r>
          </w:p>
        </w:tc>
        <w:tc>
          <w:tcPr/>
          <w:p>
            <w:pPr>
              <w:pStyle w:val="Compact"/>
            </w:pPr>
            <w:r>
              <w:rPr>
                <w:lang w:val="pt-PT"/>
              </w:rPr>
              <w:t xml:space="preserve">1.0</w:t>
            </w:r>
          </w:p>
        </w:tc>
      </w:tr>
      <w:tr>
        <w:trPr>
          <w:cantSplit/>
        </w:trPr>
        <w:tc>
          <w:tcPr/>
          <w:p>
            <w:pPr>
              <w:pStyle w:val="Compact"/>
            </w:pPr>
            <w:r>
              <w:rPr>
                <w:b/>
                <w:bCs/>
                <w:lang w:val="pt-PT"/>
              </w:rPr>
              <w:t xml:space="preserve">Data</w:t>
            </w:r>
          </w:p>
        </w:tc>
        <w:tc>
          <w:tcPr/>
          <w:p>
            <w:pPr>
              <w:pStyle w:val="Compact"/>
            </w:pPr>
            <w:r>
              <w:rPr>
                <w:lang w:val="pt-PT"/>
              </w:rPr>
              <w:t xml:space="preserve">2026-07-24</w:t>
            </w:r>
          </w:p>
        </w:tc>
      </w:tr>
      <w:tr>
        <w:trPr>
          <w:cantSplit/>
        </w:trPr>
        <w:tc>
          <w:tcPr/>
          <w:p>
            <w:pPr>
              <w:pStyle w:val="Compact"/>
            </w:pPr>
            <w:r>
              <w:rPr>
                <w:b/>
                <w:bCs/>
                <w:lang w:val="pt-PT"/>
              </w:rPr>
              <w:t xml:space="preserve">Editor</w:t>
            </w:r>
          </w:p>
        </w:tc>
        <w:tc>
          <w:tcPr/>
          <w:p>
            <w:pPr>
              <w:pStyle w:val="Compact"/>
            </w:pPr>
            <w:r>
              <w:rPr>
                <w:lang w:val="pt-PT"/>
              </w:rPr>
              <w:t xml:space="preserve">OHADJA</w:t>
            </w:r>
          </w:p>
        </w:tc>
      </w:tr>
      <w:tr>
        <w:trPr>
          <w:cantSplit/>
        </w:trPr>
        <w:tc>
          <w:tcPr/>
          <w:p>
            <w:pPr>
              <w:pStyle w:val="Compact"/>
            </w:pPr>
            <w:r>
              <w:rPr>
                <w:b/>
                <w:bCs/>
                <w:lang w:val="pt-PT"/>
              </w:rPr>
              <w:t xml:space="preserve">Classificação</w:t>
            </w:r>
          </w:p>
        </w:tc>
        <w:tc>
          <w:tcPr/>
          <w:p>
            <w:pPr>
              <w:pStyle w:val="Compact"/>
            </w:pPr>
            <w:r>
              <w:rPr>
                <w:lang w:val="pt-PT"/>
              </w:rPr>
              <w:t xml:space="preserve">Público</w:t>
            </w:r>
          </w:p>
        </w:tc>
      </w:tr>
    </w:tbl>
    <w:p>
      <w:r>
        <w:pict>
          <v:rect style="width:0;height:1.5pt" o:hralign="center" o:hrstd="t" o:hr="t"/>
        </w:pict>
      </w:r>
    </w:p>
    <w:bookmarkStart w:id="153" w:name="avertissement-liminaire"/>
    <w:p>
      <w:pPr>
        <w:pStyle w:val="Heading2"/>
        <w:keepNext/>
        <w:keepLines/>
      </w:pPr>
      <w:r>
        <w:rPr>
          <w:color w:val="000000"/>
          <w:lang w:val="pt-PT"/>
        </w:rPr>
        <w:t xml:space="preserve">Aviso preliminar</w:t>
      </w:r>
    </w:p>
    <w:p>
      <w:pPr>
        <w:pStyle w:val="FirstParagraph"/>
      </w:pPr>
      <w:r>
        <w:rPr>
          <w:lang w:val="pt-PT"/>
        </w:rPr>
        <w:t xml:space="preserve">Este documento descreve </w:t>
      </w:r>
      <w:r>
        <w:rPr>
          <w:lang w:val="pt-PT"/>
        </w:rPr>
        <w:t xml:space="preserve"/>
      </w:r>
      <w:r>
        <w:rPr>
          <w:b/>
          <w:bCs/>
          <w:lang w:val="pt-PT"/>
        </w:rPr>
        <w:t xml:space="preserve">honestamente </w:t>
      </w:r>
      <w:r>
        <w:rPr>
          <w:lang w:val="pt-PT"/>
        </w:rPr>
        <w:t xml:space="preserve"/>
      </w:r>
      <w:r>
        <w:rPr>
          <w:lang w:val="pt-PT"/>
        </w:rPr>
        <w:t xml:space="preserve">o status do trabalho de certificação e conformidade de OHADJA, editor de TranscribIA, em 24/07/2026.</w:t>
      </w:r>
    </w:p>
    <w:p>
      <w:pPr>
        <w:pStyle w:val="BodyText"/>
      </w:pPr>
      <w:r>
        <w:rPr>
          <w:b/>
          <w:bCs/>
          <w:lang w:val="pt-PT"/>
        </w:rPr>
        <w:t xml:space="preserve">Nenhuma certificação foi obtida até o </w:t>
      </w:r>
      <w:r>
        <w:rPr>
          <w:lang w:val="pt-PT"/>
        </w:rPr>
        <w:t xml:space="preserve">momento. </w:t>
      </w:r>
      <w:r>
        <w:rPr>
          <w:lang w:val="pt-PT"/>
        </w:rPr>
        <w:t xml:space="preserve">Os processos atuais são apresentados como tal, sem antecipação do seu resultado. Nada contido neste documento deve ser interpretado como uma afirmação de certificação adquirida.</w:t>
      </w:r>
    </w:p>
    <w:p>
      <w:r>
        <w:pict>
          <v:rect style="width:0;height:1.5pt" o:hralign="center" o:hrstd="t" o:hr="t"/>
        </w:pict>
      </w:r>
    </w:p>
    <w:bookmarkEnd w:id="153"/>
    <w:bookmarkStart w:id="154" w:name="Xa679f6b55037bda2ffd42c65cf46be439bdcc24"/>
    <w:p>
      <w:pPr>
        <w:pStyle w:val="Heading2"/>
        <w:keepNext/>
        <w:keepLines/>
      </w:pPr>
      <w:r>
        <w:rPr>
          <w:color w:val="000000"/>
          <w:lang w:val="pt-PT"/>
        </w:rPr>
        <w:t xml:space="preserve">1. Tabela de status de certificação</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pt-PT"/>
              </w:rPr>
              <w:t xml:space="preserve">Repositório</w:t>
            </w:r>
          </w:p>
        </w:tc>
        <w:tc>
          <w:tcPr>
            <w:tcW w:type="dxa" w:w="2340"/>
            <w:tcMar>
              <w:left w:type="dxa" w:w="80"/>
              <w:right w:type="dxa" w:w="80"/>
            </w:tcMar>
          </w:tcPr>
          <w:p>
            <w:pPr>
              <w:pStyle w:val="Compact"/>
            </w:pPr>
            <w:r>
              <w:rPr>
                <w:sz w:val="19"/>
                <w:szCs w:val="19"/>
                <w:lang w:val="pt-PT"/>
              </w:rPr>
              <w:t xml:space="preserve">Natureza</w:t>
            </w:r>
          </w:p>
        </w:tc>
        <w:tc>
          <w:tcPr>
            <w:tcW w:type="dxa" w:w="2340"/>
            <w:tcMar>
              <w:left w:type="dxa" w:w="80"/>
              <w:right w:type="dxa" w:w="80"/>
            </w:tcMar>
          </w:tcPr>
          <w:p>
            <w:pPr>
              <w:pStyle w:val="Compact"/>
            </w:pPr>
            <w:r>
              <w:rPr>
                <w:sz w:val="19"/>
                <w:szCs w:val="19"/>
                <w:lang w:val="pt-PT"/>
              </w:rPr>
              <w:t xml:space="preserve">Situação em 24/07/2026</w:t>
            </w:r>
          </w:p>
        </w:tc>
        <w:tc>
          <w:tcPr>
            <w:tcW w:type="dxa" w:w="2340"/>
            <w:tcMar>
              <w:left w:type="dxa" w:w="80"/>
              <w:right w:type="dxa" w:w="80"/>
            </w:tcMar>
          </w:tcPr>
          <w:p>
            <w:pPr>
              <w:pStyle w:val="Compact"/>
            </w:pPr>
            <w:r>
              <w:rPr>
                <w:sz w:val="19"/>
                <w:szCs w:val="19"/>
                <w:lang w:val="pt-PT"/>
              </w:rPr>
              <w:t xml:space="preserve">Horizonte alvo</w:t>
            </w:r>
          </w:p>
        </w:tc>
      </w:tr>
      <w:tr>
        <w:trPr>
          <w:cantSplit/>
        </w:trPr>
        <w:tc>
          <w:tcPr>
            <w:tcW w:type="dxa" w:w="2340"/>
            <w:tcMar>
              <w:left w:type="dxa" w:w="80"/>
              <w:right w:type="dxa" w:w="80"/>
            </w:tcMar>
          </w:tcPr>
          <w:p>
            <w:pPr>
              <w:pStyle w:val="Compact"/>
            </w:pPr>
            <w:r>
              <w:rPr>
                <w:sz w:val="19"/>
                <w:szCs w:val="19"/>
                <w:lang w:val="pt-PT"/>
              </w:rPr>
              <w:t xml:space="preserve">ISO/IEC 27001 (gestão de segurança da informação)</w:t>
            </w:r>
          </w:p>
        </w:tc>
        <w:tc>
          <w:tcPr>
            <w:tcW w:type="dxa" w:w="2340"/>
            <w:tcMar>
              <w:left w:type="dxa" w:w="80"/>
              <w:right w:type="dxa" w:w="80"/>
            </w:tcMar>
          </w:tcPr>
          <w:p>
            <w:pPr>
              <w:pStyle w:val="Compact"/>
            </w:pPr>
            <w:r>
              <w:rPr>
                <w:sz w:val="19"/>
                <w:szCs w:val="19"/>
                <w:lang w:val="pt-PT"/>
              </w:rPr>
              <w:t xml:space="preserve">Certificação do sistema de gestão</w:t>
            </w:r>
          </w:p>
        </w:tc>
        <w:tc>
          <w:tcPr>
            <w:tcW w:type="dxa" w:w="2340"/>
            <w:tcMar>
              <w:left w:type="dxa" w:w="80"/>
              <w:right w:type="dxa" w:w="80"/>
            </w:tcMar>
          </w:tcPr>
          <w:p>
            <w:pPr>
              <w:pStyle w:val="Compact"/>
            </w:pPr>
            <w:r>
              <w:rPr>
                <w:b/>
                <w:bCs/>
                <w:sz w:val="19"/>
                <w:szCs w:val="19"/>
                <w:lang w:val="pt-PT"/>
              </w:rPr>
              <w:t xml:space="preserve">Abordagem comprometida </w:t>
            </w:r>
            <w:r>
              <w:rPr>
                <w:sz w:val="19"/>
                <w:szCs w:val="19"/>
                <w:lang w:val="pt-PT"/>
              </w:rPr>
              <w:t xml:space="preserve"/>
            </w:r>
            <w:r>
              <w:rPr>
                <w:sz w:val="19"/>
                <w:szCs w:val="19"/>
                <w:lang w:val="pt-PT"/>
              </w:rPr>
              <w:t xml:space="preserve">— Base documental do SGSI implementada (16 políticas formalizadas); </w:t>
            </w:r>
            <w:r>
              <w:rPr>
                <w:sz w:val="19"/>
                <w:szCs w:val="19"/>
                <w:lang w:val="pt-PT"/>
              </w:rPr>
              <w:t xml:space="preserve"/>
            </w:r>
            <w:r>
              <w:rPr>
                <w:b/>
                <w:bCs/>
                <w:sz w:val="19"/>
                <w:szCs w:val="19"/>
                <w:lang w:val="pt-PT"/>
              </w:rPr>
              <w:t xml:space="preserve">não certificado</w:t>
            </w:r>
          </w:p>
        </w:tc>
        <w:tc>
          <w:tcPr>
            <w:tcW w:type="dxa" w:w="2340"/>
            <w:tcMar>
              <w:left w:type="dxa" w:w="80"/>
              <w:right w:type="dxa" w:w="80"/>
            </w:tcMar>
          </w:tcPr>
          <w:p>
            <w:pPr>
              <w:pStyle w:val="Compact"/>
            </w:pPr>
            <w:r>
              <w:rPr>
                <w:sz w:val="19"/>
                <w:szCs w:val="19"/>
                <w:lang w:val="pt-PT"/>
              </w:rPr>
              <w:t xml:space="preserve">Auditoria de certificação prevista </w:t>
            </w:r>
            <w:r>
              <w:rPr>
                <w:sz w:val="19"/>
                <w:szCs w:val="19"/>
                <w:lang w:val="pt-PT"/>
              </w:rPr>
              <w:t xml:space="preserve"/>
            </w:r>
            <w:r>
              <w:rPr>
                <w:b/>
                <w:bCs/>
                <w:sz w:val="19"/>
                <w:szCs w:val="19"/>
                <w:lang w:val="pt-PT"/>
              </w:rPr>
              <w:t xml:space="preserve">para o início de 2027</w:t>
            </w:r>
          </w:p>
        </w:tc>
      </w:tr>
      <w:tr>
        <w:trPr>
          <w:cantSplit/>
        </w:trPr>
        <w:tc>
          <w:tcPr>
            <w:tcW w:type="dxa" w:w="2340"/>
            <w:tcMar>
              <w:left w:type="dxa" w:w="80"/>
              <w:right w:type="dxa" w:w="80"/>
            </w:tcMar>
          </w:tcPr>
          <w:p>
            <w:pPr>
              <w:pStyle w:val="Compact"/>
            </w:pPr>
            <w:r>
              <w:rPr>
                <w:sz w:val="19"/>
                <w:szCs w:val="19"/>
                <w:lang w:val="pt-PT"/>
              </w:rPr>
              <w:t xml:space="preserve">SOC 2 Tipo I</w:t>
            </w:r>
          </w:p>
        </w:tc>
        <w:tc>
          <w:tcPr>
            <w:tcW w:type="dxa" w:w="2340"/>
            <w:tcMar>
              <w:left w:type="dxa" w:w="80"/>
              <w:right w:type="dxa" w:w="80"/>
            </w:tcMar>
          </w:tcPr>
          <w:p>
            <w:pPr>
              <w:pStyle w:val="Compact"/>
            </w:pPr>
            <w:r>
              <w:rPr>
                <w:sz w:val="19"/>
                <w:szCs w:val="19"/>
                <w:lang w:val="pt-PT"/>
              </w:rPr>
              <w:t xml:space="preserve">Relatório de atestação independente</w:t>
            </w:r>
          </w:p>
        </w:tc>
        <w:tc>
          <w:tcPr>
            <w:tcW w:type="dxa" w:w="2340"/>
            <w:tcMar>
              <w:left w:type="dxa" w:w="80"/>
              <w:right w:type="dxa" w:w="80"/>
            </w:tcMar>
          </w:tcPr>
          <w:p>
            <w:pPr>
              <w:pStyle w:val="Compact"/>
            </w:pPr>
            <w:r>
              <w:rPr>
                <w:b/>
                <w:bCs/>
                <w:sz w:val="19"/>
                <w:szCs w:val="19"/>
                <w:lang w:val="pt-PT"/>
              </w:rPr>
              <w:t xml:space="preserve">Auditoria prevista para </w:t>
            </w:r>
            <w:r>
              <w:rPr>
                <w:sz w:val="19"/>
                <w:szCs w:val="19"/>
                <w:lang w:val="pt-PT"/>
              </w:rPr>
              <w:t xml:space="preserve">2026; </w:t>
            </w:r>
            <w:r>
              <w:rPr>
                <w:sz w:val="19"/>
                <w:szCs w:val="19"/>
                <w:lang w:val="pt-PT"/>
              </w:rPr>
              <w:t xml:space="preserve"/>
            </w:r>
            <w:r>
              <w:rPr>
                <w:sz w:val="19"/>
                <w:szCs w:val="19"/>
                <w:lang w:val="pt-PT"/>
              </w:rPr>
              <w:t xml:space="preserve"/>
            </w:r>
            <w:r>
              <w:rPr>
                <w:b/>
                <w:bCs/>
                <w:sz w:val="19"/>
                <w:szCs w:val="19"/>
                <w:lang w:val="pt-PT"/>
              </w:rPr>
              <w:t xml:space="preserve">não realizado até o momento</w:t>
            </w:r>
          </w:p>
        </w:tc>
        <w:tc>
          <w:tcPr>
            <w:tcW w:type="dxa" w:w="2340"/>
            <w:tcMar>
              <w:left w:type="dxa" w:w="80"/>
              <w:right w:type="dxa" w:w="80"/>
            </w:tcMar>
          </w:tcPr>
          <w:p>
            <w:pPr>
              <w:pStyle w:val="Compact"/>
            </w:pPr>
            <w:r>
              <w:rPr>
                <w:sz w:val="19"/>
                <w:szCs w:val="19"/>
                <w:lang w:val="pt-PT"/>
              </w:rPr>
              <w:t xml:space="preserve">2026</w:t>
            </w:r>
          </w:p>
        </w:tc>
      </w:tr>
      <w:tr>
        <w:trPr>
          <w:cantSplit/>
        </w:trPr>
        <w:tc>
          <w:tcPr>
            <w:tcW w:type="dxa" w:w="2340"/>
            <w:tcMar>
              <w:left w:type="dxa" w:w="80"/>
              <w:right w:type="dxa" w:w="80"/>
            </w:tcMar>
          </w:tcPr>
          <w:p>
            <w:pPr>
              <w:pStyle w:val="Compact"/>
            </w:pPr>
            <w:r>
              <w:rPr>
                <w:sz w:val="19"/>
                <w:szCs w:val="19"/>
                <w:lang w:val="pt-PT"/>
              </w:rPr>
              <w:t xml:space="preserve">ISO/IEC 27701 (gestão de proteção de privacidade)</w:t>
            </w:r>
          </w:p>
        </w:tc>
        <w:tc>
          <w:tcPr>
            <w:tcW w:type="dxa" w:w="2340"/>
            <w:tcMar>
              <w:left w:type="dxa" w:w="80"/>
              <w:right w:type="dxa" w:w="80"/>
            </w:tcMar>
          </w:tcPr>
          <w:p>
            <w:pPr>
              <w:pStyle w:val="Compact"/>
            </w:pPr>
            <w:r>
              <w:rPr>
                <w:sz w:val="19"/>
                <w:szCs w:val="19"/>
                <w:lang w:val="pt-PT"/>
              </w:rPr>
              <w:t xml:space="preserve">Certificação (extensão de 27001)</w:t>
            </w:r>
          </w:p>
        </w:tc>
        <w:tc>
          <w:tcPr>
            <w:tcW w:type="dxa" w:w="2340"/>
            <w:tcMar>
              <w:left w:type="dxa" w:w="80"/>
              <w:right w:type="dxa" w:w="80"/>
            </w:tcMar>
          </w:tcPr>
          <w:p>
            <w:pPr>
              <w:pStyle w:val="Compact"/>
            </w:pPr>
            <w:r>
              <w:rPr>
                <w:b/>
                <w:bCs/>
                <w:sz w:val="19"/>
                <w:szCs w:val="19"/>
                <w:lang w:val="pt-PT"/>
              </w:rPr>
              <w:t xml:space="preserve">Em estudo </w:t>
            </w:r>
            <w:r>
              <w:rPr>
                <w:sz w:val="19"/>
                <w:szCs w:val="19"/>
                <w:lang w:val="pt-PT"/>
              </w:rPr>
              <w:t xml:space="preserve"/>
            </w:r>
            <w:r>
              <w:rPr>
                <w:sz w:val="19"/>
                <w:szCs w:val="19"/>
                <w:lang w:val="pt-PT"/>
              </w:rPr>
              <w:t xml:space="preserve">— extensão natural prevista após obtenção de 27001</w:t>
            </w:r>
          </w:p>
        </w:tc>
        <w:tc>
          <w:tcPr>
            <w:tcW w:type="dxa" w:w="2340"/>
            <w:tcMar>
              <w:left w:type="dxa" w:w="80"/>
              <w:right w:type="dxa" w:w="80"/>
            </w:tcMar>
          </w:tcPr>
          <w:p>
            <w:pPr>
              <w:pStyle w:val="Compact"/>
            </w:pPr>
            <w:r>
              <w:rPr>
                <w:sz w:val="19"/>
                <w:szCs w:val="19"/>
                <w:lang w:val="pt-PT"/>
              </w:rPr>
              <w:t xml:space="preserve">Depois de 27001</w:t>
            </w:r>
          </w:p>
        </w:tc>
      </w:tr>
      <w:tr>
        <w:trPr>
          <w:cantSplit/>
        </w:trPr>
        <w:tc>
          <w:tcPr>
            <w:tcW w:type="dxa" w:w="2340"/>
            <w:tcMar>
              <w:left w:type="dxa" w:w="80"/>
              <w:right w:type="dxa" w:w="80"/>
            </w:tcMar>
          </w:tcPr>
          <w:p>
            <w:pPr>
              <w:pStyle w:val="Compact"/>
            </w:pPr>
            <w:r>
              <w:rPr>
                <w:sz w:val="19"/>
                <w:szCs w:val="19"/>
                <w:lang w:val="pt-PT"/>
              </w:rPr>
              <w:t xml:space="preserve">HDS (alojamento de dados de saúde)</w:t>
            </w:r>
          </w:p>
        </w:tc>
        <w:tc>
          <w:tcPr>
            <w:tcW w:type="dxa" w:w="2340"/>
            <w:tcMar>
              <w:left w:type="dxa" w:w="80"/>
              <w:right w:type="dxa" w:w="80"/>
            </w:tcMar>
          </w:tcPr>
          <w:p>
            <w:pPr>
              <w:pStyle w:val="Compact"/>
            </w:pPr>
            <w:r>
              <w:rPr>
                <w:sz w:val="19"/>
                <w:szCs w:val="19"/>
                <w:lang w:val="pt-PT"/>
              </w:rPr>
              <w:t xml:space="preserve">Certificação</w:t>
            </w:r>
          </w:p>
        </w:tc>
        <w:tc>
          <w:tcPr>
            <w:tcW w:type="dxa" w:w="2340"/>
            <w:tcMar>
              <w:left w:type="dxa" w:w="80"/>
              <w:right w:type="dxa" w:w="80"/>
            </w:tcMar>
          </w:tcPr>
          <w:p>
            <w:pPr>
              <w:pStyle w:val="Compact"/>
            </w:pPr>
            <w:r>
              <w:rPr>
                <w:b/>
                <w:bCs/>
                <w:sz w:val="19"/>
                <w:szCs w:val="19"/>
                <w:lang w:val="pt-PT"/>
              </w:rPr>
              <w:t xml:space="preserve">Em estudo </w:t>
            </w:r>
            <w:r>
              <w:rPr>
                <w:sz w:val="19"/>
                <w:szCs w:val="19"/>
                <w:lang w:val="pt-PT"/>
              </w:rPr>
              <w:t xml:space="preserve"/>
            </w:r>
            <w:r>
              <w:rPr>
                <w:sz w:val="19"/>
                <w:szCs w:val="19"/>
                <w:lang w:val="pt-PT"/>
              </w:rPr>
              <w:t xml:space="preserve">— relevante apenas no processamento de dados de saúde</w:t>
            </w:r>
          </w:p>
        </w:tc>
        <w:tc>
          <w:tcPr>
            <w:tcW w:type="dxa" w:w="2340"/>
            <w:tcMar>
              <w:left w:type="dxa" w:w="80"/>
              <w:right w:type="dxa" w:w="80"/>
            </w:tcMar>
          </w:tcPr>
          <w:p>
            <w:pPr>
              <w:pStyle w:val="Compact"/>
            </w:pPr>
            <w:r>
              <w:rPr>
                <w:sz w:val="19"/>
                <w:szCs w:val="19"/>
                <w:lang w:val="pt-PT"/>
              </w:rPr>
              <w:t xml:space="preserve">De acordo com as necessidades do cliente</w:t>
            </w:r>
          </w:p>
        </w:tc>
      </w:tr>
      <w:tr>
        <w:trPr>
          <w:cantSplit/>
        </w:trPr>
        <w:tc>
          <w:tcPr>
            <w:tcW w:type="dxa" w:w="2340"/>
            <w:tcMar>
              <w:left w:type="dxa" w:w="80"/>
              <w:right w:type="dxa" w:w="80"/>
            </w:tcMar>
          </w:tcPr>
          <w:p>
            <w:pPr>
              <w:pStyle w:val="Compact"/>
            </w:pPr>
            <w:r>
              <w:rPr>
                <w:sz w:val="19"/>
                <w:szCs w:val="19"/>
                <w:lang w:val="pt-PT"/>
              </w:rPr>
              <w:t xml:space="preserve">SecNumCloud (ANSSI)</w:t>
            </w:r>
          </w:p>
        </w:tc>
        <w:tc>
          <w:tcPr>
            <w:tcW w:type="dxa" w:w="2340"/>
            <w:tcMar>
              <w:left w:type="dxa" w:w="80"/>
              <w:right w:type="dxa" w:w="80"/>
            </w:tcMar>
          </w:tcPr>
          <w:p>
            <w:pPr>
              <w:pStyle w:val="Compact"/>
            </w:pPr>
            <w:r>
              <w:rPr>
                <w:sz w:val="19"/>
                <w:szCs w:val="19"/>
                <w:lang w:val="pt-PT"/>
              </w:rPr>
              <w:t xml:space="preserve">Qualificação</w:t>
            </w:r>
          </w:p>
        </w:tc>
        <w:tc>
          <w:tcPr>
            <w:tcW w:type="dxa" w:w="2340"/>
            <w:tcMar>
              <w:left w:type="dxa" w:w="80"/>
              <w:right w:type="dxa" w:w="80"/>
            </w:tcMar>
          </w:tcPr>
          <w:p>
            <w:pPr>
              <w:pStyle w:val="Compact"/>
            </w:pPr>
            <w:r>
              <w:rPr>
                <w:b/>
                <w:bCs/>
                <w:sz w:val="19"/>
                <w:szCs w:val="19"/>
                <w:lang w:val="pt-PT"/>
              </w:rPr>
              <w:t xml:space="preserve">Monitorização </w:t>
            </w:r>
            <w:r>
              <w:rPr>
                <w:sz w:val="19"/>
                <w:szCs w:val="19"/>
                <w:lang w:val="pt-PT"/>
              </w:rPr>
              <w:t xml:space="preserve"/>
            </w:r>
            <w:r>
              <w:rPr>
                <w:sz w:val="19"/>
                <w:szCs w:val="19"/>
                <w:lang w:val="pt-PT"/>
              </w:rPr>
              <w:t xml:space="preserve">— não direcionado a curto prazo</w:t>
            </w:r>
          </w:p>
        </w:tc>
        <w:tc>
          <w:tcPr>
            <w:tcW w:type="dxa" w:w="2340"/>
            <w:tcMar>
              <w:left w:type="dxa" w:w="80"/>
              <w:right w:type="dxa" w:w="80"/>
            </w:tcMar>
          </w:tcPr>
          <w:p>
            <w:pPr>
              <w:pStyle w:val="Compact"/>
            </w:pPr>
            <w:r>
              <w:rPr>
                <w:sz w:val="19"/>
                <w:szCs w:val="19"/>
                <w:lang w:val="pt-PT"/>
              </w:rPr>
              <w:t xml:space="preserve">Não planejado</w:t>
            </w:r>
          </w:p>
        </w:tc>
      </w:tr>
      <w:tr>
        <w:trPr>
          <w:cantSplit/>
        </w:trPr>
        <w:tc>
          <w:tcPr>
            <w:tcW w:type="dxa" w:w="2340"/>
            <w:tcMar>
              <w:left w:type="dxa" w:w="80"/>
              <w:right w:type="dxa" w:w="80"/>
            </w:tcMar>
          </w:tcPr>
          <w:p>
            <w:pPr>
              <w:pStyle w:val="Compact"/>
            </w:pPr>
            <w:r>
              <w:rPr>
                <w:sz w:val="19"/>
                <w:szCs w:val="19"/>
                <w:lang w:val="pt-PT"/>
              </w:rPr>
              <w:t xml:space="preserve">RGPD (Regulamento (UE) 2016/679)</w:t>
            </w:r>
          </w:p>
        </w:tc>
        <w:tc>
          <w:tcPr>
            <w:tcW w:type="dxa" w:w="2340"/>
            <w:tcMar>
              <w:left w:type="dxa" w:w="80"/>
              <w:right w:type="dxa" w:w="80"/>
            </w:tcMar>
          </w:tcPr>
          <w:p>
            <w:pPr>
              <w:pStyle w:val="Compact"/>
            </w:pPr>
            <w:r>
              <w:rPr>
                <w:sz w:val="19"/>
                <w:szCs w:val="19"/>
                <w:lang w:val="pt-PT"/>
              </w:rPr>
              <w:t xml:space="preserve">Conformidade regulatória (não certificação)</w:t>
            </w:r>
          </w:p>
        </w:tc>
        <w:tc>
          <w:tcPr>
            <w:tcW w:type="dxa" w:w="2340"/>
            <w:tcMar>
              <w:left w:type="dxa" w:w="80"/>
              <w:right w:type="dxa" w:w="80"/>
            </w:tcMar>
          </w:tcPr>
          <w:p>
            <w:pPr>
              <w:pStyle w:val="Compact"/>
            </w:pPr>
            <w:r>
              <w:rPr>
                <w:b/>
                <w:bCs/>
                <w:sz w:val="19"/>
                <w:szCs w:val="19"/>
                <w:lang w:val="pt-PT"/>
              </w:rPr>
              <w:t xml:space="preserve">Aplicável e documentado — </w:t>
            </w:r>
            <w:r>
              <w:rPr>
                <w:sz w:val="19"/>
                <w:szCs w:val="19"/>
                <w:lang w:val="pt-PT"/>
              </w:rPr>
              <w:t xml:space="preserve"/>
            </w:r>
            <w:r>
              <w:rPr>
                <w:sz w:val="19"/>
                <w:szCs w:val="19"/>
                <w:lang w:val="pt-PT"/>
              </w:rPr>
              <w:t xml:space="preserve">consulte o arquivo dedicado RGPD</w:t>
            </w:r>
          </w:p>
        </w:tc>
        <w:tc>
          <w:tcPr>
            <w:tcW w:type="dxa" w:w="2340"/>
            <w:tcMar>
              <w:left w:type="dxa" w:w="80"/>
              <w:right w:type="dxa" w:w="80"/>
            </w:tcMar>
          </w:tcPr>
          <w:p>
            <w:pPr>
              <w:pStyle w:val="Compact"/>
            </w:pPr>
            <w:r>
              <w:rPr>
                <w:sz w:val="19"/>
                <w:szCs w:val="19"/>
                <w:lang w:val="pt-PT"/>
              </w:rPr>
              <w:t xml:space="preserve">Permanente</w:t>
            </w:r>
          </w:p>
        </w:tc>
      </w:tr>
      <w:tr>
        <w:trPr>
          <w:cantSplit/>
        </w:trPr>
        <w:tc>
          <w:tcPr>
            <w:tcW w:type="dxa" w:w="2340"/>
            <w:tcMar>
              <w:left w:type="dxa" w:w="80"/>
              <w:right w:type="dxa" w:w="80"/>
            </w:tcMar>
          </w:tcPr>
          <w:p>
            <w:pPr>
              <w:pStyle w:val="Compact"/>
            </w:pPr>
            <w:r>
              <w:rPr>
                <w:sz w:val="19"/>
                <w:szCs w:val="19"/>
                <w:lang w:val="pt-PT"/>
              </w:rPr>
              <w:t xml:space="preserve">Diretiva NIS2 (UE) 2022/2555</w:t>
            </w:r>
          </w:p>
        </w:tc>
        <w:tc>
          <w:tcPr>
            <w:tcW w:type="dxa" w:w="2340"/>
            <w:tcMar>
              <w:left w:type="dxa" w:w="80"/>
              <w:right w:type="dxa" w:w="80"/>
            </w:tcMar>
          </w:tcPr>
          <w:p>
            <w:pPr>
              <w:pStyle w:val="Compact"/>
            </w:pPr>
            <w:r>
              <w:rPr>
                <w:sz w:val="19"/>
                <w:szCs w:val="19"/>
                <w:lang w:val="pt-PT"/>
              </w:rPr>
              <w:t xml:space="preserve">Marco regulatório (não certificação de um produto)</w:t>
            </w:r>
          </w:p>
        </w:tc>
        <w:tc>
          <w:tcPr>
            <w:tcW w:type="dxa" w:w="2340"/>
            <w:tcMar>
              <w:left w:type="dxa" w:w="80"/>
              <w:right w:type="dxa" w:w="80"/>
            </w:tcMar>
          </w:tcPr>
          <w:p>
            <w:pPr>
              <w:pStyle w:val="Compact"/>
            </w:pPr>
            <w:r>
              <w:rPr>
                <w:sz w:val="19"/>
                <w:szCs w:val="19"/>
                <w:lang w:val="pt-PT"/>
              </w:rPr>
              <w:t xml:space="preserve">Medidas técnicas </w:t>
            </w:r>
            <w:r>
              <w:rPr>
                <w:sz w:val="19"/>
                <w:szCs w:val="19"/>
                <w:lang w:val="pt-PT"/>
              </w:rPr>
              <w:t xml:space="preserve">de </w:t>
            </w:r>
            <w:r>
              <w:rPr>
                <w:b/>
                <w:bCs/>
                <w:sz w:val="19"/>
                <w:szCs w:val="19"/>
                <w:lang w:val="pt-PT"/>
              </w:rPr>
              <w:t xml:space="preserve">contribuição </w:t>
            </w:r>
            <w:r>
              <w:rPr>
                <w:sz w:val="19"/>
                <w:szCs w:val="19"/>
                <w:lang w:val="pt-PT"/>
              </w:rPr>
              <w:t xml:space="preserve"/>
            </w:r>
            <w:r>
              <w:rPr>
                <w:sz w:val="19"/>
                <w:szCs w:val="19"/>
                <w:lang w:val="pt-PT"/>
              </w:rPr>
              <w:t xml:space="preserve">documentadas</w:t>
            </w:r>
          </w:p>
        </w:tc>
        <w:tc>
          <w:tcPr>
            <w:tcW w:type="dxa" w:w="2340"/>
            <w:tcMar>
              <w:left w:type="dxa" w:w="80"/>
              <w:right w:type="dxa" w:w="80"/>
            </w:tcMar>
          </w:tcPr>
          <w:p>
            <w:pPr>
              <w:pStyle w:val="Compact"/>
            </w:pPr>
            <w:r>
              <w:rPr>
                <w:sz w:val="19"/>
                <w:szCs w:val="19"/>
                <w:lang w:val="pt-PT"/>
              </w:rPr>
              <w:t xml:space="preserve">De acordo com as obrigações do cliente</w:t>
            </w:r>
          </w:p>
        </w:tc>
      </w:tr>
      <w:tr>
        <w:trPr>
          <w:cantSplit/>
        </w:trPr>
        <w:tc>
          <w:tcPr>
            <w:tcW w:type="dxa" w:w="2340"/>
            <w:tcMar>
              <w:left w:type="dxa" w:w="80"/>
              <w:right w:type="dxa" w:w="80"/>
            </w:tcMar>
          </w:tcPr>
          <w:p>
            <w:pPr>
              <w:pStyle w:val="Compact"/>
            </w:pPr>
            <w:r>
              <w:rPr>
                <w:sz w:val="19"/>
                <w:szCs w:val="19"/>
                <w:lang w:val="pt-PT"/>
              </w:rPr>
              <w:t xml:space="preserve">Acessibilidade (EAA/RGAA)</w:t>
            </w:r>
          </w:p>
        </w:tc>
        <w:tc>
          <w:tcPr>
            <w:tcW w:type="dxa" w:w="2340"/>
            <w:tcMar>
              <w:left w:type="dxa" w:w="80"/>
              <w:right w:type="dxa" w:w="80"/>
            </w:tcMar>
          </w:tcPr>
          <w:p>
            <w:pPr>
              <w:pStyle w:val="Compact"/>
            </w:pPr>
            <w:r>
              <w:rPr>
                <w:sz w:val="19"/>
                <w:szCs w:val="19"/>
                <w:lang w:val="pt-PT"/>
              </w:rPr>
              <w:t xml:space="preserve">Conformidade Regulatória</w:t>
            </w:r>
          </w:p>
        </w:tc>
        <w:tc>
          <w:tcPr>
            <w:tcW w:type="dxa" w:w="2340"/>
            <w:tcMar>
              <w:left w:type="dxa" w:w="80"/>
              <w:right w:type="dxa" w:w="80"/>
            </w:tcMar>
          </w:tcPr>
          <w:p>
            <w:pPr>
              <w:pStyle w:val="Compact"/>
            </w:pPr>
            <w:r>
              <w:rPr>
                <w:b/>
                <w:bCs/>
                <w:sz w:val="19"/>
                <w:szCs w:val="19"/>
                <w:lang w:val="pt-PT"/>
              </w:rPr>
              <w:t xml:space="preserve">[A SER CONCLUÍDO: status de acessibilidade]</w:t>
            </w:r>
          </w:p>
        </w:tc>
        <w:tc>
          <w:tcPr>
            <w:tcW w:type="dxa" w:w="2340"/>
            <w:tcMar>
              <w:left w:type="dxa" w:w="80"/>
              <w:right w:type="dxa" w:w="80"/>
            </w:tcMar>
          </w:tcPr>
          <w:p>
            <w:pPr>
              <w:pStyle w:val="Compact"/>
            </w:pPr>
            <w:r>
              <w:rPr>
                <w:sz w:val="19"/>
                <w:szCs w:val="19"/>
                <w:lang w:val="pt-PT"/>
              </w:rPr>
              <w:t xml:space="preserve">[A SER CONCLUÍDO]</w:t>
            </w:r>
          </w:p>
        </w:tc>
      </w:tr>
    </w:tbl>
    <w:p>
      <w:r>
        <w:pict>
          <v:rect style="width:0;height:1.5pt" o:hralign="center" o:hrstd="t" o:hr="t"/>
        </w:pict>
      </w:r>
    </w:p>
    <w:bookmarkEnd w:id="154"/>
    <w:bookmarkStart w:id="155" w:name="X30f21e3fe687fa7ed7647d19bfa3f440a66be0d"/>
    <w:p>
      <w:pPr>
        <w:pStyle w:val="Heading2"/>
        <w:keepNext/>
        <w:keepLines/>
      </w:pPr>
      <w:r>
        <w:rPr>
          <w:color w:val="000000"/>
          <w:lang w:val="pt-PT"/>
        </w:rPr>
        <w:t xml:space="preserve">2. ISO/IEC 27001 — abordagem adotada</w:t>
      </w:r>
    </w:p>
    <w:p>
      <w:pPr>
        <w:pStyle w:val="FirstParagraph"/>
      </w:pPr>
      <w:r>
        <w:rPr>
          <w:lang w:val="pt-PT"/>
        </w:rPr>
        <w:t xml:space="preserve">OHADJA iniciou uma abordagem estruturada para a certificação ISO/IEC 27001. Nesta fase:</w:t>
      </w:r>
    </w:p>
    <w:p>
      <w:pPr>
        <w:pStyle w:val="Compact"/>
        <w:numPr>
          <w:ilvl w:val="0"/>
          <w:numId w:val="1042"/>
        </w:numPr>
      </w:pPr>
      <w:r>
        <w:rPr>
          <w:lang w:val="pt-PT"/>
        </w:rPr>
        <w:t xml:space="preserve">existe </w:t>
      </w:r>
      <w:r>
        <w:rPr>
          <w:lang w:val="pt-PT"/>
        </w:rPr>
        <w:t xml:space="preserve"/>
      </w:r>
      <w:r>
        <w:rPr>
          <w:b/>
          <w:bCs/>
          <w:lang w:val="pt-PT"/>
        </w:rPr>
        <w:t xml:space="preserve">uma base documental do sistema de gestão de segurança da informação (SGSI), </w:t>
      </w:r>
      <w:r>
        <w:rPr>
          <w:lang w:val="pt-PT"/>
        </w:rPr>
        <w:t xml:space="preserve"/>
      </w:r>
      <w:r>
        <w:rPr>
          <w:lang w:val="pt-PT"/>
        </w:rPr>
        <w:t xml:space="preserve">composta pelas dezasseis </w:t>
      </w:r>
      <w:r>
        <w:rPr>
          <w:lang w:val="pt-PT"/>
        </w:rPr>
        <w:t xml:space="preserve"/>
      </w:r>
      <w:r>
        <w:rPr>
          <w:b/>
          <w:bCs/>
          <w:lang w:val="pt-PT"/>
        </w:rPr>
        <w:t xml:space="preserve">(16) políticas formalizadas da editora OHADJA </w:t>
      </w:r>
      <w:r>
        <w:rPr>
          <w:lang w:val="pt-PT"/>
        </w:rPr>
        <w:t xml:space="preserve"/>
      </w:r>
      <w:r>
        <w:rPr>
          <w:lang w:val="pt-PT"/>
        </w:rPr>
        <w:t xml:space="preserve">(repositório OHADJA-POL, versão 2.0, revisão de maio de 2026 — ver secção 6);</w:t>
      </w:r>
    </w:p>
    <w:p>
      <w:pPr>
        <w:pStyle w:val="Compact"/>
        <w:numPr>
          <w:ilvl w:val="0"/>
          <w:numId w:val="1042"/>
        </w:numPr>
      </w:pPr>
      <w:r>
        <w:rPr>
          <w:lang w:val="pt-PT"/>
        </w:rPr>
        <w:t xml:space="preserve">a </w:t>
      </w:r>
      <w:r>
        <w:rPr>
          <w:b/>
          <w:bCs/>
          <w:lang w:val="pt-PT"/>
        </w:rPr>
        <w:t xml:space="preserve">auditoria de certificação está prevista para o início de </w:t>
      </w:r>
      <w:r>
        <w:rPr>
          <w:lang w:val="pt-PT"/>
        </w:rPr>
        <w:t xml:space="preserve">2027.</w:t>
      </w:r>
    </w:p>
    <w:p>
      <w:pPr>
        <w:pStyle w:val="FirstParagraph"/>
      </w:pPr>
      <w:r>
        <w:rPr>
          <w:lang w:val="pt-PT"/>
        </w:rPr>
        <w:t xml:space="preserve">Até o momento, nenhum certificado ISO/IEC 27001 foi emitido. A abordagem está atualmente sendo estruturada e implementada.</w:t>
      </w:r>
    </w:p>
    <w:bookmarkEnd w:id="155"/>
    <w:bookmarkStart w:id="156" w:name="Xb666bc933ca9b071007a4b8affeac18b39b0724"/>
    <w:p>
      <w:pPr>
        <w:pStyle w:val="Heading2"/>
        <w:keepNext/>
        <w:keepLines/>
      </w:pPr>
      <w:r>
        <w:rPr>
          <w:color w:val="000000"/>
          <w:lang w:val="pt-PT"/>
        </w:rPr>
        <w:t xml:space="preserve">3. SOC 2 Tipo I</w:t>
      </w:r>
    </w:p>
    <w:p>
      <w:pPr>
        <w:pStyle w:val="FirstParagraph"/>
      </w:pPr>
      <w:r>
        <w:rPr>
          <w:lang w:val="pt-PT"/>
        </w:rPr>
        <w:t xml:space="preserve">Uma </w:t>
      </w:r>
      <w:r>
        <w:rPr>
          <w:lang w:val="pt-PT"/>
        </w:rPr>
        <w:t xml:space="preserve"/>
      </w:r>
      <w:r>
        <w:rPr>
          <w:b/>
          <w:bCs/>
          <w:lang w:val="pt-PT"/>
        </w:rPr>
        <w:t xml:space="preserve">auditoria SOC 2 Tipo I está prevista para o ano </w:t>
      </w:r>
      <w:r>
        <w:rPr>
          <w:lang w:val="pt-PT"/>
        </w:rPr>
        <w:t xml:space="preserve">de 2026. Este compromisso já foi comunicado no arquivo público de conformidade de TranscribIA. Na data deste documento, a auditoria ainda não foi realizada e nenhum relatório SOC 2 está disponível.</w:t>
      </w:r>
    </w:p>
    <w:bookmarkEnd w:id="156"/>
    <w:bookmarkStart w:id="157" w:name="Xdff9f055eed22f210ec3b463d1e59173981f1ea"/>
    <w:p>
      <w:pPr>
        <w:pStyle w:val="Heading2"/>
        <w:keepNext/>
        <w:keepLines/>
      </w:pPr>
      <w:r>
        <w:rPr>
          <w:color w:val="000000"/>
          <w:lang w:val="pt-PT"/>
        </w:rPr>
        <w:t xml:space="preserve">4. Outros repositórios</w:t>
      </w:r>
    </w:p>
    <w:p>
      <w:pPr>
        <w:pStyle w:val="Compact"/>
        <w:numPr>
          <w:ilvl w:val="0"/>
          <w:numId w:val="1043"/>
        </w:numPr>
      </w:pPr>
      <w:r>
        <w:rPr>
          <w:b/>
          <w:bCs/>
          <w:lang w:val="pt-PT"/>
        </w:rPr>
        <w:t xml:space="preserve">ISO/IEC 27701: </w:t>
      </w:r>
      <w:r>
        <w:rPr>
          <w:lang w:val="pt-PT"/>
        </w:rPr>
        <w:t xml:space="preserve"/>
      </w:r>
      <w:r>
        <w:rPr>
          <w:lang w:val="pt-PT"/>
        </w:rPr>
        <w:t xml:space="preserve">concebida como uma extensão natural do sistema de gestão uma vez obtida a certificação 27001. Em estudo, não formalmente comprometido nesta fase.</w:t>
      </w:r>
    </w:p>
    <w:p>
      <w:pPr>
        <w:pStyle w:val="Compact"/>
        <w:numPr>
          <w:ilvl w:val="0"/>
          <w:numId w:val="1043"/>
        </w:numPr>
      </w:pPr>
      <w:r>
        <w:rPr>
          <w:b/>
          <w:bCs/>
          <w:lang w:val="pt-PT"/>
        </w:rPr>
        <w:t xml:space="preserve">HDS (Alojamento de dados de saúde): </w:t>
      </w:r>
      <w:r>
        <w:rPr>
          <w:lang w:val="pt-PT"/>
        </w:rPr>
        <w:t xml:space="preserve"/>
      </w:r>
      <w:r>
        <w:rPr>
          <w:lang w:val="pt-PT"/>
        </w:rPr>
        <w:t xml:space="preserve">em estudo. Este repositório só é relevante se o Cliente processar </w:t>
      </w:r>
      <w:r>
        <w:rPr>
          <w:lang w:val="pt-PT"/>
        </w:rPr>
        <w:t xml:space="preserve"/>
      </w:r>
      <w:r>
        <w:rPr>
          <w:b/>
          <w:bCs/>
          <w:lang w:val="pt-PT"/>
        </w:rPr>
        <w:t xml:space="preserve">dados de saúde </w:t>
      </w:r>
      <w:r>
        <w:rPr>
          <w:lang w:val="pt-PT"/>
        </w:rPr>
        <w:t xml:space="preserve"/>
      </w:r>
      <w:r>
        <w:rPr>
          <w:lang w:val="pt-PT"/>
        </w:rPr>
        <w:t xml:space="preserve">utilizando a Solução. Será considerado caso a caso, conforme necessário.</w:t>
      </w:r>
    </w:p>
    <w:p>
      <w:pPr>
        <w:pStyle w:val="Compact"/>
        <w:numPr>
          <w:ilvl w:val="0"/>
          <w:numId w:val="1043"/>
        </w:numPr>
      </w:pPr>
      <w:r>
        <w:rPr>
          <w:b/>
          <w:bCs/>
          <w:lang w:val="pt-PT"/>
        </w:rPr>
        <w:t xml:space="preserve">SecNumCloud: </w:t>
      </w:r>
      <w:r>
        <w:rPr>
          <w:lang w:val="pt-PT"/>
        </w:rPr>
        <w:t xml:space="preserve"/>
      </w:r>
      <w:r>
        <w:rPr>
          <w:lang w:val="pt-PT"/>
        </w:rPr>
        <w:t xml:space="preserve">em </w:t>
      </w:r>
      <w:r>
        <w:rPr>
          <w:lang w:val="pt-PT"/>
        </w:rPr>
        <w:t xml:space="preserve"/>
      </w:r>
      <w:r>
        <w:rPr>
          <w:b/>
          <w:bCs/>
          <w:lang w:val="pt-PT"/>
        </w:rPr>
        <w:t xml:space="preserve">espera, </w:t>
      </w:r>
      <w:r>
        <w:rPr>
          <w:lang w:val="pt-PT"/>
        </w:rPr>
        <w:t xml:space="preserve">não direcionado no curto prazo. Este quadro de qualificação ANSSI destina-se principalmente a prestadores de serviços cloud de grande escala, âmbito que não corresponde ao posicionamento atual de TranscribIA.</w:t>
      </w:r>
    </w:p>
    <w:p>
      <w:r>
        <w:pict>
          <v:rect style="width:0;height:1.5pt" o:hralign="center" o:hrstd="t" o:hr="t"/>
        </w:pict>
      </w:r>
    </w:p>
    <w:bookmarkEnd w:id="157"/>
    <w:bookmarkStart w:id="158" w:name="X3c16480e655205b358e4f8dce0588232afc3ce6"/>
    <w:p>
      <w:pPr>
        <w:pStyle w:val="Heading2"/>
        <w:keepNext/>
        <w:keepLines/>
      </w:pPr>
      <w:r>
        <w:rPr>
          <w:color w:val="000000"/>
          <w:lang w:val="pt-PT"/>
        </w:rPr>
        <w:t xml:space="preserve">5. Conformidade regulatória aplicável sem certificação</w:t>
      </w:r>
    </w:p>
    <w:p>
      <w:pPr>
        <w:pStyle w:val="FirstParagraph"/>
      </w:pPr>
      <w:r>
        <w:rPr>
          <w:lang w:val="pt-PT"/>
        </w:rPr>
        <w:t xml:space="preserve">Certas obrigações se aplicam independentemente de qualquer certificação. OHADJA os processa como parte de seu arquivo de conformidade:</w:t>
      </w:r>
    </w:p>
    <w:p>
      <w:pPr>
        <w:pStyle w:val="Compact"/>
        <w:numPr>
          <w:ilvl w:val="0"/>
          <w:numId w:val="1044"/>
        </w:numPr>
      </w:pPr>
      <w:r>
        <w:rPr>
          <w:b/>
          <w:bCs/>
          <w:lang w:val="pt-PT"/>
        </w:rPr>
        <w:t xml:space="preserve">RGPD: </w:t>
      </w:r>
      <w:r>
        <w:rPr>
          <w:lang w:val="pt-PT"/>
        </w:rPr>
        <w:t xml:space="preserve"/>
      </w:r>
      <w:r>
        <w:rPr>
          <w:lang w:val="pt-PT"/>
        </w:rPr>
        <w:t xml:space="preserve">o cumprimento do Regulamento Geral de Proteção de Dados é objeto de um </w:t>
      </w:r>
      <w:r>
        <w:rPr>
          <w:lang w:val="pt-PT"/>
        </w:rPr>
        <w:t xml:space="preserve">arquivo </w:t>
      </w:r>
      <w:r>
        <w:rPr>
          <w:b/>
          <w:bCs/>
          <w:lang w:val="pt-PT"/>
        </w:rPr>
        <w:t xml:space="preserve">dedicado </w:t>
      </w:r>
      <w:r>
        <w:rPr>
          <w:lang w:val="pt-PT"/>
        </w:rPr>
        <w:t xml:space="preserve"/>
      </w:r>
      <w:r>
        <w:rPr>
          <w:lang w:val="pt-PT"/>
        </w:rPr>
        <w:t xml:space="preserve">(Acordo de tratamento de dados pessoais nos termos do artigo 28.º, medidas técnicas e organizativas nos termos do artigo 32.º, gestão dos direitos individuais, supervisão de subcontratantes ulteriores e transferências). RGPD é uma estrutura regulatória vinculativa, não uma referência de certificação.</w:t>
      </w:r>
    </w:p>
    <w:p>
      <w:pPr>
        <w:pStyle w:val="Compact"/>
        <w:numPr>
          <w:ilvl w:val="0"/>
          <w:numId w:val="1044"/>
        </w:numPr>
      </w:pPr>
      <w:r>
        <w:rPr>
          <w:b/>
          <w:bCs/>
          <w:lang w:val="pt-PT"/>
        </w:rPr>
        <w:t xml:space="preserve">Diretiva NIS2: </w:t>
      </w:r>
      <w:r>
        <w:rPr>
          <w:lang w:val="pt-PT"/>
        </w:rPr>
        <w:t xml:space="preserve"/>
      </w:r>
      <w:r>
        <w:rPr>
          <w:lang w:val="pt-PT"/>
        </w:rPr>
        <w:t xml:space="preserve">TranscribIA não é e não pode ser “certificado NIS2” (não existe tal certificação de produto). Por outro lado, as suas </w:t>
      </w:r>
      <w:r>
        <w:rPr>
          <w:lang w:val="pt-PT"/>
        </w:rPr>
        <w:t xml:space="preserve"/>
      </w:r>
      <w:r>
        <w:rPr>
          <w:b/>
          <w:bCs/>
          <w:lang w:val="pt-PT"/>
        </w:rPr>
        <w:t xml:space="preserve">medidas técnicas verificáveis </w:t>
      </w:r>
      <w:r>
        <w:rPr>
          <w:lang w:val="pt-PT"/>
        </w:rPr>
        <w:t xml:space="preserve"/>
      </w:r>
      <w:r>
        <w:rPr>
          <w:lang w:val="pt-PT"/>
        </w:rPr>
        <w:t xml:space="preserve">​​(controlo de acesso, encriptação, registo, gestão de incidentes, continuidade, segurança da cadeia de abastecimento) podem </w:t>
      </w:r>
      <w:r>
        <w:rPr>
          <w:lang w:val="pt-PT"/>
        </w:rPr>
        <w:t xml:space="preserve"/>
      </w:r>
      <w:r>
        <w:rPr>
          <w:b/>
          <w:bCs/>
          <w:lang w:val="pt-PT"/>
        </w:rPr>
        <w:t xml:space="preserve">contribuir </w:t>
      </w:r>
      <w:r>
        <w:rPr>
          <w:lang w:val="pt-PT"/>
        </w:rPr>
        <w:t xml:space="preserve"/>
      </w:r>
      <w:r>
        <w:rPr>
          <w:lang w:val="pt-PT"/>
        </w:rPr>
        <w:t xml:space="preserve">para o cumprimento da entidade cliente, sob a responsabilidade desta. Esses elementos estão detalhados no arquivo de conformidade.</w:t>
      </w:r>
    </w:p>
    <w:p>
      <w:pPr>
        <w:pStyle w:val="Compact"/>
        <w:numPr>
          <w:ilvl w:val="0"/>
          <w:numId w:val="1044"/>
        </w:numPr>
      </w:pPr>
      <w:r>
        <w:rPr>
          <w:b/>
          <w:bCs/>
          <w:lang w:val="pt-PT"/>
        </w:rPr>
        <w:t xml:space="preserve">Acessibilidade (EAA/RGAA): </w:t>
      </w:r>
      <w:r>
        <w:rPr>
          <w:lang w:val="pt-PT"/>
        </w:rPr>
        <w:t xml:space="preserve"/>
      </w:r>
      <w:r>
        <w:rPr>
          <w:lang w:val="pt-PT"/>
        </w:rPr>
        <w:t xml:space="preserve"/>
      </w:r>
      <w:r>
        <w:rPr>
          <w:lang w:val="pt-PT"/>
        </w:rPr>
        <w:t xml:space="preserve">[A </w:t>
      </w:r>
      <w:r>
        <w:rPr>
          <w:b/>
          <w:bCs/>
          <w:lang w:val="pt-PT"/>
        </w:rPr>
        <w:t xml:space="preserve">PREENCHER: estado de conformidade da acessibilidade digital — auditoria RGAA realizada ou não, taxa de conformidade, declaração de </w:t>
      </w:r>
      <w:r>
        <w:rPr>
          <w:lang w:val="pt-PT"/>
        </w:rPr>
        <w:t xml:space="preserve">acessibilidade].</w:t>
      </w:r>
    </w:p>
    <w:p>
      <w:r>
        <w:pict>
          <v:rect style="width:0;height:1.5pt" o:hralign="center" o:hrstd="t" o:hr="t"/>
        </w:pict>
      </w:r>
    </w:p>
    <w:bookmarkEnd w:id="158"/>
    <w:bookmarkStart w:id="159" w:name="X259421c5b1f2bba1d219494517f0f28089bf3c9"/>
    <w:p>
      <w:pPr>
        <w:pStyle w:val="Heading2"/>
        <w:keepNext/>
        <w:keepLines/>
      </w:pPr>
      <w:r>
        <w:rPr>
          <w:color w:val="000000"/>
          <w:lang w:val="pt-PT"/>
        </w:rPr>
        <w:t xml:space="preserve">6. Base documental do SGSI — lista de 16 políticas</w:t>
      </w:r>
    </w:p>
    <w:p>
      <w:pPr>
        <w:pStyle w:val="FirstParagraph"/>
      </w:pPr>
      <w:r>
        <w:rPr>
          <w:lang w:val="pt-PT"/>
        </w:rPr>
        <w:t xml:space="preserve">O sistema de gestão de segurança da informação é baseado nas dezasseis políticas formalizadas do editor OHADJA, referenciadas </w:t>
      </w:r>
      <w:r>
        <w:rPr>
          <w:lang w:val="pt-PT"/>
        </w:rPr>
        <w:t xml:space="preserve"/>
      </w:r>
      <w:r>
        <w:rPr>
          <w:b/>
          <w:bCs/>
          <w:lang w:val="pt-PT"/>
        </w:rPr>
        <w:t xml:space="preserve">OHADJA-POL-01 a OHADJA-POL-16, </w:t>
      </w:r>
      <w:r>
        <w:rPr>
          <w:lang w:val="pt-PT"/>
        </w:rPr>
        <w:t xml:space="preserve">na </w:t>
      </w:r>
      <w:r>
        <w:rPr>
          <w:lang w:val="pt-PT"/>
        </w:rPr>
        <w:t xml:space="preserve"/>
      </w:r>
      <w:r>
        <w:rPr>
          <w:b/>
          <w:bCs/>
          <w:lang w:val="pt-PT"/>
        </w:rPr>
        <w:t xml:space="preserve">Versão 2.0 (revisão de maio de </w:t>
      </w:r>
      <w:r>
        <w:rPr>
          <w:lang w:val="pt-PT"/>
        </w:rPr>
        <w:t xml:space="preserve"/>
      </w:r>
      <w:r>
        <w:rPr>
          <w:lang w:val="pt-PT"/>
        </w:rPr>
        <w:t xml:space="preserve">2026):</w:t>
      </w:r>
    </w:p>
    <w:p>
      <w:pPr>
        <w:pStyle w:val="Compact"/>
        <w:numPr>
          <w:ilvl w:val="0"/>
          <w:numId w:val="1045"/>
        </w:numPr>
      </w:pPr>
      <w:r>
        <w:rPr>
          <w:lang w:val="pt-PT"/>
        </w:rPr>
        <w:t xml:space="preserve">OHADJA-POL-01 — Política de Segurança da Informação</w:t>
      </w:r>
    </w:p>
    <w:p>
      <w:pPr>
        <w:pStyle w:val="Compact"/>
        <w:numPr>
          <w:ilvl w:val="0"/>
          <w:numId w:val="1045"/>
        </w:numPr>
      </w:pPr>
      <w:r>
        <w:rPr>
          <w:lang w:val="pt-PT"/>
        </w:rPr>
        <w:t xml:space="preserve">OHADJA-POL-02 — Política de Classificação de Informações</w:t>
      </w:r>
    </w:p>
    <w:p>
      <w:pPr>
        <w:pStyle w:val="Compact"/>
        <w:numPr>
          <w:ilvl w:val="0"/>
          <w:numId w:val="1045"/>
        </w:numPr>
      </w:pPr>
      <w:r>
        <w:rPr>
          <w:lang w:val="pt-PT"/>
        </w:rPr>
        <w:t xml:space="preserve">OHADJA-POL-03 — Política de cifragem</w:t>
      </w:r>
    </w:p>
    <w:p>
      <w:pPr>
        <w:pStyle w:val="Compact"/>
        <w:numPr>
          <w:ilvl w:val="0"/>
          <w:numId w:val="1045"/>
        </w:numPr>
      </w:pPr>
      <w:r>
        <w:rPr>
          <w:lang w:val="pt-PT"/>
        </w:rPr>
        <w:t xml:space="preserve">OHADJA-POL-04 — Política de controlo de acesso</w:t>
      </w:r>
    </w:p>
    <w:p>
      <w:pPr>
        <w:pStyle w:val="Compact"/>
        <w:numPr>
          <w:ilvl w:val="0"/>
          <w:numId w:val="1045"/>
        </w:numPr>
      </w:pPr>
      <w:r>
        <w:rPr>
          <w:lang w:val="pt-PT"/>
        </w:rPr>
        <w:t xml:space="preserve">OHADJA-POL-05 — Política de gerenciamento de senha</w:t>
      </w:r>
    </w:p>
    <w:p>
      <w:pPr>
        <w:pStyle w:val="Compact"/>
        <w:numPr>
          <w:ilvl w:val="0"/>
          <w:numId w:val="1045"/>
        </w:numPr>
      </w:pPr>
      <w:r>
        <w:rPr>
          <w:lang w:val="pt-PT"/>
        </w:rPr>
        <w:t xml:space="preserve">OHADJA-POL-06 — Política de gerenciamento de mudanças</w:t>
      </w:r>
    </w:p>
    <w:p>
      <w:pPr>
        <w:pStyle w:val="Compact"/>
        <w:numPr>
          <w:ilvl w:val="0"/>
          <w:numId w:val="1045"/>
        </w:numPr>
      </w:pPr>
      <w:r>
        <w:rPr>
          <w:lang w:val="pt-PT"/>
        </w:rPr>
        <w:t xml:space="preserve">OHADJA-POL-07 — Política de desenvolvimento seguro de software (SDLC seguro)</w:t>
      </w:r>
    </w:p>
    <w:p>
      <w:pPr>
        <w:pStyle w:val="Compact"/>
        <w:numPr>
          <w:ilvl w:val="0"/>
          <w:numId w:val="1045"/>
        </w:numPr>
      </w:pPr>
      <w:r>
        <w:rPr>
          <w:lang w:val="pt-PT"/>
        </w:rPr>
        <w:t xml:space="preserve">OHADJA-POL-08 — Política de Segurança Física</w:t>
      </w:r>
    </w:p>
    <w:p>
      <w:pPr>
        <w:pStyle w:val="Compact"/>
        <w:numPr>
          <w:ilvl w:val="0"/>
          <w:numId w:val="1045"/>
        </w:numPr>
      </w:pPr>
      <w:r>
        <w:rPr>
          <w:lang w:val="pt-PT"/>
        </w:rPr>
        <w:t xml:space="preserve">OHADJA-POL-09 — Política de resposta a incidentes</w:t>
      </w:r>
    </w:p>
    <w:p>
      <w:pPr>
        <w:pStyle w:val="Compact"/>
        <w:numPr>
          <w:ilvl w:val="0"/>
          <w:numId w:val="1045"/>
        </w:numPr>
      </w:pPr>
      <w:r>
        <w:rPr>
          <w:lang w:val="pt-PT"/>
        </w:rPr>
        <w:t xml:space="preserve">OHADJA-POL-10 — Política de backup</w:t>
      </w:r>
    </w:p>
    <w:p>
      <w:pPr>
        <w:pStyle w:val="Compact"/>
        <w:numPr>
          <w:ilvl w:val="0"/>
          <w:numId w:val="1045"/>
        </w:numPr>
      </w:pPr>
      <w:r>
        <w:rPr>
          <w:lang w:val="pt-PT"/>
        </w:rPr>
        <w:t xml:space="preserve">OHADJA-POL-11 — Política de continuidade de negócios e recuperação (PCA/PRA)</w:t>
      </w:r>
    </w:p>
    <w:p>
      <w:pPr>
        <w:pStyle w:val="Compact"/>
        <w:numPr>
          <w:ilvl w:val="0"/>
          <w:numId w:val="1045"/>
        </w:numPr>
      </w:pPr>
      <w:r>
        <w:rPr>
          <w:lang w:val="pt-PT"/>
        </w:rPr>
        <w:t xml:space="preserve">OHADJA-POL-12 — Política de segurança de rede</w:t>
      </w:r>
    </w:p>
    <w:p>
      <w:pPr>
        <w:pStyle w:val="Compact"/>
        <w:numPr>
          <w:ilvl w:val="0"/>
          <w:numId w:val="1045"/>
        </w:numPr>
      </w:pPr>
      <w:r>
        <w:rPr>
          <w:lang w:val="pt-PT"/>
        </w:rPr>
        <w:t xml:space="preserve">OHADJA-POL-13 — Política de proteção de dados</w:t>
      </w:r>
    </w:p>
    <w:p>
      <w:pPr>
        <w:pStyle w:val="Compact"/>
        <w:numPr>
          <w:ilvl w:val="0"/>
          <w:numId w:val="1045"/>
        </w:numPr>
      </w:pPr>
      <w:r>
        <w:rPr>
          <w:lang w:val="pt-PT"/>
        </w:rPr>
        <w:t xml:space="preserve">OHADJA-POL-14 — Política de Ética</w:t>
      </w:r>
    </w:p>
    <w:p>
      <w:pPr>
        <w:pStyle w:val="Compact"/>
        <w:numPr>
          <w:ilvl w:val="0"/>
          <w:numId w:val="1045"/>
        </w:numPr>
      </w:pPr>
      <w:r>
        <w:rPr>
          <w:lang w:val="pt-PT"/>
        </w:rPr>
        <w:t xml:space="preserve">OHADJA-POL-15 — Política de uso aceitável</w:t>
      </w:r>
    </w:p>
    <w:p>
      <w:pPr>
        <w:pStyle w:val="Compact"/>
        <w:numPr>
          <w:ilvl w:val="0"/>
          <w:numId w:val="1045"/>
        </w:numPr>
      </w:pPr>
      <w:r>
        <w:rPr>
          <w:lang w:val="pt-PT"/>
        </w:rPr>
        <w:t xml:space="preserve">OHADJA-POL-16 — Política de vulnerabilidade e gerenciamento de patches</w:t>
      </w:r>
    </w:p>
    <w:p>
      <w:r>
        <w:pict>
          <v:rect style="width:0;height:1.5pt" o:hralign="center" o:hrstd="t" o:hr="t"/>
        </w:pict>
      </w:r>
    </w:p>
    <w:bookmarkEnd w:id="159"/>
    <w:bookmarkStart w:id="160" w:name="Xc8fed863851aa9c00eed84623d24aa00af6affd"/>
    <w:p>
      <w:pPr>
        <w:pStyle w:val="Heading2"/>
        <w:keepNext/>
        <w:keepLines/>
      </w:pPr>
      <w:r>
        <w:rPr>
          <w:color w:val="000000"/>
          <w:lang w:val="pt-PT"/>
        </w:rPr>
        <w:t xml:space="preserve">7. Provisão</w:t>
      </w:r>
    </w:p>
    <w:p>
      <w:pPr>
        <w:pStyle w:val="FirstParagraph"/>
      </w:pPr>
      <w:r>
        <w:rPr>
          <w:lang w:val="pt-PT"/>
        </w:rPr>
        <w:t xml:space="preserve">Estão </w:t>
      </w:r>
      <w:r>
        <w:rPr>
          <w:lang w:val="pt-PT"/>
        </w:rPr>
        <w:t xml:space="preserve"/>
      </w:r>
      <w:r>
        <w:rPr>
          <w:b/>
          <w:bCs/>
          <w:lang w:val="pt-PT"/>
        </w:rPr>
        <w:t xml:space="preserve">disponíveis, mediante </w:t>
      </w:r>
      <w:r>
        <w:rPr>
          <w:lang w:val="pt-PT"/>
        </w:rPr>
        <w:t xml:space="preserve"/>
      </w:r>
      <w:r>
        <w:rPr>
          <w:lang w:val="pt-PT"/>
        </w:rPr>
        <w:t xml:space="preserve">pedido, declarações sobre o progresso dos trabalhos de </w:t>
      </w:r>
      <w:r>
        <w:rPr>
          <w:lang w:val="pt-PT"/>
        </w:rPr>
        <w:t xml:space="preserve">conformidade </w:t>
      </w:r>
      <w:r>
        <w:rPr>
          <w:b/>
          <w:bCs/>
          <w:lang w:val="pt-PT"/>
        </w:rPr>
        <w:t xml:space="preserve">e certificação. A </w:t>
      </w:r>
      <w:r>
        <w:rPr>
          <w:lang w:val="pt-PT"/>
        </w:rPr>
        <w:t xml:space="preserve">OHADJA compromete-se a descrever o estado real dos seus trabalhos, sem antecipar a obtenção de uma certificação ainda não concedida.</w:t>
      </w:r>
    </w:p>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bookmarkEnd w:id="160"/>
    <w:bookmarkEnd w:id="161"/>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1.1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6" Target="media/rId56.png" /><Relationship Type="http://schemas.openxmlformats.org/officeDocument/2006/relationships/image" Id="rId73" Target="media/rId73.png" /><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