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Override PartName="/word/media/rId67.png" ContentType="image/png"/>
  <Override PartName="/word/media/rId74.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c49a6367cbdba0d951f60eb8e002245ef9f784"/>
    <w:p>
      <w:pPr>
        <w:pStyle w:val="Title"/>
        <w:keepNext/>
        <w:keepLines/>
      </w:pPr>
      <w:r>
        <w:rPr>
          <w:color w:val="000000"/>
          <w:lang w:val="pt-PT"/>
        </w:rPr>
        <w:t xml:space="preserve">TranscribIA — Compêndio técnico e implementação local</w:t>
      </w:r>
    </w:p>
    <w:p>
      <w:pPr>
        <w:pStyle w:val="BodyText"/>
      </w:pPr>
      <w:r>
        <w:rPr>
          <w:lang w:val="pt-PT"/>
        </w:rPr>
        <w:t xml:space="preserve">Edição localizada v1.1 — 2026-10-17</w:t>
      </w:r>
    </w:p>
    <w:p>
      <w:pPr>
        <w:pStyle w:val="BodyText"/>
      </w:pPr>
      <w:r>
        <w:rPr>
          <w:lang w:val="pt-PT"/>
        </w:rPr>
        <w:t xml:space="preserve">O texto francês prevalece. Esta edição abrange França, Irlanda, Países Baixos, Espanha e Portugal. O idioma não determina o país de implementação, as partes ou a lei aplicável. Leia o anexo nacional no final do documento segundo o país e a utilização reais.</w:t>
      </w:r>
    </w:p>
    <w:p>
      <w:pPr>
        <w:pStyle w:val="FirstParagraph"/>
      </w:pPr>
      <w:r>
        <w:rPr>
          <w:b/>
          <w:bCs/>
          <w:lang w:val="pt-PT"/>
        </w:rPr>
        <w:t xml:space="preserve">Editor: OHADJA </w:t>
      </w:r>
      <w:r>
        <w:rPr>
          <w:lang w:val="pt-PT"/>
        </w:rPr>
        <w:t xml:space="preserve"/>
      </w:r>
      <w:r>
        <w:rPr>
          <w:lang w:val="pt-PT"/>
        </w:rPr>
        <w:t xml:space="preserve">- SAS, 992 146 480 RCS Paris, 60 rue François Ier, 75008 Paris · Contacto de proteção de dados: </w:t>
      </w:r>
      <w:r>
        <w:rPr>
          <w:lang w:val="pt-PT"/>
        </w:rPr>
        <w:t xml:space="preserve"/>
      </w:r>
      <w:hyperlink r:id="rId9">
        <w:r>
          <w:rPr>
            <w:rStyle w:val="Hyperlink"/>
            <w:lang w:val="pt-PT"/>
          </w:rPr>
          <w:t xml:space="preserve">privacy@transcribia.eu</w:t>
        </w:r>
      </w:hyperlink>
    </w:p>
    <w:p>
      <w:pPr>
        <w:pStyle w:val="BodyText"/>
      </w:pPr>
      <w:r>
        <w:rPr>
          <w:i/>
          <w:iCs/>
          <w:lang w:val="pt-PT"/>
        </w:rPr>
        <w:t xml:space="preserve">Versão 1.0 da coleção de 25/07/2026 — Pública. Cada capítulo também está disponível como um documento separado mediante solicitação.</w:t>
      </w:r>
    </w:p>
    <w:p>
      <w:r>
        <w:br w:type="page"/>
      </w:r>
    </w:p>
    <w:bookmarkEnd w:id="10"/>
    <w:bookmarkStart w:id="37" w:name="Xc4440db849f7f1648a52ae2b4e5324a44473266"/>
    <w:p>
      <w:pPr>
        <w:pStyle w:val="Heading1"/>
        <w:keepNext/>
        <w:keepLines/>
      </w:pPr>
      <w:r>
        <w:rPr>
          <w:color w:val="000000"/>
          <w:lang w:val="pt-PT"/>
        </w:rPr>
        <w:t xml:space="preserve">Arquivo técnico e de segurança (versão pública)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TRB-CONF-01.06-P</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p>
      <w:pPr>
        <w:pStyle w:val="BlockText"/>
      </w:pPr>
      <w:r>
        <w:rPr>
          <w:lang w:val="pt-PT"/>
        </w:rPr>
        <w:t xml:space="preserve">Versão pública redigida da ficha técnica. Detalhes operacionais confidenciais (exposição detalhada da rede, configuração precisa de proteção, caminhos internos) não estão incluídos nesta versão. A versão completa (referência TRB-CONF-01.06, classificada como confidencial) é fornecida ao cliente mediante solicitação, no âmbito de um acordo de confidencialidade.</w:t>
      </w:r>
    </w:p>
    <w:bookmarkStart w:id="11" w:name="X32ae317e6cb73c0ebf6349a8ae72678e98d72a1"/>
    <w:p>
      <w:pPr>
        <w:pStyle w:val="Heading2"/>
        <w:keepNext/>
        <w:keepLines/>
      </w:pPr>
      <w:r>
        <w:rPr>
          <w:color w:val="000000"/>
          <w:lang w:val="pt-PT"/>
        </w:rPr>
        <w:t xml:space="preserve">1. Objetivo e âmbito</w:t>
      </w:r>
    </w:p>
    <w:p>
      <w:pPr>
        <w:pStyle w:val="FirstParagraph"/>
      </w:pPr>
      <w:r>
        <w:rPr>
          <w:lang w:val="pt-PT"/>
        </w:rPr>
        <w:t xml:space="preserve">Este arquivo descreve a arquitetura técnica e as medidas de segurança da solução TranscribIA, para uso do seu departamento de TI e do seu CISO. Abrange arquitetura de aplicativos, segurança de aplicativos, segurança de infraestrutura no modo SaaS, backups e continuidade de negócios, monitorização, bem como gerenciamento de vulnerabilidades e atualizações.</w:t>
      </w:r>
    </w:p>
    <w:p>
      <w:pPr>
        <w:pStyle w:val="BodyText"/>
      </w:pPr>
      <w:r>
        <w:rPr>
          <w:lang w:val="pt-PT"/>
        </w:rPr>
        <w:t xml:space="preserve">Salvo indicação em contrário, a pilha de aplicações </w:t>
      </w:r>
      <w:r>
        <w:rPr>
          <w:lang w:val="pt-PT"/>
        </w:rPr>
        <w:t xml:space="preserve"/>
      </w:r>
      <w:r>
        <w:rPr>
          <w:b/>
          <w:bCs/>
          <w:lang w:val="pt-PT"/>
        </w:rPr>
        <w:t xml:space="preserve">é idêntica em ambos os modos de implementação </w:t>
      </w:r>
      <w:r>
        <w:rPr>
          <w:lang w:val="pt-PT"/>
        </w:rPr>
        <w:t xml:space="preserve"/>
      </w:r>
      <w:r>
        <w:rPr>
          <w:lang w:val="pt-PT"/>
        </w:rPr>
        <w:t xml:space="preserve">(Opção A SaaS e Opção B no local). As secções relativas à infraestrutura, backups e supervisão descrevem o modo SaaS operado por OHADJA; na Opção B, essas responsabilidades recaem sobre o cliente em sua infraestrutura, a menos que a missão seja confiada a OHADJA.</w:t>
      </w:r>
    </w:p>
    <w:bookmarkEnd w:id="11"/>
    <w:bookmarkStart w:id="15" w:name="X7fcc582daacdaa25b5bd328960ff7e873b0465b"/>
    <w:p>
      <w:pPr>
        <w:pStyle w:val="Heading2"/>
        <w:keepNext/>
        <w:keepLines/>
      </w:pPr>
      <w:r>
        <w:rPr>
          <w:color w:val="000000"/>
          <w:lang w:val="pt-PT"/>
        </w:rPr>
        <w:t xml:space="preserve">2. Arquitetura de aplicação</w:t>
      </w:r>
    </w:p>
    <w:bookmarkStart w:id="12" w:name="X7a165fe3aa471668fe573f6da2946918df69385"/>
    <w:p>
      <w:pPr>
        <w:pStyle w:val="Heading3"/>
        <w:keepNext/>
        <w:keepLines/>
      </w:pPr>
      <w:r>
        <w:rPr>
          <w:color w:val="000000"/>
          <w:lang w:val="pt-PT"/>
        </w:rPr>
        <w:t xml:space="preserve">2.1 Pilha técnica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Camada</w:t>
            </w:r>
          </w:p>
        </w:tc>
        <w:tc>
          <w:tcPr/>
          <w:p>
            <w:pPr>
              <w:pStyle w:val="Compact"/>
            </w:pPr>
            <w:r>
              <w:rPr>
                <w:lang w:val="pt-PT"/>
              </w:rPr>
              <w:t xml:space="preserve">Tecnologia</w:t>
            </w:r>
          </w:p>
        </w:tc>
      </w:tr>
      <w:tr>
        <w:trPr>
          <w:cantSplit/>
        </w:trPr>
        <w:tc>
          <w:tcPr/>
          <w:p>
            <w:pPr>
              <w:pStyle w:val="Compact"/>
            </w:pPr>
            <w:r>
              <w:rPr>
                <w:lang w:val="pt-PT"/>
              </w:rPr>
              <w:t xml:space="preserve">Back-end</w:t>
            </w:r>
          </w:p>
        </w:tc>
        <w:tc>
          <w:tcPr/>
          <w:p>
            <w:pPr>
              <w:pStyle w:val="Compact"/>
            </w:pPr>
            <w:r>
              <w:rPr>
                <w:lang w:val="pt-PT"/>
              </w:rPr>
              <w:t xml:space="preserve">Laravel 12/PHP 8.3</w:t>
            </w:r>
          </w:p>
        </w:tc>
      </w:tr>
      <w:tr>
        <w:trPr>
          <w:cantSplit/>
        </w:trPr>
        <w:tc>
          <w:tcPr/>
          <w:p>
            <w:pPr>
              <w:pStyle w:val="Compact"/>
            </w:pPr>
            <w:r>
              <w:rPr>
                <w:lang w:val="pt-PT"/>
              </w:rPr>
              <w:t xml:space="preserve">API</w:t>
            </w:r>
          </w:p>
        </w:tc>
        <w:tc>
          <w:tcPr/>
          <w:p>
            <w:pPr>
              <w:pStyle w:val="Compact"/>
            </w:pPr>
            <w:r>
              <w:rPr>
                <w:lang w:val="pt-PT"/>
              </w:rPr>
              <w:t xml:space="preserve">Laravel Sanctum (tokens Bearer com hash SHA-256)</w:t>
            </w:r>
          </w:p>
        </w:tc>
      </w:tr>
      <w:tr>
        <w:trPr>
          <w:cantSplit/>
        </w:trPr>
        <w:tc>
          <w:tcPr/>
          <w:p>
            <w:pPr>
              <w:pStyle w:val="Compact"/>
            </w:pPr>
            <w:r>
              <w:rPr>
                <w:lang w:val="pt-PT"/>
              </w:rPr>
              <w:t xml:space="preserve">Interface</w:t>
            </w:r>
          </w:p>
        </w:tc>
        <w:tc>
          <w:tcPr/>
          <w:p>
            <w:pPr>
              <w:pStyle w:val="Compact"/>
            </w:pPr>
            <w:r>
              <w:rPr>
                <w:lang w:val="pt-PT"/>
              </w:rPr>
              <w:t xml:space="preserve">React 19 + TypeScript</w:t>
            </w:r>
          </w:p>
        </w:tc>
      </w:tr>
      <w:tr>
        <w:trPr>
          <w:cantSplit/>
        </w:trPr>
        <w:tc>
          <w:tcPr/>
          <w:p>
            <w:pPr>
              <w:pStyle w:val="Compact"/>
            </w:pPr>
            <w:r>
              <w:rPr>
                <w:lang w:val="pt-PT"/>
              </w:rPr>
              <w:t xml:space="preserve">Base de dados</w:t>
            </w:r>
          </w:p>
        </w:tc>
        <w:tc>
          <w:tcPr/>
          <w:p>
            <w:pPr>
              <w:pStyle w:val="Compact"/>
            </w:pPr>
            <w:r>
              <w:rPr>
                <w:lang w:val="pt-PT"/>
              </w:rPr>
              <w:t xml:space="preserve">PostgreSQL 16, arquitetura de esquema por organização</w:t>
            </w:r>
          </w:p>
        </w:tc>
      </w:tr>
      <w:tr>
        <w:trPr>
          <w:cantSplit/>
        </w:trPr>
        <w:tc>
          <w:tcPr/>
          <w:p>
            <w:pPr>
              <w:pStyle w:val="Compact"/>
            </w:pPr>
            <w:r>
              <w:rPr>
                <w:lang w:val="pt-PT"/>
              </w:rPr>
              <w:t xml:space="preserve">Cache/sessões/fila</w:t>
            </w:r>
          </w:p>
        </w:tc>
        <w:tc>
          <w:tcPr/>
          <w:p>
            <w:pPr>
              <w:pStyle w:val="Compact"/>
            </w:pPr>
            <w:r>
              <w:rPr>
                <w:lang w:val="pt-PT"/>
              </w:rPr>
              <w:t xml:space="preserve">Redis 7</w:t>
            </w:r>
          </w:p>
        </w:tc>
      </w:tr>
      <w:tr>
        <w:trPr>
          <w:cantSplit/>
        </w:trPr>
        <w:tc>
          <w:tcPr/>
          <w:p>
            <w:pPr>
              <w:pStyle w:val="Compact"/>
            </w:pPr>
            <w:r>
              <w:rPr>
                <w:lang w:val="pt-PT"/>
              </w:rPr>
              <w:t xml:space="preserve">Tempo real</w:t>
            </w:r>
          </w:p>
        </w:tc>
        <w:tc>
          <w:tcPr/>
          <w:p>
            <w:pPr>
              <w:pStyle w:val="Compact"/>
            </w:pPr>
            <w:r>
              <w:rPr>
                <w:lang w:val="pt-PT"/>
              </w:rPr>
              <w:t xml:space="preserve">Laravel Reverb (WebSocket)</w:t>
            </w:r>
          </w:p>
        </w:tc>
      </w:tr>
      <w:tr>
        <w:trPr>
          <w:cantSplit/>
        </w:trPr>
        <w:tc>
          <w:tcPr/>
          <w:p>
            <w:pPr>
              <w:pStyle w:val="Compact"/>
            </w:pPr>
            <w:r>
              <w:rPr>
                <w:lang w:val="pt-PT"/>
              </w:rPr>
              <w:t xml:space="preserve">Proxy reverso</w:t>
            </w:r>
          </w:p>
        </w:tc>
        <w:tc>
          <w:tcPr/>
          <w:p>
            <w:pPr>
              <w:pStyle w:val="Compact"/>
            </w:pPr>
            <w:r>
              <w:rPr>
                <w:lang w:val="pt-PT"/>
              </w:rPr>
              <w:t xml:space="preserve">Nginx 1.27</w:t>
            </w:r>
          </w:p>
        </w:tc>
      </w:tr>
      <w:tr>
        <w:trPr>
          <w:cantSplit/>
        </w:trPr>
        <w:tc>
          <w:tcPr/>
          <w:p>
            <w:pPr>
              <w:pStyle w:val="Compact"/>
            </w:pPr>
            <w:r>
              <w:rPr>
                <w:lang w:val="pt-PT"/>
              </w:rPr>
              <w:t xml:space="preserve">Orquestração</w:t>
            </w:r>
          </w:p>
        </w:tc>
        <w:tc>
          <w:tcPr/>
          <w:p>
            <w:pPr>
              <w:pStyle w:val="Compact"/>
            </w:pPr>
            <w:r>
              <w:rPr>
                <w:lang w:val="pt-PT"/>
              </w:rPr>
              <w:t xml:space="preserve">Docker Compose – 8 serviços + antivírus secundário</w:t>
            </w:r>
          </w:p>
        </w:tc>
      </w:tr>
    </w:tbl>
    <w:bookmarkEnd w:id="12"/>
    <w:bookmarkStart w:id="13" w:name="Xce8aa5e30fb6bff0136505a7e826f0e98b2dee0"/>
    <w:p>
      <w:pPr>
        <w:pStyle w:val="Heading3"/>
        <w:keepNext/>
        <w:keepLines/>
      </w:pPr>
      <w:r>
        <w:rPr>
          <w:color w:val="000000"/>
          <w:lang w:val="pt-PT"/>
        </w:rPr>
        <w:t xml:space="preserve">2.2 Serviços e exposição da rede</w:t>
      </w:r>
    </w:p>
    <w:p>
      <w:pPr>
        <w:pStyle w:val="FirstParagraph"/>
      </w:pPr>
      <w:r>
        <w:rPr>
          <w:lang w:val="pt-PT"/>
        </w:rPr>
        <w:t xml:space="preserve">A implementação Docker Compose compreende oito serviços (nginx, app, queue, scheduler, reverb, frontend, postgres, redis), aos quais se acrescenta um sidecar ClamAV.</w:t>
      </w:r>
    </w:p>
    <w:p>
      <w:pPr>
        <w:pStyle w:val="SourceCode"/>
      </w:pPr>
      <w:r>
        <w:rPr>
          <w:rStyle w:val="VerbatimChar"/>
          <w:rFonts w:ascii="Courier New" w:hAnsi="Courier New" w:eastAsia="Courier New" w:cs="Courier New"/>
          <w:sz w:val="20"/>
          <w:szCs w:val="20"/>
        </w:rPr>
        <w:t xml:space="preserve">Internet (HTTPS 443)</w:t>
        <w:br/>
        <w:t xml:space="preserve">  -&gt; [Traefik v3.6] (SaaS) — TLS, HSTS</w:t>
        <w:br/>
        <w:t xml:space="preserve">  -&gt; [Proxy inverso]</w:t>
        <w:br/>
        <w:t xml:space="preserve">  -&gt; [Aplicação] — [Filas / tempo real] — [Frontend]</w:t>
        <w:br/>
        <w:t xml:space="preserve">  -&gt; [Base de dados] [Cache] [Antivírus]</w:t>
      </w:r>
    </w:p>
    <w:p>
      <w:pPr>
        <w:pStyle w:val="FirstParagraph"/>
      </w:pPr>
      <w:r>
        <w:rPr>
          <w:lang w:val="pt-PT"/>
        </w:rPr>
        <w:t xml:space="preserve">Os componentes internos (base de dados, cache, filas, antivírus, aplicação) não ficam expostos ao exterior: apenas se comunicam dentro da rede privada da orquestração. Apenas a porta 443 (HTTPS) é acessível externamente, através do proxy reverso Traefik, com redirecionamento automático de 80 para 443.</w:t>
      </w:r>
    </w:p>
    <w:bookmarkEnd w:id="13"/>
    <w:bookmarkStart w:id="14" w:name="Xd6683916497b3f1a0709179c576fdc93c2aa977"/>
    <w:p>
      <w:pPr>
        <w:pStyle w:val="Heading3"/>
        <w:keepNext/>
        <w:keepLines/>
      </w:pPr>
      <w:r>
        <w:rPr>
          <w:color w:val="000000"/>
          <w:lang w:val="pt-PT"/>
        </w:rPr>
        <w:t xml:space="preserve">2.3 Isolamento multilocatário</w:t>
      </w:r>
    </w:p>
    <w:p>
      <w:pPr>
        <w:pStyle w:val="FirstParagraph"/>
      </w:pPr>
      <w:r>
        <w:rPr>
          <w:lang w:val="pt-PT"/>
        </w:rPr>
        <w:t xml:space="preserve">O isolamento da organização é baseado em uma arquitetura </w:t>
      </w:r>
      <w:r>
        <w:rPr>
          <w:lang w:val="pt-PT"/>
        </w:rPr>
        <w:t xml:space="preserve"/>
      </w:r>
      <w:r>
        <w:rPr>
          <w:b/>
          <w:bCs/>
          <w:lang w:val="pt-PT"/>
        </w:rPr>
        <w:t xml:space="preserve">de esquema por organização: </w:t>
      </w:r>
      <w:r>
        <w:rPr>
          <w:lang w:val="pt-PT"/>
        </w:rPr>
        <w:t xml:space="preserve"/>
      </w:r>
      <w:r>
        <w:rPr>
          <w:lang w:val="pt-PT"/>
        </w:rPr>
        <w:t xml:space="preserve">cada organização possui um esquema PostgreSQL dedicado. O middleware da aplicação posiciona o contexto do locatário antes da execução de cada consulta, de forma que o acesso seja limitado aos dados da organização em questão. Este isolamento lógico impede o acesso cruzado aos dados entre organizações.</w:t>
      </w:r>
    </w:p>
    <w:bookmarkEnd w:id="14"/>
    <w:bookmarkEnd w:id="15"/>
    <w:bookmarkStart w:id="21" w:name="X5d35c5e707a1792d59deda222ffaeb6e449fdab"/>
    <w:p>
      <w:pPr>
        <w:pStyle w:val="Heading2"/>
        <w:keepNext/>
        <w:keepLines/>
      </w:pPr>
      <w:r>
        <w:rPr>
          <w:color w:val="000000"/>
          <w:lang w:val="pt-PT"/>
        </w:rPr>
        <w:t xml:space="preserve">3. Segurança de aplicativos</w:t>
      </w:r>
    </w:p>
    <w:bookmarkStart w:id="16" w:name="X37934700d272fff4fb4bb805390362e78aae795"/>
    <w:p>
      <w:pPr>
        <w:pStyle w:val="Heading3"/>
        <w:keepNext/>
        <w:keepLines/>
      </w:pPr>
      <w:r>
        <w:rPr>
          <w:color w:val="000000"/>
          <w:lang w:val="pt-PT"/>
        </w:rPr>
        <w:t xml:space="preserve">3.1 Autenticação e gerenciamento de acesso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Medida</w:t>
            </w:r>
          </w:p>
        </w:tc>
        <w:tc>
          <w:tcPr/>
          <w:p>
            <w:pPr>
              <w:pStyle w:val="Compact"/>
            </w:pPr>
            <w:r>
              <w:rPr>
                <w:lang w:val="pt-PT"/>
              </w:rPr>
              <w:t xml:space="preserve">Detalhe</w:t>
            </w:r>
          </w:p>
        </w:tc>
      </w:tr>
      <w:tr>
        <w:trPr>
          <w:cantSplit/>
        </w:trPr>
        <w:tc>
          <w:tcPr/>
          <w:p>
            <w:pPr>
              <w:pStyle w:val="Compact"/>
            </w:pPr>
            <w:r>
              <w:rPr>
                <w:lang w:val="pt-PT"/>
              </w:rPr>
              <w:t xml:space="preserve">Tokens de API</w:t>
            </w:r>
          </w:p>
        </w:tc>
        <w:tc>
          <w:tcPr/>
          <w:p>
            <w:pPr>
              <w:pStyle w:val="Compact"/>
            </w:pPr>
            <w:r>
              <w:rPr>
                <w:lang w:val="pt-PT"/>
              </w:rPr>
              <w:t xml:space="preserve">Laravel Sanctum, tokens Bearer armazenados na base de dados como hashes SHA-256</w:t>
            </w:r>
          </w:p>
        </w:tc>
      </w:tr>
      <w:tr>
        <w:trPr>
          <w:cantSplit/>
        </w:trPr>
        <w:tc>
          <w:tcPr/>
          <w:p>
            <w:pPr>
              <w:pStyle w:val="Compact"/>
            </w:pPr>
            <w:r>
              <w:rPr>
                <w:lang w:val="pt-PT"/>
              </w:rPr>
              <w:t xml:space="preserve">Senhas</w:t>
            </w:r>
          </w:p>
        </w:tc>
        <w:tc>
          <w:tcPr/>
          <w:p>
            <w:pPr>
              <w:pStyle w:val="Compact"/>
            </w:pPr>
            <w:r>
              <w:rPr>
                <w:lang w:val="pt-PT"/>
              </w:rPr>
              <w:t xml:space="preserve">hash bcrypt, custa 12</w:t>
            </w:r>
          </w:p>
        </w:tc>
      </w:tr>
      <w:tr>
        <w:trPr>
          <w:cantSplit/>
        </w:trPr>
        <w:tc>
          <w:tcPr/>
          <w:p>
            <w:pPr>
              <w:pStyle w:val="Compact"/>
            </w:pPr>
            <w:r>
              <w:rPr>
                <w:lang w:val="pt-PT"/>
              </w:rPr>
              <w:t xml:space="preserve">Autenticação dupla (2FA)</w:t>
            </w:r>
          </w:p>
        </w:tc>
        <w:tc>
          <w:tcPr/>
          <w:p>
            <w:pPr>
              <w:pStyle w:val="Compact"/>
            </w:pPr>
            <w:r>
              <w:rPr>
                <w:lang w:val="pt-PT"/>
              </w:rPr>
              <w:t xml:space="preserve">TOTP compatível com RFC 6238, configurável por função; Segredos 2FA cifrados em AES-256-CBC</w:t>
            </w:r>
          </w:p>
        </w:tc>
      </w:tr>
      <w:tr>
        <w:trPr>
          <w:cantSplit/>
        </w:trPr>
        <w:tc>
          <w:tcPr/>
          <w:p>
            <w:pPr>
              <w:pStyle w:val="Compact"/>
            </w:pPr>
            <w:r>
              <w:rPr>
                <w:lang w:val="pt-PT"/>
              </w:rPr>
              <w:t xml:space="preserve">Confirmação reforçada (step-up)</w:t>
            </w:r>
          </w:p>
        </w:tc>
        <w:tc>
          <w:tcPr/>
          <w:p>
            <w:pPr>
              <w:pStyle w:val="Compact"/>
            </w:pPr>
            <w:r>
              <w:rPr>
                <w:lang w:val="pt-PT"/>
              </w:rPr>
              <w:t xml:space="preserve">É necessária a reentrada de senha em ações destrutivas (exclusão, restauração, modificação da política 2FA)</w:t>
            </w:r>
          </w:p>
        </w:tc>
      </w:tr>
      <w:tr>
        <w:trPr>
          <w:cantSplit/>
        </w:trPr>
        <w:tc>
          <w:tcPr/>
          <w:p>
            <w:pPr>
              <w:pStyle w:val="Compact"/>
            </w:pPr>
            <w:r>
              <w:rPr>
                <w:lang w:val="pt-PT"/>
              </w:rPr>
              <w:t xml:space="preserve">Controlo de acesso (RBAC)</w:t>
            </w:r>
          </w:p>
        </w:tc>
        <w:tc>
          <w:tcPr/>
          <w:p>
            <w:pPr>
              <w:pStyle w:val="Compact"/>
            </w:pPr>
            <w:r>
              <w:rPr>
                <w:lang w:val="pt-PT"/>
              </w:rPr>
              <w:t xml:space="preserve">5 níveis: super_admin, agente/super_agent, gerente, team_lead, utilizador</w:t>
            </w:r>
          </w:p>
        </w:tc>
      </w:tr>
      <w:tr>
        <w:trPr>
          <w:cantSplit/>
        </w:trPr>
        <w:tc>
          <w:tcPr/>
          <w:p>
            <w:pPr>
              <w:pStyle w:val="Compact"/>
            </w:pPr>
            <w:r>
              <w:rPr>
                <w:lang w:val="pt-PT"/>
              </w:rPr>
              <w:t xml:space="preserve">Limitação de taxa</w:t>
            </w:r>
          </w:p>
        </w:tc>
        <w:tc>
          <w:tcPr/>
          <w:p>
            <w:pPr>
              <w:pStyle w:val="Compact"/>
            </w:pPr>
            <w:r>
              <w:rPr>
                <w:lang w:val="pt-PT"/>
              </w:rPr>
              <w:t xml:space="preserve">Limitação de taxa do Laravel em endpoints sensíveis</w:t>
            </w:r>
          </w:p>
        </w:tc>
      </w:tr>
      <w:tr>
        <w:trPr>
          <w:cantSplit/>
        </w:trPr>
        <w:tc>
          <w:tcPr/>
          <w:p>
            <w:pPr>
              <w:pStyle w:val="Compact"/>
            </w:pPr>
            <w:r>
              <w:rPr>
                <w:lang w:val="pt-PT"/>
              </w:rPr>
              <w:t xml:space="preserve">Políticas da Web</w:t>
            </w:r>
          </w:p>
        </w:tc>
        <w:tc>
          <w:tcPr/>
          <w:p>
            <w:pPr>
              <w:pStyle w:val="Compact"/>
            </w:pPr>
            <w:r>
              <w:rPr>
                <w:lang w:val="pt-PT"/>
              </w:rPr>
              <w:t xml:space="preserve">CORS estrito e política de segurança de conteúdo (CSP) ativa</w:t>
            </w:r>
          </w:p>
        </w:tc>
      </w:tr>
    </w:tbl>
    <w:bookmarkEnd w:id="16"/>
    <w:bookmarkStart w:id="17" w:name="X9acfeef6870ddb2089f9192e7a3f90093a461f0"/>
    <w:p>
      <w:pPr>
        <w:pStyle w:val="Heading3"/>
        <w:keepNext/>
        <w:keepLines/>
      </w:pPr>
      <w:r>
        <w:rPr>
          <w:color w:val="000000"/>
          <w:lang w:val="pt-PT"/>
        </w:rPr>
        <w:t xml:space="preserve">3.2 Proteção do conteúdo enviado</w:t>
      </w:r>
    </w:p>
    <w:p>
      <w:pPr>
        <w:pStyle w:val="FirstParagraph"/>
      </w:pPr>
      <w:r>
        <w:rPr>
          <w:lang w:val="pt-PT"/>
        </w:rPr>
        <w:t xml:space="preserve">Cada upload é analisado por um sidecar do </w:t>
      </w:r>
      <w:r>
        <w:rPr>
          <w:lang w:val="pt-PT"/>
        </w:rPr>
        <w:t xml:space="preserve">ClamAV </w:t>
      </w:r>
      <w:r>
        <w:rPr>
          <w:b/>
          <w:bCs/>
          <w:lang w:val="pt-PT"/>
        </w:rPr>
        <w:t xml:space="preserve">1.4 </w:t>
      </w:r>
      <w:r>
        <w:rPr>
          <w:lang w:val="pt-PT"/>
        </w:rPr>
        <w:t xml:space="preserve"/>
      </w:r>
      <w:r>
        <w:rPr>
          <w:lang w:val="pt-PT"/>
        </w:rPr>
        <w:t xml:space="preserve">antes de gravar no disco:</w:t>
      </w:r>
    </w:p>
    <w:p>
      <w:pPr>
        <w:pStyle w:val="Compact"/>
        <w:numPr>
          <w:ilvl w:val="0"/>
          <w:numId w:val="1001"/>
        </w:numPr>
      </w:pPr>
      <w:r>
        <w:rPr>
          <w:lang w:val="pt-PT"/>
        </w:rPr>
        <w:t xml:space="preserve">limite de digitalização: 2 GB;</w:t>
      </w:r>
    </w:p>
    <w:p>
      <w:pPr>
        <w:pStyle w:val="Compact"/>
        <w:numPr>
          <w:ilvl w:val="0"/>
          <w:numId w:val="1001"/>
        </w:numPr>
      </w:pPr>
      <w:r>
        <w:rPr>
          <w:lang w:val="pt-PT"/>
        </w:rPr>
        <w:t xml:space="preserve">assinaturas mantidas atualizadas através de freshclam;</w:t>
      </w:r>
    </w:p>
    <w:p>
      <w:pPr>
        <w:pStyle w:val="Compact"/>
        <w:numPr>
          <w:ilvl w:val="0"/>
          <w:numId w:val="1001"/>
        </w:numPr>
      </w:pPr>
      <w:r>
        <w:rPr>
          <w:lang w:val="pt-PT"/>
        </w:rPr>
        <w:t xml:space="preserve">rejeição de ficheiros infectados, registo e alerta;</w:t>
      </w:r>
    </w:p>
    <w:p>
      <w:pPr>
        <w:pStyle w:val="Compact"/>
        <w:numPr>
          <w:ilvl w:val="0"/>
          <w:numId w:val="1001"/>
        </w:numPr>
      </w:pPr>
      <w:r>
        <w:rPr>
          <w:lang w:val="pt-PT"/>
        </w:rPr>
        <w:t xml:space="preserve">comportamento fail-open registado quando o scanner está indisponível (a incluir na análise de risco do cliente).</w:t>
      </w:r>
    </w:p>
    <w:p>
      <w:pPr>
        <w:pStyle w:val="FirstParagraph"/>
      </w:pPr>
      <w:r>
        <w:rPr>
          <w:lang w:val="pt-PT"/>
        </w:rPr>
        <w:t xml:space="preserve">O acesso aos ficheiros de streaming de áudio é feito através </w:t>
      </w:r>
      <w:r>
        <w:rPr>
          <w:lang w:val="pt-PT"/>
        </w:rPr>
        <w:t xml:space="preserve"/>
      </w:r>
      <w:r>
        <w:rPr>
          <w:b/>
          <w:bCs/>
          <w:lang w:val="pt-PT"/>
        </w:rPr>
        <w:t xml:space="preserve">de URL assinada </w:t>
      </w:r>
      <w:r>
        <w:rPr>
          <w:lang w:val="pt-PT"/>
        </w:rPr>
        <w:t xml:space="preserve">temporária </w:t>
      </w:r>
      <w:r>
        <w:rPr>
          <w:lang w:val="pt-PT"/>
        </w:rPr>
        <w:t xml:space="preserve">(válida por 30 minutos); nenhum acesso direto não autorizado é exposto publicamente.</w:t>
      </w:r>
    </w:p>
    <w:bookmarkEnd w:id="17"/>
    <w:bookmarkStart w:id="18" w:name="Xbda68e9ebdc8f6c6314e39dd9f09cc7425377c6"/>
    <w:p>
      <w:pPr>
        <w:pStyle w:val="Heading3"/>
        <w:keepNext/>
        <w:keepLines/>
      </w:pPr>
      <w:r>
        <w:rPr>
          <w:color w:val="000000"/>
          <w:lang w:val="pt-PT"/>
        </w:rPr>
        <w:t xml:space="preserve">3.3 Registo e auditoria</w:t>
      </w:r>
    </w:p>
    <w:p>
      <w:pPr>
        <w:pStyle w:val="FirstParagraph"/>
      </w:pPr>
      <w:r>
        <w:rPr>
          <w:lang w:val="pt-PT"/>
        </w:rPr>
        <w:t xml:space="preserve">A rastreabilidade é baseada em dois níveis:</w:t>
      </w:r>
    </w:p>
    <w:p>
      <w:pPr>
        <w:pStyle w:val="Compact"/>
        <w:numPr>
          <w:ilvl w:val="0"/>
          <w:numId w:val="1002"/>
        </w:numPr>
      </w:pPr>
      <w:r>
        <w:rPr>
          <w:lang w:val="pt-PT"/>
        </w:rPr>
        <w:t xml:space="preserve">um log de auditoria específico para cada organização (</w:t>
      </w:r>
      <w:r>
        <w:rPr>
          <w:rStyle w:val="VerbatimChar"/>
          <w:lang w:val="pt-PT"/>
        </w:rPr>
        <w:t xml:space="preserve">activity_logs</w:t>
      </w:r>
      <w:r>
        <w:rPr>
          <w:lang w:val="pt-PT"/>
        </w:rPr>
        <w:t xml:space="preserve">);</w:t>
      </w:r>
    </w:p>
    <w:p>
      <w:pPr>
        <w:pStyle w:val="Compact"/>
        <w:numPr>
          <w:ilvl w:val="0"/>
          <w:numId w:val="1002"/>
        </w:numPr>
      </w:pPr>
      <w:r>
        <w:rPr>
          <w:lang w:val="pt-PT"/>
        </w:rPr>
        <w:t xml:space="preserve">um log de eventos da plataforma (</w:t>
      </w:r>
      <w:r>
        <w:rPr>
          <w:rStyle w:val="VerbatimChar"/>
          <w:lang w:val="pt-PT"/>
        </w:rPr>
        <w:t xml:space="preserve">public.audit_logs</w:t>
      </w:r>
      <w:r>
        <w:rPr>
          <w:lang w:val="pt-PT"/>
        </w:rPr>
        <w:t xml:space="preserve">).</w:t>
      </w:r>
    </w:p>
    <w:p>
      <w:pPr>
        <w:pStyle w:val="FirstParagraph"/>
      </w:pPr>
      <w:r>
        <w:rPr>
          <w:lang w:val="pt-PT"/>
        </w:rPr>
        <w:t xml:space="preserve">Os logs cobrem conexões, criações, modificações, exclusões, uploads, processamento, erros, exportações e operações administrativas. Eles são exportáveis ​​em CSV/JSON para as necessidades de auditoria do cliente.</w:t>
      </w:r>
    </w:p>
    <w:bookmarkEnd w:id="18"/>
    <w:bookmarkStart w:id="19" w:name="X79899a769a7ceb00c431efb514f74e4d7ac923f"/>
    <w:p>
      <w:pPr>
        <w:pStyle w:val="Heading3"/>
        <w:keepNext/>
        <w:keepLines/>
      </w:pPr>
      <w:r>
        <w:rPr>
          <w:color w:val="000000"/>
          <w:lang w:val="pt-PT"/>
        </w:rPr>
        <w:t xml:space="preserve">3.4 Proteção anti-SSRF de endpoints de IA por organização</w:t>
      </w:r>
    </w:p>
    <w:p>
      <w:pPr>
        <w:pStyle w:val="FirstParagraph"/>
      </w:pPr>
      <w:r>
        <w:rPr>
          <w:lang w:val="pt-PT"/>
        </w:rPr>
        <w:t xml:space="preserve">O recurso de configuração LLM por organização (URL de modelo auto-hospedado) é protegido contra ataques SSRF (versão 1.7.1): validação do endereço de destino, bloqueio de endereços internos e serviços de metadados, restrição a destinos públicos legítimos. Esta proteção garante que um modelo de URL configurado por uma organização não possa ser invadido para alcançar recursos internos.</w:t>
      </w:r>
    </w:p>
    <w:bookmarkEnd w:id="19"/>
    <w:bookmarkStart w:id="20" w:name="X780695c33447f03d1f1a0964e11c9ae5fba8203"/>
    <w:p>
      <w:pPr>
        <w:pStyle w:val="Heading3"/>
        <w:keepNext/>
        <w:keepLines/>
      </w:pPr>
      <w:r>
        <w:rPr>
          <w:color w:val="000000"/>
          <w:lang w:val="pt-PT"/>
        </w:rPr>
        <w:t xml:space="preserve">3.5 Segurança do processamento de IA</w:t>
      </w:r>
    </w:p>
    <w:p>
      <w:pPr>
        <w:pStyle w:val="Compact"/>
        <w:numPr>
          <w:ilvl w:val="0"/>
          <w:numId w:val="1003"/>
        </w:numPr>
      </w:pPr>
      <w:r>
        <w:rPr>
          <w:b/>
          <w:bCs/>
          <w:lang w:val="pt-PT"/>
        </w:rPr>
        <w:t xml:space="preserve">Via primária — inferência dominada na Europa. </w:t>
      </w:r>
      <w:r>
        <w:rPr>
          <w:lang w:val="pt-PT"/>
        </w:rPr>
        <w:t xml:space="preserve"/>
      </w:r>
      <w:r>
        <w:rPr>
          <w:lang w:val="pt-PT"/>
        </w:rPr>
        <w:t xml:space="preserve">As funções de IA dependem por padrão de servidores GPU controlados por OHADJA rodando vLLM com modelos de pesos abertos ([A SER CONCLUÍDO: versões exatas — Qwen 3.6 ou Mistral]), hospedados na Europa (principalmente Estrasburgo e Paris) — ou, na Opção B, na infraestrutura do cliente. Nesta rota, nenhum dado é transmitido a um provedor de modelo terceirizado ou fora do EEE.</w:t>
      </w:r>
    </w:p>
    <w:p>
      <w:pPr>
        <w:pStyle w:val="Compact"/>
        <w:numPr>
          <w:ilvl w:val="0"/>
          <w:numId w:val="1003"/>
        </w:numPr>
      </w:pPr>
      <w:r>
        <w:rPr>
          <w:b/>
          <w:bCs/>
          <w:lang w:val="pt-PT"/>
        </w:rPr>
        <w:t xml:space="preserve">Rota de </w:t>
      </w:r>
      <w:r>
        <w:rPr>
          <w:lang w:val="pt-PT"/>
        </w:rPr>
        <w:t xml:space="preserve">emergência. </w:t>
      </w:r>
      <w:r>
        <w:rPr>
          <w:lang w:val="pt-PT"/>
        </w:rPr>
        <w:t xml:space="preserve">O gateway OpenRouter (Claude, GPT, etc.) só é utilizado para failover, se a rota primária estiver indisponível, sem treino («no-train»); pode ser desativado por organização (perfil “estrito da UE”).</w:t>
      </w:r>
    </w:p>
    <w:p>
      <w:pPr>
        <w:pStyle w:val="Compact"/>
        <w:numPr>
          <w:ilvl w:val="0"/>
          <w:numId w:val="1003"/>
        </w:numPr>
      </w:pPr>
      <w:r>
        <w:rPr>
          <w:lang w:val="pt-PT"/>
        </w:rPr>
        <w:t xml:space="preserve">Os dados passados para o modelo são limitados às fontes selecionadas pelo utilizador (minimização).</w:t>
      </w:r>
    </w:p>
    <w:p>
      <w:pPr>
        <w:pStyle w:val="Compact"/>
        <w:numPr>
          <w:ilvl w:val="0"/>
          <w:numId w:val="1003"/>
        </w:numPr>
      </w:pPr>
      <w:r>
        <w:rPr>
          <w:lang w:val="pt-PT"/>
        </w:rPr>
        <w:t xml:space="preserve">Nenhum dado é usado para treinar modelos específicos para OHADJA.</w:t>
      </w:r>
    </w:p>
    <w:p>
      <w:pPr>
        <w:pStyle w:val="Compact"/>
        <w:numPr>
          <w:ilvl w:val="0"/>
          <w:numId w:val="1003"/>
        </w:numPr>
      </w:pPr>
      <w:r>
        <w:rPr>
          <w:lang w:val="pt-PT"/>
        </w:rPr>
        <w:t xml:space="preserve">O LlmGateway fornece failover de múltiplas configurações por prioridade (3 tentativas, espera, tempo limite de 300 s) e rotação de múltiplas contas.</w:t>
      </w:r>
    </w:p>
    <w:p>
      <w:pPr>
        <w:pStyle w:val="Compact"/>
        <w:numPr>
          <w:ilvl w:val="0"/>
          <w:numId w:val="1003"/>
        </w:numPr>
      </w:pPr>
      <w:r>
        <w:rPr>
          <w:lang w:val="pt-PT"/>
        </w:rPr>
        <w:t xml:space="preserve">Desde a versão 1.7.0, a configuração do LLM por organização está em modo “fail-closed”: uma organização com configurações próprias nunca utiliza as da plataforma; as chaves são isoladas, cifradas em base e nunca são exibidas novamente; Os endpoints auto-hospedados são protegidos contra SSRF (ver §3.4).</w:t>
      </w:r>
    </w:p>
    <w:bookmarkEnd w:id="20"/>
    <w:bookmarkEnd w:id="21"/>
    <w:bookmarkStart w:id="26" w:name="Xb15965f655bca0af06f46ea8a870022357096d7"/>
    <w:p>
      <w:pPr>
        <w:pStyle w:val="Heading2"/>
        <w:keepNext/>
        <w:keepLines/>
      </w:pPr>
      <w:r>
        <w:rPr>
          <w:color w:val="000000"/>
          <w:lang w:val="pt-PT"/>
        </w:rPr>
        <w:t xml:space="preserve">4. Segurança de Infraestrutura (Opção A — SaaS)</w:t>
      </w:r>
    </w:p>
    <w:bookmarkStart w:id="22" w:name="X3ee38e692e1816b83af4739fb65bbeffd7b4765"/>
    <w:p>
      <w:pPr>
        <w:pStyle w:val="Heading3"/>
        <w:keepNext/>
        <w:keepLines/>
      </w:pPr>
      <w:r>
        <w:rPr>
          <w:color w:val="000000"/>
          <w:lang w:val="pt-PT"/>
        </w:rPr>
        <w:t xml:space="preserve">4.1 Servidor de produção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Anfitrião</w:t>
            </w:r>
          </w:p>
        </w:tc>
        <w:tc>
          <w:tcPr/>
          <w:p>
            <w:pPr>
              <w:pStyle w:val="Compact"/>
            </w:pPr>
            <w:r>
              <w:rPr>
                <w:lang w:val="pt-PT"/>
              </w:rPr>
              <w:t xml:space="preserve">Hostinger (KVM)</w:t>
            </w:r>
          </w:p>
        </w:tc>
      </w:tr>
      <w:tr>
        <w:trPr>
          <w:cantSplit/>
        </w:trPr>
        <w:tc>
          <w:tcPr/>
          <w:p>
            <w:pPr>
              <w:pStyle w:val="Compact"/>
            </w:pPr>
            <w:r>
              <w:rPr>
                <w:lang w:val="pt-PT"/>
              </w:rPr>
              <w:t xml:space="preserve">Localização</w:t>
            </w:r>
          </w:p>
        </w:tc>
        <w:tc>
          <w:tcPr/>
          <w:p>
            <w:pPr>
              <w:pStyle w:val="Compact"/>
            </w:pPr>
            <w:r>
              <w:rPr>
                <w:lang w:val="pt-PT"/>
              </w:rPr>
              <w:t xml:space="preserve">Datacenter em Estrasburgo, França</w:t>
            </w:r>
          </w:p>
        </w:tc>
      </w:tr>
      <w:tr>
        <w:trPr>
          <w:cantSplit/>
        </w:trPr>
        <w:tc>
          <w:tcPr/>
          <w:p>
            <w:pPr>
              <w:pStyle w:val="Compact"/>
            </w:pPr>
            <w:r>
              <w:rPr>
                <w:lang w:val="pt-PT"/>
              </w:rPr>
              <w:t xml:space="preserve">Sistema</w:t>
            </w:r>
          </w:p>
        </w:tc>
        <w:tc>
          <w:tcPr/>
          <w:p>
            <w:pPr>
              <w:pStyle w:val="Compact"/>
            </w:pPr>
            <w:r>
              <w:rPr>
                <w:lang w:val="pt-PT"/>
              </w:rPr>
              <w:t xml:space="preserve">Debian 12</w:t>
            </w:r>
          </w:p>
        </w:tc>
      </w:tr>
    </w:tbl>
    <w:bookmarkEnd w:id="22"/>
    <w:bookmarkStart w:id="23" w:name="X9323b6b4da646e368e2d369c7d1986feda9b632"/>
    <w:p>
      <w:pPr>
        <w:pStyle w:val="Heading3"/>
        <w:keepNext/>
        <w:keepLines/>
      </w:pPr>
      <w:r>
        <w:rPr>
          <w:color w:val="000000"/>
          <w:lang w:val="pt-PT"/>
        </w:rPr>
        <w:t xml:space="preserve">4.2 Endurecimento do sistema</w:t>
      </w:r>
    </w:p>
    <w:p>
      <w:pPr>
        <w:pStyle w:val="FirstParagraph"/>
      </w:pPr>
      <w:r>
        <w:rPr>
          <w:lang w:val="pt-PT"/>
        </w:rPr>
        <w:t xml:space="preserve">O servidor de produção está passando por proteção:</w:t>
      </w:r>
    </w:p>
    <w:p>
      <w:pPr>
        <w:pStyle w:val="Compact"/>
        <w:numPr>
          <w:ilvl w:val="0"/>
          <w:numId w:val="1004"/>
        </w:numPr>
      </w:pPr>
      <w:r>
        <w:rPr>
          <w:lang w:val="pt-PT"/>
        </w:rPr>
        <w:t xml:space="preserve">acesso administrativo somente com chave (sem autenticação por senha);</w:t>
      </w:r>
    </w:p>
    <w:p>
      <w:pPr>
        <w:pStyle w:val="Compact"/>
        <w:numPr>
          <w:ilvl w:val="0"/>
          <w:numId w:val="1004"/>
        </w:numPr>
      </w:pPr>
      <w:r>
        <w:rPr>
          <w:lang w:val="pt-PT"/>
        </w:rPr>
        <w:t xml:space="preserve">firewall na lista de permissões (somente fluxos estritamente necessários são permitidos);</w:t>
      </w:r>
    </w:p>
    <w:p>
      <w:pPr>
        <w:pStyle w:val="Compact"/>
        <w:numPr>
          <w:ilvl w:val="0"/>
          <w:numId w:val="1004"/>
        </w:numPr>
      </w:pPr>
      <w:r>
        <w:rPr>
          <w:lang w:val="pt-PT"/>
        </w:rPr>
        <w:t xml:space="preserve">banimento automático de repetidas tentativas de acesso;</w:t>
      </w:r>
    </w:p>
    <w:p>
      <w:pPr>
        <w:pStyle w:val="Compact"/>
        <w:numPr>
          <w:ilvl w:val="0"/>
          <w:numId w:val="1004"/>
        </w:numPr>
      </w:pPr>
      <w:r>
        <w:rPr>
          <w:lang w:val="pt-PT"/>
        </w:rPr>
        <w:t xml:space="preserve">atualizações automáticas de segurança.</w:t>
      </w:r>
    </w:p>
    <w:p>
      <w:pPr>
        <w:pStyle w:val="FirstParagraph"/>
      </w:pPr>
      <w:r>
        <w:rPr>
          <w:b/>
          <w:bCs/>
          <w:lang w:val="pt-PT"/>
        </w:rPr>
        <w:t xml:space="preserve">Cifragem em repouso. </w:t>
      </w:r>
      <w:r>
        <w:rPr>
          <w:lang w:val="pt-PT"/>
        </w:rPr>
        <w:t xml:space="preserve"/>
      </w:r>
      <w:r>
        <w:rPr>
          <w:lang w:val="pt-PT"/>
        </w:rPr>
        <w:t xml:space="preserve">Os backups são cifrados antes da terceirização (age, X25519 + ChaCha20-Poly1305); A cifragem do disco do sistema depende da oferta do data center, com uma atualização (LUKS/gocryptfs) planejada.</w:t>
      </w:r>
    </w:p>
    <w:bookmarkEnd w:id="23"/>
    <w:bookmarkStart w:id="24" w:name="X333af8c2cfdd5861ddf9fa7b94ecf1abcddcc36"/>
    <w:p>
      <w:pPr>
        <w:pStyle w:val="Heading3"/>
        <w:keepNext/>
        <w:keepLines/>
      </w:pPr>
      <w:r>
        <w:rPr>
          <w:color w:val="000000"/>
          <w:lang w:val="pt-PT"/>
        </w:rPr>
        <w:t xml:space="preserve">4.3 Terminação TLS e cabeçalhos de segurança</w:t>
      </w:r>
    </w:p>
    <w:p>
      <w:pPr>
        <w:pStyle w:val="FirstParagraph"/>
      </w:pPr>
      <w:r>
        <w:rPr>
          <w:lang w:val="pt-PT"/>
        </w:rPr>
        <w:t xml:space="preserve">O proxy reverso </w:t>
      </w:r>
      <w:r>
        <w:rPr>
          <w:lang w:val="pt-PT"/>
        </w:rPr>
        <w:t xml:space="preserve"/>
      </w:r>
      <w:r>
        <w:rPr>
          <w:b/>
          <w:bCs/>
          <w:lang w:val="pt-PT"/>
        </w:rPr>
        <w:t xml:space="preserve">Traefik v3.6 </w:t>
      </w:r>
      <w:r>
        <w:rPr>
          <w:lang w:val="pt-PT"/>
        </w:rPr>
        <w:t xml:space="preserve"/>
      </w:r>
      <w:r>
        <w:rPr>
          <w:lang w:val="pt-PT"/>
        </w:rPr>
        <w:t xml:space="preserve">garante:</w:t>
      </w:r>
    </w:p>
    <w:p>
      <w:pPr>
        <w:pStyle w:val="Compact"/>
        <w:numPr>
          <w:ilvl w:val="0"/>
          <w:numId w:val="1005"/>
        </w:numPr>
      </w:pPr>
      <w:r>
        <w:rPr>
          <w:lang w:val="pt-PT"/>
        </w:rPr>
        <w:t xml:space="preserve">redirecionar 80 → 443;</w:t>
      </w:r>
    </w:p>
    <w:p>
      <w:pPr>
        <w:pStyle w:val="Compact"/>
        <w:numPr>
          <w:ilvl w:val="0"/>
          <w:numId w:val="1005"/>
        </w:numPr>
      </w:pPr>
      <w:r>
        <w:rPr>
          <w:lang w:val="pt-PT"/>
        </w:rPr>
        <w:t xml:space="preserve">certificados Let's Encrypt (EC384);</w:t>
      </w:r>
    </w:p>
    <w:p>
      <w:pPr>
        <w:pStyle w:val="Compact"/>
        <w:numPr>
          <w:ilvl w:val="0"/>
          <w:numId w:val="1005"/>
        </w:numPr>
      </w:pPr>
      <w:r>
        <w:rPr>
          <w:lang w:val="pt-PT"/>
        </w:rPr>
        <w:t xml:space="preserve">TLS ≥ 1.2 com sequências fortes;</w:t>
      </w:r>
    </w:p>
    <w:p>
      <w:pPr>
        <w:pStyle w:val="Compact"/>
        <w:numPr>
          <w:ilvl w:val="0"/>
          <w:numId w:val="1005"/>
        </w:numPr>
      </w:pPr>
      <w:r>
        <w:rPr>
          <w:lang w:val="pt-PT"/>
        </w:rPr>
        <w:t xml:space="preserve">HSTS (1 ano + pré-carga), nosniff, referenciador-política;</w:t>
      </w:r>
    </w:p>
    <w:p>
      <w:pPr>
        <w:pStyle w:val="Compact"/>
        <w:numPr>
          <w:ilvl w:val="0"/>
          <w:numId w:val="1005"/>
        </w:numPr>
      </w:pPr>
      <w:r>
        <w:rPr>
          <w:lang w:val="pt-PT"/>
        </w:rPr>
        <w:t xml:space="preserve">um painel não exposto.</w:t>
      </w:r>
    </w:p>
    <w:bookmarkEnd w:id="24"/>
    <w:bookmarkStart w:id="25" w:name="X1fc91ba28b7960e5a83d714ea59d91ad806451b"/>
    <w:p>
      <w:pPr>
        <w:pStyle w:val="Heading3"/>
        <w:keepNext/>
        <w:keepLines/>
      </w:pPr>
      <w:r>
        <w:rPr>
          <w:color w:val="000000"/>
          <w:lang w:val="pt-PT"/>
        </w:rPr>
        <w:t xml:space="preserve">4.4 Servidores de inferência de IA (canal principal)</w:t>
      </w:r>
    </w:p>
    <w:p>
      <w:pPr>
        <w:pStyle w:val="FirstParagraph"/>
      </w:pPr>
      <w:r>
        <w:rPr>
          <w:lang w:val="pt-PT"/>
        </w:rPr>
        <w:t xml:space="preserve">As funções de IA dependem, por padrão, de servidores GPU controlados por OHADJA, hospedados na Europa (principalmente Estrasburgo e Paris), rodando vLLM com modelos de pesos abertos ([A SER CONCLUÍDO: versões exatas — Qwen 3.6 ou Mistral]). Estes servidores beneficiam de um endurecimento equivalente ao do servidor de produção (acesso por chave, firewall, TLS em trânsito). Nenhum dado do cliente é retido além do processamento da solicitação e nenhum dado é transmitido a um fornecedor modelo terceirizado ou fora do EEE por esta rota. O uso do gateway OpenRouter é estritamente limitado ao backup (ver §3.5).</w:t>
      </w:r>
    </w:p>
    <w:bookmarkEnd w:id="25"/>
    <w:bookmarkEnd w:id="26"/>
    <w:bookmarkStart w:id="30" w:name="X429e3a74501967d6b72ca1047d96cad803e8ba1"/>
    <w:p>
      <w:pPr>
        <w:pStyle w:val="Heading2"/>
        <w:keepNext/>
        <w:keepLines/>
      </w:pPr>
      <w:r>
        <w:rPr>
          <w:color w:val="000000"/>
          <w:lang w:val="pt-PT"/>
        </w:rPr>
        <w:t xml:space="preserve">5. Backups e continuidade dos negócios</w:t>
      </w:r>
    </w:p>
    <w:bookmarkStart w:id="27" w:name="X7c61aed5f704c076a1d0268c1aab2707f274956"/>
    <w:p>
      <w:pPr>
        <w:pStyle w:val="Heading3"/>
        <w:keepNext/>
        <w:keepLines/>
      </w:pPr>
      <w:r>
        <w:rPr>
          <w:color w:val="000000"/>
          <w:lang w:val="pt-PT"/>
        </w:rPr>
        <w:t xml:space="preserve">5.1 Backups (Opção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Frequência</w:t>
            </w:r>
          </w:p>
        </w:tc>
        <w:tc>
          <w:tcPr/>
          <w:p>
            <w:pPr>
              <w:pStyle w:val="Compact"/>
            </w:pPr>
            <w:r>
              <w:rPr>
                <w:lang w:val="pt-PT"/>
              </w:rPr>
              <w:t xml:space="preserve">Diariamente</w:t>
            </w:r>
          </w:p>
        </w:tc>
      </w:tr>
      <w:tr>
        <w:trPr>
          <w:cantSplit/>
        </w:trPr>
        <w:tc>
          <w:tcPr/>
          <w:p>
            <w:pPr>
              <w:pStyle w:val="Compact"/>
            </w:pPr>
            <w:r>
              <w:rPr>
                <w:lang w:val="pt-PT"/>
              </w:rPr>
              <w:t xml:space="preserve">Cifragem</w:t>
            </w:r>
          </w:p>
        </w:tc>
        <w:tc>
          <w:tcPr/>
          <w:p>
            <w:pPr>
              <w:pStyle w:val="Compact"/>
            </w:pPr>
            <w:r>
              <w:rPr>
                <w:lang w:val="pt-PT"/>
              </w:rPr>
              <w:t xml:space="preserve">age (X25519 + ChaCha20-Poly1305), antes da terceirização</w:t>
            </w:r>
          </w:p>
        </w:tc>
      </w:tr>
      <w:tr>
        <w:trPr>
          <w:cantSplit/>
        </w:trPr>
        <w:tc>
          <w:tcPr/>
          <w:p>
            <w:pPr>
              <w:pStyle w:val="Compact"/>
            </w:pPr>
            <w:r>
              <w:rPr>
                <w:lang w:val="pt-PT"/>
              </w:rPr>
              <w:t xml:space="preserve">Terceirização</w:t>
            </w:r>
          </w:p>
        </w:tc>
        <w:tc>
          <w:tcPr/>
          <w:p>
            <w:pPr>
              <w:pStyle w:val="Compact"/>
            </w:pPr>
            <w:r>
              <w:rPr>
                <w:lang w:val="pt-PT"/>
              </w:rPr>
              <w:t xml:space="preserve">rclone para Scaleway (França)</w:t>
            </w:r>
          </w:p>
        </w:tc>
      </w:tr>
      <w:tr>
        <w:trPr>
          <w:cantSplit/>
        </w:trPr>
        <w:tc>
          <w:tcPr/>
          <w:p>
            <w:pPr>
              <w:pStyle w:val="Compact"/>
            </w:pPr>
            <w:r>
              <w:rPr>
                <w:lang w:val="pt-PT"/>
              </w:rPr>
              <w:t xml:space="preserve">Retenção</w:t>
            </w:r>
          </w:p>
        </w:tc>
        <w:tc>
          <w:tcPr/>
          <w:p>
            <w:pPr>
              <w:pStyle w:val="Compact"/>
            </w:pPr>
            <w:r>
              <w:rPr>
                <w:lang w:val="pt-PT"/>
              </w:rPr>
              <w:t xml:space="preserve">90 dias (backups completos) / 30 dias (por organização)</w:t>
            </w:r>
          </w:p>
        </w:tc>
      </w:tr>
      <w:tr>
        <w:trPr>
          <w:cantSplit/>
        </w:trPr>
        <w:tc>
          <w:tcPr/>
          <w:p>
            <w:pPr>
              <w:pStyle w:val="Compact"/>
            </w:pPr>
            <w:r>
              <w:rPr>
                <w:lang w:val="pt-PT"/>
              </w:rPr>
              <w:t xml:space="preserve">Segurando as chaves</w:t>
            </w:r>
          </w:p>
        </w:tc>
        <w:tc>
          <w:tcPr/>
          <w:p>
            <w:pPr>
              <w:pStyle w:val="Compact"/>
            </w:pPr>
            <w:r>
              <w:rPr>
                <w:lang w:val="pt-PT"/>
              </w:rPr>
              <w:t xml:space="preserve">OHADJA (o host de armazenamento só tem acesso a dados cifrados)</w:t>
            </w:r>
          </w:p>
        </w:tc>
      </w:tr>
    </w:tbl>
    <w:bookmarkEnd w:id="27"/>
    <w:bookmarkStart w:id="28" w:name="X3b2cbedb936f1bb04419804a258caf86a2b8124"/>
    <w:p>
      <w:pPr>
        <w:pStyle w:val="Heading3"/>
        <w:keepNext/>
        <w:keepLines/>
      </w:pPr>
      <w:r>
        <w:rPr>
          <w:color w:val="000000"/>
          <w:lang w:val="pt-PT"/>
        </w:rPr>
        <w:t xml:space="preserve">5.2 Objetivos de recuperação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Indicador</w:t>
            </w:r>
          </w:p>
        </w:tc>
        <w:tc>
          <w:tcPr/>
          <w:p>
            <w:pPr>
              <w:pStyle w:val="Compact"/>
            </w:pPr>
            <w:r>
              <w:rPr>
                <w:lang w:val="pt-PT"/>
              </w:rPr>
              <w:t xml:space="preserve">Objetivo</w:t>
            </w:r>
          </w:p>
        </w:tc>
      </w:tr>
      <w:tr>
        <w:trPr>
          <w:cantSplit/>
        </w:trPr>
        <w:tc>
          <w:tcPr/>
          <w:p>
            <w:pPr>
              <w:pStyle w:val="Compact"/>
            </w:pPr>
            <w:r>
              <w:rPr>
                <w:lang w:val="pt-PT"/>
              </w:rPr>
              <w:t xml:space="preserve">RPO (perda máxima de dados)</w:t>
            </w:r>
          </w:p>
        </w:tc>
        <w:tc>
          <w:tcPr/>
          <w:p>
            <w:pPr>
              <w:pStyle w:val="Compact"/>
            </w:pPr>
            <w:r>
              <w:rPr>
                <w:lang w:val="pt-PT"/>
              </w:rPr>
              <w:t xml:space="preserve">24 horas</w:t>
            </w:r>
          </w:p>
        </w:tc>
      </w:tr>
      <w:tr>
        <w:trPr>
          <w:cantSplit/>
        </w:trPr>
        <w:tc>
          <w:tcPr/>
          <w:p>
            <w:pPr>
              <w:pStyle w:val="Compact"/>
            </w:pPr>
            <w:r>
              <w:rPr>
                <w:lang w:val="pt-PT"/>
              </w:rPr>
              <w:t xml:space="preserve">RTO (tempo de recuperação)</w:t>
            </w:r>
          </w:p>
        </w:tc>
        <w:tc>
          <w:tcPr/>
          <w:p>
            <w:pPr>
              <w:pStyle w:val="Compact"/>
            </w:pPr>
            <w:r>
              <w:rPr>
                <w:lang w:val="pt-PT"/>
              </w:rPr>
              <w:t xml:space="preserve">4 horas</w:t>
            </w:r>
          </w:p>
        </w:tc>
      </w:tr>
    </w:tbl>
    <w:p>
      <w:pPr>
        <w:pStyle w:val="BodyText"/>
      </w:pPr>
      <w:r>
        <w:rPr>
          <w:lang w:val="pt-PT"/>
        </w:rPr>
        <w:t xml:space="preserve">Estes valores são objetivos operacionais que pretendem enquadrar as expectativas contratuais e os planos de continuidade do cliente.</w:t>
      </w:r>
    </w:p>
    <w:bookmarkEnd w:id="28"/>
    <w:bookmarkStart w:id="29" w:name="X6ec2d5531b9d18fb8da93a92377cdeea5079b21"/>
    <w:p>
      <w:pPr>
        <w:pStyle w:val="Heading3"/>
        <w:keepNext/>
        <w:keepLines/>
      </w:pPr>
      <w:r>
        <w:rPr>
          <w:color w:val="000000"/>
          <w:lang w:val="pt-PT"/>
        </w:rPr>
        <w:t xml:space="preserve">5.3 Teste de recuperação (exercício de recuperação de desastre)</w:t>
      </w:r>
    </w:p>
    <w:p>
      <w:pPr>
        <w:pStyle w:val="FirstParagraph"/>
      </w:pPr>
      <w:r>
        <w:rPr>
          <w:lang w:val="pt-PT"/>
        </w:rPr>
        <w:t xml:space="preserve">Foi realizado um exercício de recuperação: a restauração </w:t>
      </w:r>
      <w:r>
        <w:rPr>
          <w:lang w:val="pt-PT"/>
        </w:rPr>
        <w:t xml:space="preserve"/>
      </w:r>
      <w:r>
        <w:rPr>
          <w:b/>
          <w:bCs/>
          <w:lang w:val="pt-PT"/>
        </w:rPr>
        <w:t xml:space="preserve">foi verificada aos </w:t>
      </w:r>
      <w:r>
        <w:rPr>
          <w:lang w:val="pt-PT"/>
        </w:rPr>
        <w:t xml:space="preserve">poucos. Antes de qualquer </w:t>
      </w:r>
      <w:r>
        <w:rPr>
          <w:lang w:val="pt-PT"/>
        </w:rPr>
        <w:t xml:space="preserve"/>
      </w:r>
      <w:r>
        <w:rPr>
          <w:b/>
          <w:bCs/>
          <w:lang w:val="pt-PT"/>
        </w:rPr>
        <w:t xml:space="preserve">restauração, é obtido </w:t>
      </w:r>
      <w:r>
        <w:rPr>
          <w:lang w:val="pt-PT"/>
        </w:rPr>
        <w:t xml:space="preserve">um </w:t>
      </w:r>
      <w:r>
        <w:rPr>
          <w:lang w:val="pt-PT"/>
        </w:rPr>
        <w:t xml:space="preserve">instantâneo de segurança do estado atual para limitar o risco de substituição irreversível. Os backups e restaurações </w:t>
      </w:r>
      <w:r>
        <w:rPr>
          <w:lang w:val="pt-PT"/>
        </w:rPr>
        <w:t xml:space="preserve"/>
      </w:r>
      <w:r>
        <w:rPr>
          <w:b/>
          <w:bCs/>
          <w:lang w:val="pt-PT"/>
        </w:rPr>
        <w:t xml:space="preserve">são granulares por </w:t>
      </w:r>
      <w:r>
        <w:rPr>
          <w:lang w:val="pt-PT"/>
        </w:rPr>
        <w:t xml:space="preserve">organização, permitindo recuperação direcionada sem restaurar toda a plataforma.</w:t>
      </w:r>
    </w:p>
    <w:p>
      <w:pPr>
        <w:pStyle w:val="BodyText"/>
      </w:pPr>
      <w:r>
        <w:rPr>
          <w:lang w:val="pt-PT"/>
        </w:rPr>
        <w:t xml:space="preserve">Na Opção B, os backups e a continuidade são de responsabilidade do cliente, a menos que sejam atribuídos a OHADJA.</w:t>
      </w:r>
    </w:p>
    <w:bookmarkEnd w:id="29"/>
    <w:bookmarkEnd w:id="30"/>
    <w:bookmarkStart w:id="31" w:name="Xa61fb44d7dda8f6cdc5915a520a14ae8ff0364f"/>
    <w:p>
      <w:pPr>
        <w:pStyle w:val="Heading2"/>
        <w:keepNext/>
        <w:keepLines/>
      </w:pPr>
      <w:r>
        <w:rPr>
          <w:color w:val="000000"/>
          <w:lang w:val="pt-PT"/>
        </w:rPr>
        <w:t xml:space="preserve">6. Supervisão</w:t>
      </w:r>
    </w:p>
    <w:p>
      <w:pPr>
        <w:pStyle w:val="FirstParagraph"/>
      </w:pPr>
      <w:r>
        <w:rPr>
          <w:lang w:val="pt-PT"/>
        </w:rPr>
        <w:t xml:space="preserve">O monitorização 24 horas por dia, 7 dias por semana, cobre fila, espaço em disco, certificados e dependências de terceiros. É baseado em:</w:t>
      </w:r>
    </w:p>
    <w:p>
      <w:pPr>
        <w:pStyle w:val="Compact"/>
        <w:numPr>
          <w:ilvl w:val="0"/>
          <w:numId w:val="1006"/>
        </w:numPr>
      </w:pPr>
      <w:r>
        <w:rPr>
          <w:lang w:val="pt-PT"/>
        </w:rPr>
        <w:t xml:space="preserve">Alertas de Slack e email, com resumo diário;</w:t>
      </w:r>
    </w:p>
    <w:p>
      <w:pPr>
        <w:pStyle w:val="Compact"/>
        <w:numPr>
          <w:ilvl w:val="0"/>
          <w:numId w:val="1006"/>
        </w:numPr>
      </w:pPr>
      <w:r>
        <w:rPr>
          <w:lang w:val="pt-PT"/>
        </w:rPr>
        <w:t xml:space="preserve">um watchdog para retomada de tratamentos bloqueados (intervalo de 5 minutos);</w:t>
      </w:r>
    </w:p>
    <w:p>
      <w:pPr>
        <w:pStyle w:val="Compact"/>
        <w:numPr>
          <w:ilvl w:val="0"/>
          <w:numId w:val="1006"/>
        </w:numPr>
      </w:pPr>
      <w:r>
        <w:rPr>
          <w:lang w:val="pt-PT"/>
        </w:rPr>
        <w:t xml:space="preserve">um botão de cancelamento manual no lado do utilizador.</w:t>
      </w:r>
    </w:p>
    <w:bookmarkEnd w:id="31"/>
    <w:bookmarkStart w:id="34" w:name="Xfed5084fef9fc07d4fdd5799e2ec7ab60be0747"/>
    <w:p>
      <w:pPr>
        <w:pStyle w:val="Heading2"/>
        <w:keepNext/>
        <w:keepLines/>
      </w:pPr>
      <w:r>
        <w:rPr>
          <w:color w:val="000000"/>
          <w:lang w:val="pt-PT"/>
        </w:rPr>
        <w:t xml:space="preserve">7. Gerenciando vulnerabilidades e atualizações</w:t>
      </w:r>
    </w:p>
    <w:bookmarkStart w:id="32" w:name="X0286828e26f5d367fce186802daceb668a3e05d"/>
    <w:p>
      <w:pPr>
        <w:pStyle w:val="Heading3"/>
        <w:keepNext/>
        <w:keepLines/>
      </w:pPr>
      <w:r>
        <w:rPr>
          <w:color w:val="000000"/>
          <w:lang w:val="pt-PT"/>
        </w:rPr>
        <w:t xml:space="preserve">7.1 Gestão de vulnerabilidades</w:t>
      </w:r>
    </w:p>
    <w:p>
      <w:pPr>
        <w:pStyle w:val="FirstParagraph"/>
      </w:pPr>
      <w:r>
        <w:rPr>
          <w:lang w:val="pt-PT"/>
        </w:rPr>
        <w:t xml:space="preserve">OHADJA aplica gerenciamento de vulnerabilidades aos componentes que controla: estrutura de aplicativos, dependências, contêineres, imagens Docker, servidor de aplicativos, configuração de segurança e bibliotecas críticas. Os patches são priorizados com base em sua criticidade, capacidade de exploração e exposição.</w:t>
      </w:r>
    </w:p>
    <w:bookmarkEnd w:id="32"/>
    <w:bookmarkStart w:id="33" w:name="X7e81903b87f3500db88532af11bd4fd327c0d08"/>
    <w:p>
      <w:pPr>
        <w:pStyle w:val="Heading3"/>
        <w:keepNext/>
        <w:keepLines/>
      </w:pPr>
      <w:r>
        <w:rPr>
          <w:color w:val="000000"/>
          <w:lang w:val="pt-PT"/>
        </w:rPr>
        <w:t xml:space="preserve">7.2 Implementação e reversão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Medida</w:t>
            </w:r>
          </w:p>
        </w:tc>
        <w:tc>
          <w:tcPr/>
          <w:p>
            <w:pPr>
              <w:pStyle w:val="Compact"/>
            </w:pPr>
            <w:r>
              <w:rPr>
                <w:lang w:val="pt-PT"/>
              </w:rPr>
              <w:t xml:space="preserve">Detalhe</w:t>
            </w:r>
          </w:p>
        </w:tc>
      </w:tr>
      <w:tr>
        <w:trPr>
          <w:cantSplit/>
        </w:trPr>
        <w:tc>
          <w:tcPr/>
          <w:p>
            <w:pPr>
              <w:pStyle w:val="Compact"/>
            </w:pPr>
            <w:r>
              <w:rPr>
                <w:lang w:val="pt-PT"/>
              </w:rPr>
              <w:t xml:space="preserve">Modo de implementação</w:t>
            </w:r>
          </w:p>
        </w:tc>
        <w:tc>
          <w:tcPr/>
          <w:p>
            <w:pPr>
              <w:pStyle w:val="Compact"/>
            </w:pPr>
            <w:r>
              <w:rPr>
                <w:lang w:val="pt-PT"/>
              </w:rPr>
              <w:t xml:space="preserve">Somente por tags de versão do aplicativo</w:t>
            </w:r>
          </w:p>
        </w:tc>
      </w:tr>
      <w:tr>
        <w:trPr>
          <w:cantSplit/>
        </w:trPr>
        <w:tc>
          <w:tcPr/>
          <w:p>
            <w:pPr>
              <w:pStyle w:val="Compact"/>
            </w:pPr>
            <w:r>
              <w:rPr>
                <w:lang w:val="pt-PT"/>
              </w:rPr>
              <w:t xml:space="preserve">Controlo pós-implementação</w:t>
            </w:r>
          </w:p>
        </w:tc>
        <w:tc>
          <w:tcPr/>
          <w:p>
            <w:pPr>
              <w:pStyle w:val="Compact"/>
            </w:pPr>
            <w:r>
              <w:rPr>
                <w:lang w:val="pt-PT"/>
              </w:rPr>
              <w:t xml:space="preserve">Verificação de integridade do aplicativo</w:t>
            </w:r>
          </w:p>
        </w:tc>
      </w:tr>
      <w:tr>
        <w:trPr>
          <w:cantSplit/>
        </w:trPr>
        <w:tc>
          <w:tcPr/>
          <w:p>
            <w:pPr>
              <w:pStyle w:val="Compact"/>
            </w:pPr>
            <w:r>
              <w:rPr>
                <w:lang w:val="pt-PT"/>
              </w:rPr>
              <w:t xml:space="preserve">Reverter</w:t>
            </w:r>
          </w:p>
        </w:tc>
        <w:tc>
          <w:tcPr/>
          <w:p>
            <w:pPr>
              <w:pStyle w:val="Compact"/>
            </w:pPr>
            <w:r>
              <w:rPr>
                <w:lang w:val="pt-PT"/>
              </w:rPr>
              <w:t xml:space="preserve">Reimplantação da tag anterior</w:t>
            </w:r>
          </w:p>
        </w:tc>
      </w:tr>
    </w:tbl>
    <w:p>
      <w:pPr>
        <w:pStyle w:val="BodyText"/>
      </w:pPr>
      <w:r>
        <w:rPr>
          <w:lang w:val="pt-PT"/>
        </w:rPr>
        <w:t xml:space="preserve">Na Opção B, a implementação efetiva de atualizações, patches e configurações de segurança é de responsabilidade do cliente, a menos que a missão de manutenção seja confiada a OHADJA.</w:t>
      </w:r>
    </w:p>
    <w:bookmarkEnd w:id="33"/>
    <w:bookmarkEnd w:id="34"/>
    <w:bookmarkStart w:id="35" w:name="X008ec0b5739a66480a84ee0ab6d8781de409d06"/>
    <w:p>
      <w:pPr>
        <w:pStyle w:val="Heading2"/>
        <w:keepNext/>
        <w:keepLines/>
      </w:pPr>
      <w:r>
        <w:rPr>
          <w:color w:val="000000"/>
          <w:lang w:val="pt-PT"/>
        </w:rPr>
        <w:t xml:space="preserve">8. Certificações – situação atual</w:t>
      </w:r>
    </w:p>
    <w:p>
      <w:pPr>
        <w:pStyle w:val="FirstParagraph"/>
      </w:pPr>
      <w:r>
        <w:rPr>
          <w:lang w:val="pt-PT"/>
        </w:rPr>
        <w:t xml:space="preserve">Até a data deste arquivo, nenhuma certificação de segurança foi obtida. O progresso é o seguinte:</w:t>
      </w:r>
    </w:p>
    <w:p>
      <w:pPr>
        <w:pStyle w:val="Compact"/>
        <w:numPr>
          <w:ilvl w:val="0"/>
          <w:numId w:val="1007"/>
        </w:numPr>
      </w:pPr>
      <w:r>
        <w:rPr>
          <w:b/>
          <w:bCs/>
          <w:lang w:val="pt-PT"/>
        </w:rPr>
        <w:t xml:space="preserve">ISO/IEC 27001: </w:t>
      </w:r>
      <w:r>
        <w:rPr>
          <w:lang w:val="pt-PT"/>
        </w:rPr>
        <w:t xml:space="preserve"/>
      </w:r>
      <w:r>
        <w:rPr>
          <w:lang w:val="pt-PT"/>
        </w:rPr>
        <w:t xml:space="preserve">abordagem estruturada adotada, base de 16 políticas formalizadas de gestão de segurança da informação, certificação prevista para início de 2027;</w:t>
      </w:r>
    </w:p>
    <w:p>
      <w:pPr>
        <w:pStyle w:val="Compact"/>
        <w:numPr>
          <w:ilvl w:val="0"/>
          <w:numId w:val="1007"/>
        </w:numPr>
      </w:pPr>
      <w:r>
        <w:rPr>
          <w:b/>
          <w:bCs/>
          <w:lang w:val="pt-PT"/>
        </w:rPr>
        <w:t xml:space="preserve">SOC 2 Tipo I: </w:t>
      </w:r>
      <w:r>
        <w:rPr>
          <w:lang w:val="pt-PT"/>
        </w:rPr>
        <w:t xml:space="preserve"/>
      </w:r>
      <w:r>
        <w:rPr>
          <w:lang w:val="pt-PT"/>
        </w:rPr>
        <w:t xml:space="preserve">auditoria prevista para 2026;</w:t>
      </w:r>
    </w:p>
    <w:p>
      <w:pPr>
        <w:pStyle w:val="Compact"/>
        <w:numPr>
          <w:ilvl w:val="0"/>
          <w:numId w:val="1007"/>
        </w:numPr>
      </w:pPr>
      <w:r>
        <w:rPr>
          <w:b/>
          <w:bCs/>
          <w:lang w:val="pt-PT"/>
        </w:rPr>
        <w:t xml:space="preserve">HDS: </w:t>
      </w:r>
      <w:r>
        <w:rPr>
          <w:lang w:val="pt-PT"/>
        </w:rPr>
        <w:t xml:space="preserve"/>
      </w:r>
      <w:r>
        <w:rPr>
          <w:lang w:val="pt-PT"/>
        </w:rPr>
        <w:t xml:space="preserve">em estudo, relevante apenas na presença de dados de saúde;</w:t>
      </w:r>
    </w:p>
    <w:p>
      <w:pPr>
        <w:pStyle w:val="Compact"/>
        <w:numPr>
          <w:ilvl w:val="0"/>
          <w:numId w:val="1007"/>
        </w:numPr>
      </w:pPr>
      <w:r>
        <w:rPr>
          <w:b/>
          <w:bCs/>
          <w:lang w:val="pt-PT"/>
        </w:rPr>
        <w:t xml:space="preserve">SecNumCloud: </w:t>
      </w:r>
      <w:r>
        <w:rPr>
          <w:lang w:val="pt-PT"/>
        </w:rPr>
        <w:t xml:space="preserve"/>
      </w:r>
      <w:r>
        <w:rPr>
          <w:lang w:val="pt-PT"/>
        </w:rPr>
        <w:t xml:space="preserve">em espera, não direcionado no curto prazo.</w:t>
      </w:r>
    </w:p>
    <w:p>
      <w:pPr>
        <w:pStyle w:val="FirstParagraph"/>
      </w:pPr>
      <w:r>
        <w:rPr>
          <w:lang w:val="pt-PT"/>
        </w:rPr>
        <w:t xml:space="preserve">Estes elementos são mencionados a título informativo e não constituem compromissos com resultados.</w:t>
      </w:r>
    </w:p>
    <w:bookmarkEnd w:id="35"/>
    <w:bookmarkStart w:id="36" w:name="Xd966ab465c19b2c4843fcc49534b4ee79f61bee"/>
    <w:p>
      <w:pPr>
        <w:pStyle w:val="Heading2"/>
        <w:keepNext/>
        <w:keepLines/>
      </w:pPr>
      <w:r>
        <w:rPr>
          <w:color w:val="000000"/>
          <w:lang w:val="pt-PT"/>
        </w:rPr>
        <w:t xml:space="preserve">9. Visão geral da arquitetura</w:t>
      </w:r>
    </w:p>
    <w:p>
      <w:pPr>
        <w:pStyle w:val="FirstParagraph"/>
      </w:pPr>
      <w:r>
        <w:rPr>
          <w:lang w:val="pt-PT"/>
        </w:rPr>
        <w:t xml:space="preserve">O diagrama arquitetônico detalhado (serviços e fluxos) é submetido em formato Visio (.vsdx) durante a fase de implementação, com base nos blocos que aparecem nas secções 2 e 4 deste documento.</w:t>
      </w:r>
    </w:p>
    <w:p>
      <w:r>
        <w:pict>
          <v:rect style="width:0;height:1.5pt" o:hralign="center" o:hrstd="t" o:hr="t"/>
        </w:pict>
      </w:r>
    </w:p>
    <w:p>
      <w:pPr>
        <w:pStyle w:val="FirstParagraph"/>
      </w:pPr>
      <w:r>
        <w:rPr>
          <w:i/>
          <w:iCs/>
          <w:lang w:val="pt-PT"/>
        </w:rPr>
        <w:t xml:space="preserve">Versão editada pública. A versão completa (TRB-CONF-01.06, classificada como confidencial) está disponível mediante solicitação, sob acordo de confidencialidade.</w:t>
      </w:r>
    </w:p>
    <w:p>
      <w:r>
        <w:br w:type="page"/>
      </w:r>
    </w:p>
    <w:bookmarkEnd w:id="36"/>
    <w:bookmarkEnd w:id="37"/>
    <w:bookmarkStart w:id="117" w:name="Xeb2a81698e02fa93579edfbc08ddbad18daa057"/>
    <w:p>
      <w:pPr>
        <w:pStyle w:val="Heading1"/>
        <w:keepNext/>
        <w:keepLines/>
      </w:pPr>
      <w:r>
        <w:rPr>
          <w:color w:val="000000"/>
          <w:lang w:val="pt-PT"/>
        </w:rPr>
        <w:t xml:space="preserve">Arquivo de design detalhado (DCD) — implementação local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pt-PT"/>
              </w:rPr>
              <w:t xml:space="preserve">Referência</w:t>
            </w:r>
          </w:p>
        </w:tc>
        <w:tc>
          <w:tcPr/>
          <w:p>
            <w:pPr>
              <w:pStyle w:val="Compact"/>
            </w:pPr>
            <w:r>
              <w:rPr>
                <w:lang w:val="pt-PT"/>
              </w:rPr>
              <w:t xml:space="preserve">OHA-ONPREM-DCD-2026-001</w:t>
            </w:r>
          </w:p>
        </w:tc>
      </w:tr>
      <w:tr>
        <w:trPr>
          <w:cantSplit/>
        </w:trPr>
        <w:tc>
          <w:tcPr/>
          <w:p>
            <w:pPr>
              <w:pStyle w:val="Compact"/>
            </w:pPr>
            <w:r>
              <w:rPr>
                <w:b/>
                <w:bCs/>
                <w:lang w:val="pt-PT"/>
              </w:rPr>
              <w:t xml:space="preserve">Versão</w:t>
            </w:r>
          </w:p>
        </w:tc>
        <w:tc>
          <w:tcPr/>
          <w:p>
            <w:pPr>
              <w:pStyle w:val="Compact"/>
            </w:pPr>
            <w:r>
              <w:rPr>
                <w:lang w:val="pt-PT"/>
              </w:rPr>
              <w:t xml:space="preserve">1.0</w:t>
            </w:r>
          </w:p>
        </w:tc>
      </w:tr>
      <w:tr>
        <w:trPr>
          <w:cantSplit/>
        </w:trPr>
        <w:tc>
          <w:tcPr/>
          <w:p>
            <w:pPr>
              <w:pStyle w:val="Compact"/>
            </w:pPr>
            <w:r>
              <w:rPr>
                <w:b/>
                <w:bCs/>
                <w:lang w:val="pt-PT"/>
              </w:rPr>
              <w:t xml:space="preserve">Data</w:t>
            </w:r>
          </w:p>
        </w:tc>
        <w:tc>
          <w:tcPr/>
          <w:p>
            <w:pPr>
              <w:pStyle w:val="Compact"/>
            </w:pPr>
            <w:r>
              <w:rPr>
                <w:lang w:val="pt-PT"/>
              </w:rPr>
              <w:t xml:space="preserve">2026-07-24</w:t>
            </w:r>
          </w:p>
        </w:tc>
      </w:tr>
      <w:tr>
        <w:trPr>
          <w:cantSplit/>
        </w:trPr>
        <w:tc>
          <w:tcPr/>
          <w:p>
            <w:pPr>
              <w:pStyle w:val="Compact"/>
            </w:pPr>
            <w:r>
              <w:rPr>
                <w:b/>
                <w:bCs/>
                <w:lang w:val="pt-PT"/>
              </w:rPr>
              <w:t xml:space="preserve">Editor/editor</w:t>
            </w:r>
          </w:p>
        </w:tc>
        <w:tc>
          <w:tcPr/>
          <w:p>
            <w:pPr>
              <w:pStyle w:val="Compact"/>
            </w:pPr>
            <w:r>
              <w:rPr>
                <w:lang w:val="pt-PT"/>
              </w:rPr>
              <w:t xml:space="preserve">OHADJA — editor e mantenedor do software TranscribIA — 60 rue François 1er, 75008 Paris</w:t>
            </w:r>
          </w:p>
        </w:tc>
      </w:tr>
      <w:tr>
        <w:trPr>
          <w:cantSplit/>
        </w:trPr>
        <w:tc>
          <w:tcPr/>
          <w:p>
            <w:pPr>
              <w:pStyle w:val="Compact"/>
            </w:pPr>
            <w:r>
              <w:rPr>
                <w:b/>
                <w:bCs/>
                <w:lang w:val="pt-PT"/>
              </w:rPr>
              <w:t xml:space="preserve">Integrador/distribuidor</w:t>
            </w:r>
          </w:p>
        </w:tc>
        <w:tc>
          <w:tcPr/>
          <w:p>
            <w:pPr>
              <w:pStyle w:val="Compact"/>
            </w:pPr>
            <w:r>
              <w:rPr>
                <w:lang w:val="pt-PT"/>
              </w:rPr>
              <w:t xml:space="preserve">Seu integrador (a especificar dependendo do projeto)</w:t>
            </w:r>
          </w:p>
        </w:tc>
      </w:tr>
      <w:tr>
        <w:trPr>
          <w:cantSplit/>
        </w:trPr>
        <w:tc>
          <w:tcPr/>
          <w:p>
            <w:pPr>
              <w:pStyle w:val="Compact"/>
            </w:pPr>
            <w:r>
              <w:rPr>
                <w:b/>
                <w:bCs/>
                <w:lang w:val="pt-PT"/>
              </w:rPr>
              <w:t xml:space="preserve">Revendedor comercial</w:t>
            </w:r>
          </w:p>
        </w:tc>
        <w:tc>
          <w:tcPr/>
          <w:p>
            <w:pPr>
              <w:pStyle w:val="Compact"/>
            </w:pPr>
            <w:r>
              <w:rPr>
                <w:lang w:val="pt-PT"/>
              </w:rPr>
              <w:t xml:space="preserve">AMBASSADIA SARL (Mónaco e França) — apenas função comercial, sem exploração ou acesso a dados de produção</w:t>
            </w:r>
          </w:p>
        </w:tc>
      </w:tr>
      <w:tr>
        <w:trPr>
          <w:cantSplit/>
        </w:trPr>
        <w:tc>
          <w:tcPr/>
          <w:p>
            <w:pPr>
              <w:pStyle w:val="Compact"/>
            </w:pPr>
            <w:r>
              <w:rPr>
                <w:b/>
                <w:bCs/>
                <w:lang w:val="pt-PT"/>
              </w:rPr>
              <w:t xml:space="preserve">Destinatário</w:t>
            </w:r>
          </w:p>
        </w:tc>
        <w:tc>
          <w:tcPr/>
          <w:p>
            <w:pPr>
              <w:pStyle w:val="Compact"/>
            </w:pPr>
            <w:r>
              <w:rPr>
                <w:lang w:val="pt-PT"/>
              </w:rPr>
              <w:t xml:space="preserve">Cliente — Direção de Sistemas de Informação (a personalizar durante o projeto)</w:t>
            </w:r>
          </w:p>
        </w:tc>
      </w:tr>
      <w:tr>
        <w:trPr>
          <w:cantSplit/>
        </w:trPr>
        <w:tc>
          <w:tcPr/>
          <w:p>
            <w:pPr>
              <w:pStyle w:val="Compact"/>
            </w:pPr>
            <w:r>
              <w:rPr>
                <w:b/>
                <w:bCs/>
                <w:lang w:val="pt-PT"/>
              </w:rPr>
              <w:t xml:space="preserve">Classificação</w:t>
            </w:r>
          </w:p>
        </w:tc>
        <w:tc>
          <w:tcPr/>
          <w:p>
            <w:pPr>
              <w:pStyle w:val="Compact"/>
            </w:pPr>
            <w:r>
              <w:rPr>
                <w:lang w:val="pt-PT"/>
              </w:rPr>
              <w:t xml:space="preserve">Público — documento padrão, adaptado para cada projeto de implementação</w:t>
            </w:r>
          </w:p>
        </w:tc>
      </w:tr>
    </w:tbl>
    <w:p>
      <w:pPr>
        <w:pStyle w:val="BlockText"/>
      </w:pPr>
      <w:r>
        <w:rPr>
          <w:lang w:val="pt-PT"/>
        </w:rPr>
        <w:t xml:space="preserve">Este documento é </w:t>
      </w:r>
      <w:r>
        <w:rPr>
          <w:lang w:val="pt-PT"/>
        </w:rPr>
        <w:t xml:space="preserve">um </w:t>
      </w:r>
      <w:r>
        <w:rPr>
          <w:b/>
          <w:bCs/>
          <w:lang w:val="pt-PT"/>
        </w:rPr>
        <w:t xml:space="preserve">modelo genérico </w:t>
      </w:r>
      <w:r>
        <w:rPr>
          <w:lang w:val="pt-PT"/>
        </w:rPr>
        <w:t xml:space="preserve"/>
      </w:r>
      <w:r>
        <w:rPr>
          <w:lang w:val="pt-PT"/>
        </w:rPr>
        <w:t xml:space="preserve">de design detalhado para a implementação local da plataforma TranscribIA em duas salas de servidores do Cliente ("Sala A", site principal, e "Sala B", site de backup). É adaptado durante cada </w:t>
      </w:r>
      <w:r>
        <w:rPr>
          <w:lang w:val="pt-PT"/>
        </w:rPr>
        <w:t xml:space="preserve"/>
      </w:r>
      <w:r>
        <w:rPr>
          <w:b/>
          <w:bCs/>
          <w:lang w:val="pt-PT"/>
        </w:rPr>
        <w:t xml:space="preserve">projeto de implementação às especificidades </w:t>
      </w:r>
      <w:r>
        <w:rPr>
          <w:lang w:val="pt-PT"/>
        </w:rPr>
        <w:t xml:space="preserve"/>
      </w:r>
      <w:r>
        <w:rPr>
          <w:lang w:val="pt-PT"/>
        </w:rPr>
        <w:t xml:space="preserve">do local. Os elementos específicos do site (endereço IP, números VLAN, localização dos bays, hardware definitivo, nomes reais das salas) são indicados pelos marcadores [A SER COMPLETO </w:t>
      </w:r>
      <w:r>
        <w:rPr>
          <w:lang w:val="pt-PT"/>
        </w:rPr>
        <w:t xml:space="preserve"/>
      </w:r>
      <w:r>
        <w:rPr>
          <w:rStyle w:val="VerbatimChar"/>
          <w:lang w:val="pt-PT"/>
        </w:rPr>
        <w:t xml:space="preserve">com o departamento de TI do Cliente] </w:t>
      </w:r>
      <w:r>
        <w:rPr>
          <w:lang w:val="pt-PT"/>
        </w:rPr>
        <w:t xml:space="preserve"/>
      </w:r>
      <w:r>
        <w:rPr>
          <w:lang w:val="pt-PT"/>
        </w:rPr>
        <w:t xml:space="preserve">ou </w:t>
      </w:r>
      <w:r>
        <w:rPr>
          <w:lang w:val="pt-PT"/>
        </w:rPr>
        <w:t xml:space="preserve"/>
      </w:r>
      <w:r>
        <w:rPr>
          <w:rStyle w:val="VerbatimChar"/>
          <w:lang w:val="pt-PT"/>
        </w:rPr>
        <w:t xml:space="preserve">[A SER COMPLETO: </w:t>
      </w:r>
      <w:r>
        <w:rPr>
          <w:lang w:val="pt-PT"/>
        </w:rPr>
        <w:t xml:space="preserve">...]. As escolhas arquitetônicas (ativo/backup, replicação, objetivos RPO/RTO) </w:t>
      </w:r>
      <w:r>
        <w:rPr>
          <w:lang w:val="pt-PT"/>
        </w:rPr>
        <w:t xml:space="preserve">são </w:t>
      </w:r>
      <w:r>
        <w:rPr>
          <w:b/>
          <w:bCs/>
          <w:lang w:val="pt-PT"/>
        </w:rPr>
        <w:t xml:space="preserve">propostas a serem validadas durante a fase de implementação e </w:t>
      </w:r>
      <w:r>
        <w:rPr>
          <w:lang w:val="pt-PT"/>
        </w:rPr>
        <w:t xml:space="preserve">aceitação.</w:t>
      </w:r>
    </w:p>
    <w:p>
      <w:r>
        <w:pict>
          <v:rect style="width:0;height:1.5pt" o:hralign="center" o:hrstd="t" o:hr="t"/>
        </w:pict>
      </w:r>
    </w:p>
    <w:bookmarkStart w:id="38" w:name="table-des-matières"/>
    <w:p>
      <w:pPr>
        <w:pStyle w:val="Heading2"/>
        <w:keepNext/>
        <w:keepLines/>
      </w:pPr>
      <w:r>
        <w:rPr>
          <w:color w:val="000000"/>
          <w:lang w:val="pt-PT"/>
        </w:rPr>
        <w:t xml:space="preserve">Índice</w:t>
      </w:r>
    </w:p>
    <w:p>
      <w:pPr>
        <w:pStyle w:val="Compact"/>
        <w:numPr>
          <w:ilvl w:val="0"/>
          <w:numId w:val="1008"/>
        </w:numPr>
      </w:pPr>
      <w:r>
        <w:rPr>
          <w:lang w:val="pt-PT"/>
        </w:rPr>
        <w:t xml:space="preserve">Objetivo e âmbito</w:t>
      </w:r>
    </w:p>
    <w:p>
      <w:pPr>
        <w:pStyle w:val="Compact"/>
        <w:numPr>
          <w:ilvl w:val="0"/>
          <w:numId w:val="1008"/>
        </w:numPr>
      </w:pPr>
      <w:r>
        <w:rPr>
          <w:lang w:val="pt-PT"/>
        </w:rPr>
        <w:t xml:space="preserve">Arquitetura de alto nível (técnico-funcional e segurança)</w:t>
      </w:r>
    </w:p>
    <w:p>
      <w:pPr>
        <w:pStyle w:val="Compact"/>
        <w:numPr>
          <w:ilvl w:val="0"/>
          <w:numId w:val="1008"/>
        </w:numPr>
      </w:pPr>
      <w:r>
        <w:rPr>
          <w:lang w:val="pt-PT"/>
        </w:rPr>
        <w:t xml:space="preserve">Arquitetura de baixo nível (configurações, funções implementadas, diagrama de conexão)</w:t>
      </w:r>
    </w:p>
    <w:p>
      <w:pPr>
        <w:pStyle w:val="Compact"/>
        <w:numPr>
          <w:ilvl w:val="0"/>
          <w:numId w:val="1008"/>
        </w:numPr>
      </w:pPr>
      <w:r>
        <w:rPr>
          <w:lang w:val="pt-PT"/>
        </w:rPr>
        <w:t xml:space="preserve">Visão geral detalhada da arquitetura</w:t>
      </w:r>
    </w:p>
    <w:p>
      <w:pPr>
        <w:pStyle w:val="Compact"/>
        <w:numPr>
          <w:ilvl w:val="0"/>
          <w:numId w:val="1008"/>
        </w:numPr>
      </w:pPr>
      <w:r>
        <w:rPr>
          <w:lang w:val="pt-PT"/>
        </w:rPr>
        <w:t xml:space="preserve">Especificações técnicas dos equipamentos oferecidos</w:t>
      </w:r>
    </w:p>
    <w:p>
      <w:pPr>
        <w:pStyle w:val="Compact"/>
        <w:numPr>
          <w:ilvl w:val="0"/>
          <w:numId w:val="1008"/>
        </w:numPr>
      </w:pPr>
      <w:r>
        <w:rPr>
          <w:lang w:val="pt-PT"/>
        </w:rPr>
        <w:t xml:space="preserve">Conexão de rede de equipamentos</w:t>
      </w:r>
    </w:p>
    <w:p>
      <w:pPr>
        <w:pStyle w:val="Compact"/>
        <w:numPr>
          <w:ilvl w:val="0"/>
          <w:numId w:val="1008"/>
        </w:numPr>
      </w:pPr>
      <w:r>
        <w:rPr>
          <w:lang w:val="pt-PT"/>
        </w:rPr>
        <w:t xml:space="preserve">Diagrama de rede de nível 1 (global e por sala)</w:t>
      </w:r>
    </w:p>
    <w:p>
      <w:pPr>
        <w:pStyle w:val="Compact"/>
        <w:numPr>
          <w:ilvl w:val="0"/>
          <w:numId w:val="1008"/>
        </w:numPr>
      </w:pPr>
      <w:r>
        <w:rPr>
          <w:lang w:val="pt-PT"/>
        </w:rPr>
        <w:t xml:space="preserve">Diagrama lógico de nível 2 e 3 (VLAN, endereçamento, roteamento, firewall)</w:t>
      </w:r>
    </w:p>
    <w:p>
      <w:pPr>
        <w:pStyle w:val="Compact"/>
        <w:numPr>
          <w:ilvl w:val="0"/>
          <w:numId w:val="1008"/>
        </w:numPr>
      </w:pPr>
      <w:r>
        <w:rPr>
          <w:lang w:val="pt-PT"/>
        </w:rPr>
        <w:t xml:space="preserve">Dimensionamento e escalabilidade</w:t>
      </w:r>
    </w:p>
    <w:p>
      <w:pPr>
        <w:pStyle w:val="Compact"/>
        <w:numPr>
          <w:ilvl w:val="0"/>
          <w:numId w:val="1008"/>
        </w:numPr>
      </w:pPr>
      <w:r>
        <w:rPr>
          <w:lang w:val="pt-PT"/>
        </w:rPr>
        <w:t xml:space="preserve">Planos de endereçamento IP e VLAN</w:t>
      </w:r>
    </w:p>
    <w:p>
      <w:pPr>
        <w:pStyle w:val="Compact"/>
        <w:numPr>
          <w:ilvl w:val="0"/>
          <w:numId w:val="1008"/>
        </w:numPr>
      </w:pPr>
      <w:r>
        <w:rPr>
          <w:lang w:val="pt-PT"/>
        </w:rPr>
        <w:t xml:space="preserve">Itens de configuração específicos</w:t>
      </w:r>
    </w:p>
    <w:p>
      <w:pPr>
        <w:pStyle w:val="Compact"/>
        <w:numPr>
          <w:ilvl w:val="0"/>
          <w:numId w:val="1008"/>
        </w:numPr>
      </w:pPr>
      <w:r>
        <w:rPr>
          <w:lang w:val="pt-PT"/>
        </w:rPr>
        <w:t xml:space="preserve">Matrizes de fluxo para portas TCP/UDP</w:t>
      </w:r>
    </w:p>
    <w:p>
      <w:pPr>
        <w:pStyle w:val="Compact"/>
        <w:numPr>
          <w:ilvl w:val="0"/>
          <w:numId w:val="1008"/>
        </w:numPr>
      </w:pPr>
      <w:r>
        <w:rPr>
          <w:lang w:val="pt-PT"/>
        </w:rPr>
        <w:t xml:space="preserve">Cenários de failover e recuperação</w:t>
      </w:r>
    </w:p>
    <w:p>
      <w:pPr>
        <w:pStyle w:val="Compact"/>
        <w:numPr>
          <w:ilvl w:val="0"/>
          <w:numId w:val="1008"/>
        </w:numPr>
      </w:pPr>
      <w:r>
        <w:rPr>
          <w:lang w:val="pt-PT"/>
        </w:rPr>
        <w:t xml:space="preserve">Apêndices</w:t>
      </w:r>
    </w:p>
    <w:p>
      <w:r>
        <w:pict>
          <v:rect style="width:0;height:1.5pt" o:hralign="center" o:hrstd="t" o:hr="t"/>
        </w:pict>
      </w:r>
    </w:p>
    <w:bookmarkEnd w:id="38"/>
    <w:bookmarkStart w:id="44" w:name="X5b252b61ef14d4c86310f691aaa66fb74d34724"/>
    <w:p>
      <w:pPr>
        <w:pStyle w:val="Heading2"/>
        <w:keepNext/>
        <w:keepLines/>
      </w:pPr>
      <w:r>
        <w:rPr>
          <w:color w:val="000000"/>
          <w:lang w:val="pt-PT"/>
        </w:rPr>
        <w:t xml:space="preserve">1. Objetivo e âmbito</w:t>
      </w:r>
    </w:p>
    <w:bookmarkStart w:id="39" w:name="Xe275831557d2fd2f24615741920422f5a453ba0"/>
    <w:p>
      <w:pPr>
        <w:pStyle w:val="Heading3"/>
        <w:keepNext/>
        <w:keepLines/>
      </w:pPr>
      <w:r>
        <w:rPr>
          <w:color w:val="000000"/>
          <w:lang w:val="pt-PT"/>
        </w:rPr>
        <w:t xml:space="preserve">1.1 Objetivo do documento</w:t>
      </w:r>
    </w:p>
    <w:p>
      <w:pPr>
        <w:pStyle w:val="FirstParagraph"/>
      </w:pPr>
      <w:r>
        <w:rPr>
          <w:lang w:val="pt-PT"/>
        </w:rPr>
        <w:t xml:space="preserve">Este Arquivo de Projeto Detalhado (DCD) descreve a arquitetura técnica proposta para a instalação da plataforma inteligente de transcrição de áudio </w:t>
      </w:r>
      <w:r>
        <w:rPr>
          <w:lang w:val="pt-PT"/>
        </w:rPr>
        <w:t xml:space="preserve"/>
      </w:r>
      <w:r>
        <w:rPr>
          <w:b/>
          <w:bCs/>
          <w:lang w:val="pt-PT"/>
        </w:rPr>
        <w:t xml:space="preserve">TranscribIA </w:t>
      </w:r>
      <w:r>
        <w:rPr>
          <w:lang w:val="pt-PT"/>
        </w:rPr>
        <w:t xml:space="preserve">dentro </w:t>
      </w:r>
      <w:r>
        <w:rPr>
          <w:lang w:val="pt-PT"/>
        </w:rPr>
        <w:t xml:space="preserve">da infraestrutura do Cliente, em modo </w:t>
      </w:r>
      <w:r>
        <w:rPr>
          <w:lang w:val="pt-PT"/>
        </w:rPr>
        <w:t xml:space="preserve"/>
      </w:r>
      <w:r>
        <w:rPr>
          <w:b/>
          <w:bCs/>
          <w:lang w:val="pt-PT"/>
        </w:rPr>
        <w:t xml:space="preserve">on-premise isolado </w:t>
      </w:r>
      <w:r>
        <w:rPr>
          <w:lang w:val="pt-PT"/>
        </w:rPr>
        <w:t xml:space="preserve"/>
      </w:r>
      <w:r>
        <w:rPr>
          <w:lang w:val="pt-PT"/>
        </w:rPr>
        <w:t xml:space="preserve">(variante “nuvem zero”).</w:t>
      </w:r>
    </w:p>
    <w:p>
      <w:pPr>
        <w:pStyle w:val="BodyText"/>
      </w:pPr>
      <w:r>
        <w:rPr>
          <w:lang w:val="pt-PT"/>
        </w:rPr>
        <w:t xml:space="preserve">Constitui o documento de referência para:</w:t>
      </w:r>
    </w:p>
    <w:p>
      <w:pPr>
        <w:pStyle w:val="Compact"/>
        <w:numPr>
          <w:ilvl w:val="0"/>
          <w:numId w:val="1009"/>
        </w:numPr>
      </w:pPr>
      <w:r>
        <w:rPr>
          <w:lang w:val="pt-PT"/>
        </w:rPr>
        <w:t xml:space="preserve">validação da arquitetura pelo departamento de TI do Cliente antes da implementação;</w:t>
      </w:r>
    </w:p>
    <w:p>
      <w:pPr>
        <w:pStyle w:val="Compact"/>
        <w:numPr>
          <w:ilvl w:val="0"/>
          <w:numId w:val="1009"/>
        </w:numPr>
      </w:pPr>
      <w:r>
        <w:rPr>
          <w:lang w:val="pt-PT"/>
        </w:rPr>
        <w:t xml:space="preserve">o dimensionamento e aquisição de equipamentos;</w:t>
      </w:r>
    </w:p>
    <w:p>
      <w:pPr>
        <w:pStyle w:val="Compact"/>
        <w:numPr>
          <w:ilvl w:val="0"/>
          <w:numId w:val="1009"/>
        </w:numPr>
      </w:pPr>
      <w:r>
        <w:rPr>
          <w:lang w:val="pt-PT"/>
        </w:rPr>
        <w:t xml:space="preserve">configuração de rede e segurança;</w:t>
      </w:r>
    </w:p>
    <w:p>
      <w:pPr>
        <w:pStyle w:val="Compact"/>
        <w:numPr>
          <w:ilvl w:val="0"/>
          <w:numId w:val="1009"/>
        </w:numPr>
      </w:pPr>
      <w:r>
        <w:rPr>
          <w:lang w:val="pt-PT"/>
        </w:rPr>
        <w:t xml:space="preserve">a preparação do arquivo de aceitação (ver </w:t>
      </w:r>
      <w:r>
        <w:rPr>
          <w:lang w:val="pt-PT"/>
        </w:rPr>
        <w:t xml:space="preserve"/>
      </w:r>
      <w:r>
        <w:rPr>
          <w:rStyle w:val="VerbatimChar"/>
          <w:lang w:val="pt-PT"/>
        </w:rPr>
        <w:t xml:space="preserve">03_Dossier_Qualification_Cahier_Recette.md</w:t>
      </w:r>
      <w:r>
        <w:rPr>
          <w:lang w:val="pt-PT"/>
        </w:rPr>
        <w:t xml:space="preserve">);</w:t>
      </w:r>
    </w:p>
    <w:p>
      <w:pPr>
        <w:pStyle w:val="Compact"/>
        <w:numPr>
          <w:ilvl w:val="0"/>
          <w:numId w:val="1009"/>
        </w:numPr>
      </w:pPr>
      <w:r>
        <w:rPr>
          <w:lang w:val="pt-PT"/>
        </w:rPr>
        <w:t xml:space="preserve">exploração atual (ver </w:t>
      </w:r>
      <w:r>
        <w:rPr>
          <w:lang w:val="pt-PT"/>
        </w:rPr>
        <w:t xml:space="preserve"/>
      </w:r>
      <w:r>
        <w:rPr>
          <w:rStyle w:val="VerbatimChar"/>
          <w:lang w:val="pt-PT"/>
        </w:rPr>
        <w:t xml:space="preserve">02_Dossier_Exploitation.md</w:t>
      </w:r>
      <w:r>
        <w:rPr>
          <w:lang w:val="pt-PT"/>
        </w:rPr>
        <w:t xml:space="preserve">).</w:t>
      </w:r>
    </w:p>
    <w:bookmarkEnd w:id="39"/>
    <w:bookmarkStart w:id="40" w:name="X3e04d5c5bb33f9d4f89d9272aa70930dcf69dc0"/>
    <w:p>
      <w:pPr>
        <w:pStyle w:val="Heading3"/>
        <w:keepNext/>
        <w:keepLines/>
      </w:pPr>
      <w:r>
        <w:rPr>
          <w:color w:val="000000"/>
          <w:lang w:val="pt-PT"/>
        </w:rPr>
        <w:t xml:space="preserve">1.2 Âmbito funcional</w:t>
      </w:r>
    </w:p>
    <w:p>
      <w:pPr>
        <w:pStyle w:val="FirstParagraph"/>
      </w:pPr>
      <w:r>
        <w:rPr>
          <w:lang w:val="pt-PT"/>
        </w:rPr>
        <w:t xml:space="preserve">TranscribIA é uma plataforma inteligente de transcrição de áudio que cobre o seguinte canal:</w:t>
      </w:r>
    </w:p>
    <w:p>
      <w:pPr>
        <w:pStyle w:val="Compact"/>
        <w:numPr>
          <w:ilvl w:val="0"/>
          <w:numId w:val="1010"/>
        </w:numPr>
      </w:pPr>
      <w:r>
        <w:rPr>
          <w:b/>
          <w:bCs/>
          <w:lang w:val="pt-PT"/>
        </w:rPr>
        <w:t xml:space="preserve">Envio de ficheiros de </w:t>
      </w:r>
      <w:r>
        <w:rPr>
          <w:lang w:val="pt-PT"/>
        </w:rPr>
        <w:t xml:space="preserve"/>
      </w:r>
      <w:r>
        <w:rPr>
          <w:lang w:val="pt-PT"/>
        </w:rPr>
        <w:t xml:space="preserve">áudio (upload) por utilizadores autenticados;</w:t>
      </w:r>
    </w:p>
    <w:p>
      <w:pPr>
        <w:pStyle w:val="Compact"/>
        <w:numPr>
          <w:ilvl w:val="0"/>
          <w:numId w:val="1010"/>
        </w:numPr>
      </w:pPr>
      <w:r>
        <w:rPr>
          <w:b/>
          <w:bCs/>
          <w:lang w:val="pt-PT"/>
        </w:rPr>
        <w:t xml:space="preserve">Transcrição e diarização </w:t>
      </w:r>
      <w:r>
        <w:rPr>
          <w:lang w:val="pt-PT"/>
        </w:rPr>
        <w:t xml:space="preserve"/>
      </w:r>
      <w:r>
        <w:rPr>
          <w:lang w:val="pt-PT"/>
        </w:rPr>
        <w:t xml:space="preserve"/>
      </w:r>
      <w:r>
        <w:rPr>
          <w:lang w:val="pt-PT"/>
        </w:rPr>
        <w:t xml:space="preserve"/>
      </w:r>
      <w:r>
        <w:rPr>
          <w:b/>
          <w:bCs/>
          <w:lang w:val="pt-PT"/>
        </w:rPr>
        <w:t xml:space="preserve">automáticas </w:t>
      </w:r>
      <w:r>
        <w:rPr>
          <w:lang w:val="pt-PT"/>
        </w:rPr>
        <w:t xml:space="preserve">(separação </w:t>
      </w:r>
      <w:r>
        <w:rPr>
          <w:lang w:val="pt-PT"/>
        </w:rPr>
        <w:t xml:space="preserve">de intervenientes) por meio de um servidor de transcrição GPU;</w:t>
      </w:r>
    </w:p>
    <w:p>
      <w:pPr>
        <w:pStyle w:val="Compact"/>
        <w:numPr>
          <w:ilvl w:val="0"/>
          <w:numId w:val="1010"/>
        </w:numPr>
      </w:pPr>
      <w:r>
        <w:rPr>
          <w:b/>
          <w:bCs/>
          <w:lang w:val="pt-PT"/>
        </w:rPr>
        <w:t xml:space="preserve">Operação de IA </w:t>
      </w:r>
      <w:r>
        <w:rPr>
          <w:lang w:val="pt-PT"/>
        </w:rPr>
        <w:t xml:space="preserve"/>
      </w:r>
      <w:r>
        <w:rPr>
          <w:lang w:val="pt-PT"/>
        </w:rPr>
        <w:t xml:space="preserve">(correção, resumo, atas, capítulos, sugestão de identificação de locutor) via motor LLM;</w:t>
      </w:r>
    </w:p>
    <w:p>
      <w:pPr>
        <w:pStyle w:val="Compact"/>
        <w:numPr>
          <w:ilvl w:val="0"/>
          <w:numId w:val="1010"/>
        </w:numPr>
      </w:pPr>
      <w:r>
        <w:rPr>
          <w:b/>
          <w:bCs/>
          <w:lang w:val="pt-PT"/>
        </w:rPr>
        <w:t xml:space="preserve">Exportações </w:t>
      </w:r>
      <w:r>
        <w:rPr>
          <w:lang w:val="pt-PT"/>
        </w:rPr>
        <w:t xml:space="preserve"/>
      </w:r>
      <w:r>
        <w:rPr>
          <w:lang w:val="pt-PT"/>
        </w:rPr>
        <w:t xml:space="preserve">em formato Word (DOCX);</w:t>
      </w:r>
    </w:p>
    <w:p>
      <w:pPr>
        <w:pStyle w:val="Compact"/>
        <w:numPr>
          <w:ilvl w:val="0"/>
          <w:numId w:val="1010"/>
        </w:numPr>
      </w:pPr>
      <w:r>
        <w:rPr>
          <w:b/>
          <w:bCs/>
          <w:lang w:val="pt-PT"/>
        </w:rPr>
        <w:t xml:space="preserve">Administração </w:t>
      </w:r>
      <w:r>
        <w:rPr>
          <w:lang w:val="pt-PT"/>
        </w:rPr>
        <w:t xml:space="preserve"/>
      </w:r>
      <w:r>
        <w:rPr>
          <w:lang w:val="pt-PT"/>
        </w:rPr>
        <w:t xml:space="preserve">multiorganizacional (multilocatário), gerenciamento de utilizadores e funções, registo em log.</w:t>
      </w:r>
    </w:p>
    <w:p>
      <w:pPr>
        <w:pStyle w:val="FirstParagraph"/>
      </w:pPr>
      <w:r>
        <w:rPr>
          <w:lang w:val="pt-PT"/>
        </w:rPr>
        <w:t xml:space="preserve">Formatos de áudio suportados: mp3, wav, ogg, m4a, flac, webm, mp4, avi, mkv, mov, wmv — tamanho máximo da unidade </w:t>
      </w:r>
      <w:r>
        <w:rPr>
          <w:lang w:val="pt-PT"/>
        </w:rPr>
        <w:t xml:space="preserve"/>
      </w:r>
      <w:r>
        <w:rPr>
          <w:b/>
          <w:bCs/>
          <w:lang w:val="pt-PT"/>
        </w:rPr>
        <w:t xml:space="preserve">2500 </w:t>
      </w:r>
      <w:r>
        <w:rPr>
          <w:lang w:val="pt-PT"/>
        </w:rPr>
        <w:t xml:space="preserve">MB.</w:t>
      </w:r>
    </w:p>
    <w:bookmarkEnd w:id="40"/>
    <w:bookmarkStart w:id="41" w:name="Xaf17094b5633c59fe59de3b6203b32014dc2390"/>
    <w:p>
      <w:pPr>
        <w:pStyle w:val="Heading3"/>
        <w:keepNext/>
        <w:keepLines/>
      </w:pPr>
      <w:r>
        <w:rPr>
          <w:color w:val="000000"/>
          <w:lang w:val="pt-PT"/>
        </w:rPr>
        <w:t xml:space="preserve">1.3 Âmbito técnico da implementação local isolada</w:t>
      </w:r>
    </w:p>
    <w:p>
      <w:pPr>
        <w:pStyle w:val="FirstParagraph"/>
      </w:pPr>
      <w:r>
        <w:rPr>
          <w:lang w:val="pt-PT"/>
        </w:rPr>
        <w:t xml:space="preserve">Na variante isolada escolhida para o Cliente, </w:t>
      </w:r>
      <w:r>
        <w:rPr>
          <w:lang w:val="pt-PT"/>
        </w:rPr>
        <w:t xml:space="preserve"/>
      </w:r>
      <w:r>
        <w:rPr>
          <w:b/>
          <w:bCs/>
          <w:lang w:val="pt-PT"/>
        </w:rPr>
        <w:t xml:space="preserve">todos os </w:t>
      </w:r>
      <w:r>
        <w:rPr>
          <w:lang w:val="pt-PT"/>
        </w:rPr>
        <w:t xml:space="preserve">componentes </w:t>
      </w:r>
      <w:r>
        <w:rPr>
          <w:lang w:val="pt-PT"/>
        </w:rPr>
        <w:t xml:space="preserve">rodam dentro da infraestrutura do Cliente:</w:t>
      </w:r>
    </w:p>
    <w:p>
      <w:pPr>
        <w:pStyle w:val="Compact"/>
        <w:numPr>
          <w:ilvl w:val="0"/>
          <w:numId w:val="1011"/>
        </w:numPr>
      </w:pPr>
      <w:r>
        <w:rPr>
          <w:lang w:val="pt-PT"/>
        </w:rPr>
        <w:t xml:space="preserve">a aplicação (backend Laravel/PHP-FPM, trabalhadores de fila, agendador, servidor WebSocket, frontend, proxy reverso);</w:t>
      </w:r>
    </w:p>
    <w:p>
      <w:pPr>
        <w:pStyle w:val="Compact"/>
        <w:numPr>
          <w:ilvl w:val="0"/>
          <w:numId w:val="1011"/>
        </w:numPr>
      </w:pPr>
      <w:r>
        <w:rPr>
          <w:lang w:val="pt-PT"/>
        </w:rPr>
        <w:t xml:space="preserve">o base de dados PostgreSQL e o cache/arquivo Redis;</w:t>
      </w:r>
    </w:p>
    <w:p>
      <w:pPr>
        <w:pStyle w:val="Compact"/>
        <w:numPr>
          <w:ilvl w:val="0"/>
          <w:numId w:val="1011"/>
        </w:numPr>
      </w:pPr>
      <w:r>
        <w:rPr>
          <w:lang w:val="pt-PT"/>
        </w:rPr>
        <w:t xml:space="preserve">Antivírus ClamAV;</w:t>
      </w:r>
    </w:p>
    <w:p>
      <w:pPr>
        <w:pStyle w:val="Compact"/>
        <w:numPr>
          <w:ilvl w:val="0"/>
          <w:numId w:val="1011"/>
        </w:numPr>
      </w:pPr>
      <w:r>
        <w:rPr>
          <w:lang w:val="pt-PT"/>
        </w:rPr>
        <w:t xml:space="preserve">o </w:t>
      </w:r>
      <w:r>
        <w:rPr>
          <w:lang w:val="pt-PT"/>
        </w:rPr>
        <w:t xml:space="preserve"/>
      </w:r>
      <w:r>
        <w:rPr>
          <w:b/>
          <w:bCs/>
          <w:lang w:val="pt-PT"/>
        </w:rPr>
        <w:t xml:space="preserve">servidor de transcrição </w:t>
      </w:r>
      <w:r>
        <w:rPr>
          <w:lang w:val="pt-PT"/>
        </w:rPr>
        <w:t xml:space="preserve">GPU </w:t>
      </w:r>
      <w:r>
        <w:rPr>
          <w:lang w:val="pt-PT"/>
        </w:rPr>
        <w:t xml:space="preserve">(transcrição + diarização, execução local);</w:t>
      </w:r>
    </w:p>
    <w:p>
      <w:pPr>
        <w:pStyle w:val="Compact"/>
        <w:numPr>
          <w:ilvl w:val="0"/>
          <w:numId w:val="1011"/>
        </w:numPr>
      </w:pPr>
      <w:r>
        <w:rPr>
          <w:lang w:val="pt-PT"/>
        </w:rPr>
        <w:t xml:space="preserve">o </w:t>
      </w:r>
      <w:r>
        <w:rPr>
          <w:lang w:val="pt-PT"/>
        </w:rPr>
        <w:t xml:space="preserve"/>
      </w:r>
      <w:r>
        <w:rPr>
          <w:b/>
          <w:bCs/>
          <w:lang w:val="pt-PT"/>
        </w:rPr>
        <w:t xml:space="preserve">mecanismo LLM auto-hospedado: </w:t>
      </w:r>
      <w:r>
        <w:rPr>
          <w:lang w:val="pt-PT"/>
        </w:rPr>
        <w:t xml:space="preserve"/>
      </w:r>
      <w:r>
        <w:rPr>
          <w:lang w:val="pt-PT"/>
        </w:rPr>
        <w:t xml:space="preserve">servidor </w:t>
      </w:r>
      <w:r>
        <w:rPr>
          <w:lang w:val="pt-PT"/>
        </w:rPr>
        <w:t xml:space="preserve"/>
      </w:r>
      <w:r>
        <w:rPr>
          <w:b/>
          <w:bCs/>
          <w:lang w:val="pt-PT"/>
        </w:rPr>
        <w:t xml:space="preserve"/>
      </w:r>
      <w:r>
        <w:rPr>
          <w:lang w:val="pt-PT"/>
        </w:rPr>
        <w:t xml:space="preserve">vLLM </w:t>
      </w:r>
      <w:r>
        <w:rPr>
          <w:lang w:val="pt-PT"/>
        </w:rPr>
        <w:t xml:space="preserve">executando um modelo </w:t>
      </w:r>
      <w:r>
        <w:rPr>
          <w:lang w:val="pt-PT"/>
        </w:rPr>
        <w:t xml:space="preserve"/>
      </w:r>
      <w:r>
        <w:rPr>
          <w:b/>
          <w:bCs/>
          <w:lang w:val="pt-PT"/>
        </w:rPr>
        <w:t xml:space="preserve">open-weights Qwen 3.6 ou Mistral </w:t>
      </w:r>
      <w:r>
        <w:rPr>
          <w:lang w:val="pt-PT"/>
        </w:rPr>
        <w:t xml:space="preserve"/>
      </w:r>
      <w:r>
        <w:rPr>
          <w:rStyle w:val="VerbatimChar"/>
          <w:lang w:val="pt-PT"/>
        </w:rPr>
        <w:t xml:space="preserve">[versões exatas a serem confirmadas], </w:t>
      </w:r>
      <w:r>
        <w:rPr>
          <w:lang w:val="pt-PT"/>
        </w:rPr>
        <w:t xml:space="preserve">exposto no endpoint local (tipo de porta 8000/TCP), por meio da funcionalidade “Configuração LLM por organização” entregue na v1.7.0 (URL auto-hospedado suportado, com proteção anti-SSRF; cada organização pode definir suas próprias rotas LLM).</w:t>
      </w:r>
    </w:p>
    <w:p>
      <w:pPr>
        <w:pStyle w:val="FirstParagraph"/>
      </w:pPr>
      <w:r>
        <w:rPr>
          <w:b/>
          <w:bCs/>
          <w:lang w:val="pt-PT"/>
        </w:rPr>
        <w:t xml:space="preserve">Consequência: </w:t>
      </w:r>
      <w:r>
        <w:rPr>
          <w:lang w:val="pt-PT"/>
        </w:rPr>
        <w:t xml:space="preserve"/>
      </w:r>
      <w:r>
        <w:rPr>
          <w:lang w:val="pt-PT"/>
        </w:rPr>
        <w:t xml:space="preserve">nenhum fluxo de saída da Internet é necessário para a operação nominal. É esta variante que constitui a base da declaração “sem dados na nuvem”.</w:t>
      </w:r>
    </w:p>
    <w:bookmarkEnd w:id="41"/>
    <w:bookmarkStart w:id="42" w:name="Xf1edc98743074e07ae09cbf32fddc16a46daabd"/>
    <w:p>
      <w:pPr>
        <w:pStyle w:val="Heading3"/>
        <w:keepNext/>
        <w:keepLines/>
      </w:pPr>
      <w:r>
        <w:rPr>
          <w:color w:val="000000"/>
          <w:lang w:val="pt-PT"/>
        </w:rPr>
        <w:t xml:space="preserve">1.4 Fora do âmbito</w:t>
      </w:r>
    </w:p>
    <w:p>
      <w:pPr>
        <w:pStyle w:val="Compact"/>
        <w:numPr>
          <w:ilvl w:val="0"/>
          <w:numId w:val="1012"/>
        </w:numPr>
      </w:pPr>
      <w:r>
        <w:rPr>
          <w:lang w:val="pt-PT"/>
        </w:rPr>
        <w:t xml:space="preserve">A disponibilização de ligações de rede entre salas, equipamentos ativos (switches, routers, firewalls) e cablagem, que são da responsabilidade do Cliente.</w:t>
      </w:r>
    </w:p>
    <w:p>
      <w:pPr>
        <w:pStyle w:val="Compact"/>
        <w:numPr>
          <w:ilvl w:val="0"/>
          <w:numId w:val="1012"/>
        </w:numPr>
      </w:pPr>
      <w:r>
        <w:rPr>
          <w:lang w:val="pt-PT"/>
        </w:rPr>
        <w:t xml:space="preserve">O diretório de autenticação externa (LDAP/AD/SSO): não exigido por TranscribIA como padrão (contas gerenciadas internamente). Uma possível integração é [A SER CONCLUÍDA: </w:t>
      </w:r>
      <w:r>
        <w:rPr>
          <w:lang w:val="pt-PT"/>
        </w:rPr>
        <w:t xml:space="preserve"/>
      </w:r>
      <w:r>
        <w:rPr>
          <w:rStyle w:val="VerbatimChar"/>
          <w:lang w:val="pt-PT"/>
        </w:rPr>
        <w:t xml:space="preserve">necessidade de confirmação da integração SSO com o departamento de </w:t>
      </w:r>
      <w:r>
        <w:rPr>
          <w:lang w:val="pt-PT"/>
        </w:rPr>
        <w:t xml:space="preserve">TI].</w:t>
      </w:r>
    </w:p>
    <w:p>
      <w:pPr>
        <w:pStyle w:val="Compact"/>
        <w:numPr>
          <w:ilvl w:val="0"/>
          <w:numId w:val="1012"/>
        </w:numPr>
      </w:pPr>
      <w:r>
        <w:rPr>
          <w:lang w:val="pt-PT"/>
        </w:rPr>
        <w:t xml:space="preserve">Fornecimento de estações de trabalho para utilizadores finais.</w:t>
      </w:r>
    </w:p>
    <w:p>
      <w:pPr>
        <w:pStyle w:val="Compact"/>
        <w:numPr>
          <w:ilvl w:val="0"/>
          <w:numId w:val="1012"/>
        </w:numPr>
      </w:pPr>
      <w:r>
        <w:rPr>
          <w:lang w:val="pt-PT"/>
        </w:rPr>
        <w:t xml:space="preserve">Procedimentos de operação e aceitação, que são objeto de documentos dedicados.</w:t>
      </w:r>
    </w:p>
    <w:bookmarkEnd w:id="42"/>
    <w:bookmarkStart w:id="43" w:name="Xbef27973ca9f22ac65c3c2f5a6f14aaa8be9b27"/>
    <w:p>
      <w:pPr>
        <w:pStyle w:val="Heading3"/>
        <w:keepNext/>
        <w:keepLines/>
      </w:pPr>
      <w:r>
        <w:rPr>
          <w:color w:val="000000"/>
          <w:lang w:val="pt-PT"/>
        </w:rPr>
        <w:t xml:space="preserve">1.5 Terminologia do site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Termo</w:t>
            </w:r>
          </w:p>
        </w:tc>
        <w:tc>
          <w:tcPr/>
          <w:p>
            <w:pPr>
              <w:pStyle w:val="Compact"/>
            </w:pPr>
            <w:r>
              <w:rPr>
                <w:lang w:val="pt-PT"/>
              </w:rPr>
              <w:t xml:space="preserve">Significado</w:t>
            </w:r>
          </w:p>
        </w:tc>
      </w:tr>
      <w:tr>
        <w:trPr>
          <w:cantSplit/>
        </w:trPr>
        <w:tc>
          <w:tcPr/>
          <w:p>
            <w:pPr>
              <w:pStyle w:val="Compact"/>
            </w:pPr>
            <w:r>
              <w:rPr>
                <w:b/>
                <w:bCs/>
                <w:lang w:val="pt-PT"/>
              </w:rPr>
              <w:t xml:space="preserve">Sala A (site principal)</w:t>
            </w:r>
          </w:p>
        </w:tc>
        <w:tc>
          <w:tcPr/>
          <w:p>
            <w:pPr>
              <w:pStyle w:val="Compact"/>
            </w:pPr>
            <w:r>
              <w:rPr>
                <w:lang w:val="pt-PT"/>
              </w:rPr>
              <w:t xml:space="preserve">Primeira sala de servidores do cliente — proposta como </w:t>
            </w:r>
            <w:r>
              <w:rPr>
                <w:lang w:val="pt-PT"/>
              </w:rPr>
              <w:t xml:space="preserve">site </w:t>
            </w:r>
            <w:r>
              <w:rPr>
                <w:b/>
                <w:bCs/>
                <w:lang w:val="pt-PT"/>
              </w:rPr>
              <w:t xml:space="preserve"/>
            </w:r>
            <w:r>
              <w:rPr>
                <w:lang w:val="pt-PT"/>
              </w:rPr>
              <w:t xml:space="preserve">ativo </w:t>
            </w:r>
            <w:r>
              <w:rPr>
                <w:lang w:val="pt-PT"/>
              </w:rPr>
              <w:t xml:space="preserve">(produção)</w:t>
            </w:r>
          </w:p>
        </w:tc>
      </w:tr>
      <w:tr>
        <w:trPr>
          <w:cantSplit/>
        </w:trPr>
        <w:tc>
          <w:tcPr/>
          <w:p>
            <w:pPr>
              <w:pStyle w:val="Compact"/>
            </w:pPr>
            <w:r>
              <w:rPr>
                <w:b/>
                <w:bCs/>
                <w:lang w:val="pt-PT"/>
              </w:rPr>
              <w:t xml:space="preserve">Sala B (local de backup)</w:t>
            </w:r>
          </w:p>
        </w:tc>
        <w:tc>
          <w:tcPr/>
          <w:p>
            <w:pPr>
              <w:pStyle w:val="Compact"/>
            </w:pPr>
            <w:r>
              <w:rPr>
                <w:lang w:val="pt-PT"/>
              </w:rPr>
              <w:t xml:space="preserve">Segunda sala de servidores do cliente — oferecida como local </w:t>
            </w:r>
            <w:r>
              <w:rPr>
                <w:lang w:val="pt-PT"/>
              </w:rPr>
              <w:t xml:space="preserve">de </w:t>
            </w:r>
            <w:r>
              <w:rPr>
                <w:b/>
                <w:bCs/>
                <w:lang w:val="pt-PT"/>
              </w:rPr>
              <w:t xml:space="preserve">backup passivo</w:t>
            </w:r>
          </w:p>
        </w:tc>
      </w:tr>
      <w:tr>
        <w:trPr>
          <w:cantSplit/>
        </w:trPr>
        <w:tc>
          <w:tcPr/>
          <w:p>
            <w:pPr>
              <w:pStyle w:val="Compact"/>
            </w:pPr>
            <w:r>
              <w:rPr>
                <w:lang w:val="pt-PT"/>
              </w:rPr>
              <w:t xml:space="preserve">VLAN</w:t>
            </w:r>
          </w:p>
        </w:tc>
        <w:tc>
          <w:tcPr/>
          <w:p>
            <w:pPr>
              <w:pStyle w:val="Compact"/>
            </w:pPr>
            <w:r>
              <w:rPr>
                <w:lang w:val="pt-PT"/>
              </w:rPr>
              <w:t xml:space="preserve">VLAN (segmentação de nível 2)</w:t>
            </w:r>
          </w:p>
        </w:tc>
      </w:tr>
      <w:tr>
        <w:trPr>
          <w:cantSplit/>
        </w:trPr>
        <w:tc>
          <w:tcPr/>
          <w:p>
            <w:pPr>
              <w:pStyle w:val="Compact"/>
            </w:pPr>
            <w:r>
              <w:rPr>
                <w:lang w:val="pt-PT"/>
              </w:rPr>
              <w:t xml:space="preserve">RPO</w:t>
            </w:r>
          </w:p>
        </w:tc>
        <w:tc>
          <w:tcPr/>
          <w:p>
            <w:pPr>
              <w:pStyle w:val="Compact"/>
            </w:pPr>
            <w:r>
              <w:rPr>
                <w:i/>
                <w:iCs/>
                <w:lang w:val="pt-PT"/>
              </w:rPr>
              <w:t xml:space="preserve">Objetivo do ponto de </w:t>
            </w:r>
            <w:r>
              <w:rPr>
                <w:lang w:val="pt-PT"/>
              </w:rPr>
              <w:t xml:space="preserve"/>
            </w:r>
            <w:r>
              <w:rPr>
                <w:lang w:val="pt-PT"/>
              </w:rPr>
              <w:t xml:space="preserve">recuperação — perda máxima de dados permitida</w:t>
            </w:r>
          </w:p>
        </w:tc>
      </w:tr>
      <w:tr>
        <w:trPr>
          <w:cantSplit/>
        </w:trPr>
        <w:tc>
          <w:tcPr/>
          <w:p>
            <w:pPr>
              <w:pStyle w:val="Compact"/>
            </w:pPr>
            <w:r>
              <w:rPr>
                <w:lang w:val="pt-PT"/>
              </w:rPr>
              <w:t xml:space="preserve">RTO</w:t>
            </w:r>
          </w:p>
        </w:tc>
        <w:tc>
          <w:tcPr/>
          <w:p>
            <w:pPr>
              <w:pStyle w:val="Compact"/>
            </w:pPr>
            <w:r>
              <w:rPr>
                <w:i/>
                <w:iCs/>
                <w:lang w:val="pt-PT"/>
              </w:rPr>
              <w:t xml:space="preserve">Objetivo de tempo de </w:t>
            </w:r>
            <w:r>
              <w:rPr>
                <w:lang w:val="pt-PT"/>
              </w:rPr>
              <w:t xml:space="preserve"/>
            </w:r>
            <w:r>
              <w:rPr>
                <w:lang w:val="pt-PT"/>
              </w:rPr>
              <w:t xml:space="preserve">recuperação — tempo máximo para restaurar o serviço</w:t>
            </w:r>
          </w:p>
        </w:tc>
      </w:tr>
      <w:tr>
        <w:trPr>
          <w:cantSplit/>
        </w:trPr>
        <w:tc>
          <w:tcPr/>
          <w:p>
            <w:pPr>
              <w:pStyle w:val="Compact"/>
            </w:pPr>
            <w:r>
              <w:rPr>
                <w:lang w:val="pt-PT"/>
              </w:rPr>
              <w:t xml:space="preserve">Proprietário/organização</w:t>
            </w:r>
          </w:p>
        </w:tc>
        <w:tc>
          <w:tcPr/>
          <w:p>
            <w:pPr>
              <w:pStyle w:val="Compact"/>
            </w:pPr>
            <w:r>
              <w:rPr>
                <w:lang w:val="pt-PT"/>
              </w:rPr>
              <w:t xml:space="preserve">Espaço particionado de uma entidade cliente interna (esquema PostgreSQL dedicado)</w:t>
            </w:r>
          </w:p>
        </w:tc>
      </w:tr>
    </w:tbl>
    <w:p>
      <w:r>
        <w:pict>
          <v:rect style="width:0;height:1.5pt" o:hralign="center" o:hrstd="t" o:hr="t"/>
        </w:pict>
      </w:r>
    </w:p>
    <w:bookmarkEnd w:id="43"/>
    <w:bookmarkEnd w:id="44"/>
    <w:bookmarkStart w:id="49" w:name="Xf97389b9150adb04abb5691c35359febb84ebc0"/>
    <w:p>
      <w:pPr>
        <w:pStyle w:val="Heading2"/>
        <w:keepNext/>
        <w:keepLines/>
      </w:pPr>
      <w:r>
        <w:rPr>
          <w:color w:val="000000"/>
          <w:lang w:val="pt-PT"/>
        </w:rPr>
        <w:t xml:space="preserve">2. Arquitetura de alto nível (técnico-funcional e segurança)</w:t>
      </w:r>
    </w:p>
    <w:bookmarkStart w:id="45" w:name="X7fbda49b87906c87bb24ccbc1b2ce06fd32cddf"/>
    <w:p>
      <w:pPr>
        <w:pStyle w:val="Heading3"/>
        <w:keepNext/>
        <w:keepLines/>
      </w:pPr>
      <w:r>
        <w:rPr>
          <w:color w:val="000000"/>
          <w:lang w:val="pt-PT"/>
        </w:rPr>
        <w:t xml:space="preserve">2.1 Princípio geral: Sala ativa A / Sala de emergência passiva B</w:t>
      </w:r>
    </w:p>
    <w:p>
      <w:pPr>
        <w:pStyle w:val="FirstParagraph"/>
      </w:pPr>
      <w:r>
        <w:rPr>
          <w:lang w:val="pt-PT"/>
        </w:rPr>
        <w:t xml:space="preserve">A arquitetura proposta é baseada em duas salas de servidores:</w:t>
      </w:r>
    </w:p>
    <w:p>
      <w:pPr>
        <w:pStyle w:val="Compact"/>
        <w:numPr>
          <w:ilvl w:val="0"/>
          <w:numId w:val="1013"/>
        </w:numPr>
      </w:pPr>
      <w:r>
        <w:rPr>
          <w:b/>
          <w:bCs/>
          <w:lang w:val="pt-PT"/>
        </w:rPr>
        <w:t xml:space="preserve">Sala A — site ativo: </w:t>
      </w:r>
      <w:r>
        <w:rPr>
          <w:lang w:val="pt-PT"/>
        </w:rPr>
        <w:t xml:space="preserve"/>
      </w:r>
      <w:r>
        <w:rPr>
          <w:lang w:val="pt-PT"/>
        </w:rPr>
        <w:t xml:space="preserve">hospeda a instância de produção completa de TranscribIA. Todos os utilizadores são direcionados para lá em operação nominal.</w:t>
      </w:r>
    </w:p>
    <w:p>
      <w:pPr>
        <w:pStyle w:val="Compact"/>
        <w:numPr>
          <w:ilvl w:val="0"/>
          <w:numId w:val="1013"/>
        </w:numPr>
      </w:pPr>
      <w:r>
        <w:rPr>
          <w:b/>
          <w:bCs/>
          <w:lang w:val="pt-PT"/>
        </w:rPr>
        <w:t xml:space="preserve">Sala B — site de espera passiva: </w:t>
      </w:r>
      <w:r>
        <w:rPr>
          <w:lang w:val="pt-PT"/>
        </w:rPr>
        <w:t xml:space="preserve"/>
      </w:r>
      <w:r>
        <w:rPr>
          <w:lang w:val="pt-PT"/>
        </w:rPr>
        <w:t xml:space="preserve">hospeda uma instância de espera, </w:t>
      </w:r>
      <w:r>
        <w:rPr>
          <w:i/>
          <w:iCs/>
          <w:lang w:val="pt-PT"/>
        </w:rPr>
        <w:t xml:space="preserve"/>
      </w:r>
      <w:r>
        <w:rPr>
          <w:lang w:val="pt-PT"/>
        </w:rPr>
        <w:t xml:space="preserve">mantida atualizada pela replicação contínua do base de dados e pela sincronização do volume de armazenamento. Só é ativado em caso de perda do site principal (failover) ou para operações de manutenção planejadas.</w:t>
      </w:r>
    </w:p>
    <w:p>
      <w:pPr>
        <w:pStyle w:val="BlockText"/>
      </w:pPr>
      <w:r>
        <w:rPr>
          <w:b/>
          <w:bCs/>
          <w:lang w:val="pt-PT"/>
        </w:rPr>
        <w:t xml:space="preserve">Escolha proposta de arquitetura — a ser validada durante </w:t>
      </w:r>
      <w:r>
        <w:rPr>
          <w:lang w:val="pt-PT"/>
        </w:rPr>
        <w:t xml:space="preserve"/>
      </w:r>
      <w:r>
        <w:rPr>
          <w:lang w:val="pt-PT"/>
        </w:rPr>
        <w:t xml:space="preserve">a implementação. O modelo ativo/passivo é escolhido pela sua simplicidade operacional e controlo do risco de divergência de dados (sem escrita simultânea em dois sites). Não é proposta uma variante ativa/ativa: ela imporia um mecanismo de resolução de conflitos multimestre inadequado para o modelo transacional da aplicação.</w:t>
      </w:r>
    </w:p>
    <w:bookmarkEnd w:id="45"/>
    <w:bookmarkStart w:id="46" w:name="X172404cb2009284406ca2678309e00a17b9a8c0"/>
    <w:p>
      <w:pPr>
        <w:pStyle w:val="Heading3"/>
        <w:keepNext/>
        <w:keepLines/>
      </w:pPr>
      <w:r>
        <w:rPr>
          <w:color w:val="000000"/>
          <w:lang w:val="pt-PT"/>
        </w:rPr>
        <w:t xml:space="preserve">2.2 Visão técnico-funcional (macro)</w:t>
      </w:r>
    </w:p>
    <w:p>
      <w:pPr>
        <w:pStyle w:val="SourceCode"/>
      </w:pPr>
      <w:r>
        <w:rPr>
          <w:rStyle w:val="VerbatimChar"/>
          <w:rFonts w:ascii="Courier New" w:hAnsi="Courier New" w:eastAsia="Courier New" w:cs="Courier New"/>
          <w:sz w:val="20"/>
          <w:szCs w:val="20"/>
        </w:rPr>
        <w:t xml:space="preserve">UTILIZADORES DO CLIENTE</w:t>
        <w:br/>
        <w:t xml:space="preserve">(postos de trabalho / rede de escritório)</w:t>
        <w:br/>
        <w:t xml:space="preserve">  | HTTPS 443</w:t>
        <w:br/>
        <w:t xml:space="preserve">  v</w:t>
        <w:br/>
        <w:t xml:space="preserve">VIP da aplicação (comutação DNS / IP virtual)</w:t>
        <w:br/>
        <w:t xml:space="preserve">  |</w:t>
        <w:br/>
        <w:t xml:space="preserve">  |-- ATIVO: SALA A</w:t>
        <w:br/>
        <w:t xml:space="preserve">  |     |-- Servidor da aplicação (stack Docker)</w:t>
        <w:br/>
        <w:t xml:space="preserve">  |     \-- Servidor GPU (transcrição + LLM local)</w:t>
        <w:br/>
        <w:t xml:space="preserve">  |</w:t>
        <w:br/>
        <w:t xml:space="preserve">  \-- RESERVA (passiva): SALA B</w:t>
        <w:br/>
        <w:t xml:space="preserve">        |-- Servidor da aplicação (standby)</w:t>
        <w:br/>
        <w:t xml:space="preserve">        \-- Servidor GPU (transcrição + LLM local)</w:t>
        <w:br/>
        <w:t xml:space="preserve">SALA A -&gt; SALA B: Replicação PostgreSQL (streaming assíncrono)</w:t>
        <w:br/>
        <w:t xml:space="preserve">SALA A -&gt; SALA B: Sincronização do armazenamento</w:t>
      </w:r>
    </w:p>
    <w:p>
      <w:pPr>
        <w:pStyle w:val="FirstParagraph"/>
      </w:pPr>
      <w:r>
        <w:rPr>
          <w:i/>
          <w:iCs/>
          <w:lang w:val="pt-PT"/>
        </w:rPr>
        <w:t xml:space="preserve">Este sinóptico será fornecido no formato Microsoft Visio (.vsdx) durante a fase de implementação, complementado com elementos específicos do site.</w:t>
      </w:r>
    </w:p>
    <w:bookmarkEnd w:id="46"/>
    <w:bookmarkStart w:id="47" w:name="X7c2c88078952b3b1ed0c71eb735b13249232f3b"/>
    <w:p>
      <w:pPr>
        <w:pStyle w:val="Heading3"/>
        <w:keepNext/>
        <w:keepLines/>
      </w:pPr>
      <w:r>
        <w:rPr>
          <w:color w:val="000000"/>
          <w:lang w:val="pt-PT"/>
        </w:rPr>
        <w:t xml:space="preserve">2.3 Componentes do aplicativo (pilha TranscribIA)</w:t>
      </w:r>
    </w:p>
    <w:p>
      <w:pPr>
        <w:pStyle w:val="FirstParagraph"/>
      </w:pPr>
      <w:r>
        <w:rPr>
          <w:lang w:val="pt-PT"/>
        </w:rPr>
        <w:t xml:space="preserve">A plataforma é entregue como uma pilha de contêineres orquestrada pelo Docker Compose. Componentes e funções: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Componente</w:t>
            </w:r>
          </w:p>
        </w:tc>
        <w:tc>
          <w:tcPr/>
          <w:p>
            <w:pPr>
              <w:pStyle w:val="Compact"/>
            </w:pPr>
            <w:r>
              <w:rPr>
                <w:lang w:val="pt-PT"/>
              </w:rPr>
              <w:t xml:space="preserve">Função</w:t>
            </w:r>
          </w:p>
        </w:tc>
        <w:tc>
          <w:tcPr/>
          <w:p>
            <w:pPr>
              <w:pStyle w:val="Compact"/>
            </w:pPr>
            <w:r>
              <w:rPr>
                <w:lang w:val="pt-PT"/>
              </w:rPr>
              <w:t xml:space="preserve">Porta interna</w:t>
            </w:r>
          </w:p>
        </w:tc>
      </w:tr>
      <w:tr>
        <w:trPr>
          <w:cantSplit/>
        </w:trPr>
        <w:tc>
          <w:tcPr/>
          <w:p>
            <w:pPr>
              <w:pStyle w:val="Compact"/>
            </w:pPr>
            <w:r>
              <w:rPr>
                <w:b/>
                <w:bCs/>
                <w:lang w:val="pt-PT"/>
              </w:rPr>
              <w:t xml:space="preserve">nginx</w:t>
            </w:r>
          </w:p>
        </w:tc>
        <w:tc>
          <w:tcPr/>
          <w:p>
            <w:pPr>
              <w:pStyle w:val="Compact"/>
            </w:pPr>
            <w:r>
              <w:rPr>
                <w:lang w:val="pt-PT"/>
              </w:rPr>
              <w:t xml:space="preserve">Proxy reverso — ponto de entrada HTTP(S), cabeçalhos de segurança, roteamento API/SPA/WebSocket</w:t>
            </w:r>
          </w:p>
        </w:tc>
        <w:tc>
          <w:tcPr/>
          <w:p>
            <w:pPr>
              <w:pStyle w:val="Compact"/>
            </w:pPr>
            <w:r>
              <w:rPr>
                <w:lang w:val="pt-PT"/>
              </w:rPr>
              <w:t xml:space="preserve">80 (interno); exposição externa 443/80</w:t>
            </w:r>
          </w:p>
        </w:tc>
      </w:tr>
      <w:tr>
        <w:trPr>
          <w:cantSplit/>
        </w:trPr>
        <w:tc>
          <w:tcPr/>
          <w:p>
            <w:pPr>
              <w:pStyle w:val="Compact"/>
            </w:pPr>
            <w:r>
              <w:rPr>
                <w:b/>
                <w:bCs/>
                <w:lang w:val="pt-PT"/>
              </w:rPr>
              <w:t xml:space="preserve">app</w:t>
            </w:r>
          </w:p>
        </w:tc>
        <w:tc>
          <w:tcPr/>
          <w:p>
            <w:pPr>
              <w:pStyle w:val="Compact"/>
            </w:pPr>
            <w:r>
              <w:rPr>
                <w:lang w:val="pt-PT"/>
              </w:rPr>
              <w:t xml:space="preserve">Backend Laravel 12 / PHP-FPM 8.3 — lógica de negócios, API REST (Sanctum)</w:t>
            </w:r>
          </w:p>
        </w:tc>
        <w:tc>
          <w:tcPr/>
          <w:p>
            <w:pPr>
              <w:pStyle w:val="Compact"/>
            </w:pPr>
            <w:r>
              <w:rPr>
                <w:lang w:val="pt-PT"/>
              </w:rPr>
              <w:t xml:space="preserve">9000 (FastCGI)</w:t>
            </w:r>
          </w:p>
        </w:tc>
      </w:tr>
      <w:tr>
        <w:trPr>
          <w:cantSplit/>
        </w:trPr>
        <w:tc>
          <w:tcPr/>
          <w:p>
            <w:pPr>
              <w:pStyle w:val="Compact"/>
            </w:pPr>
            <w:r>
              <w:rPr>
                <w:b/>
                <w:bCs/>
                <w:lang w:val="pt-PT"/>
              </w:rPr>
              <w:t xml:space="preserve">queue</w:t>
            </w:r>
          </w:p>
        </w:tc>
        <w:tc>
          <w:tcPr/>
          <w:p>
            <w:pPr>
              <w:pStyle w:val="Compact"/>
            </w:pPr>
            <w:r>
              <w:rPr>
                <w:lang w:val="pt-PT"/>
              </w:rPr>
              <w:t xml:space="preserve">Trabalhador de fila (arquivos </w:t>
            </w:r>
            <w:r>
              <w:rPr>
                <w:lang w:val="pt-PT"/>
              </w:rPr>
              <w:t xml:space="preserve"/>
            </w:r>
            <w:r>
              <w:rPr>
                <w:rStyle w:val="VerbatimChar"/>
                <w:lang w:val="pt-PT"/>
              </w:rPr>
              <w:t xml:space="preserve">default</w:t>
            </w:r>
            <w:r>
              <w:rPr>
                <w:lang w:val="pt-PT"/>
              </w:rPr>
              <w:t xml:space="preserve">, </w:t>
            </w:r>
            <w:r>
              <w:rPr>
                <w:lang w:val="pt-PT"/>
              </w:rPr>
              <w:t xml:space="preserve"/>
            </w:r>
            <w:r>
              <w:rPr>
                <w:rStyle w:val="VerbatimChar"/>
                <w:lang w:val="pt-PT"/>
              </w:rPr>
              <w:t xml:space="preserve">exports</w:t>
            </w:r>
            <w:r>
              <w:rPr>
                <w:lang w:val="pt-PT"/>
              </w:rPr>
              <w:t xml:space="preserve">)</w:t>
            </w:r>
          </w:p>
        </w:tc>
        <w:tc>
          <w:tcPr/>
          <w:p>
            <w:pPr>
              <w:pStyle w:val="Compact"/>
            </w:pPr>
            <w:r>
              <w:rPr>
                <w:lang w:val="pt-PT"/>
              </w:rPr>
              <w:t xml:space="preserve">—</w:t>
            </w:r>
          </w:p>
        </w:tc>
      </w:tr>
      <w:tr>
        <w:trPr>
          <w:cantSplit/>
        </w:trPr>
        <w:tc>
          <w:tcPr/>
          <w:p>
            <w:pPr>
              <w:pStyle w:val="Compact"/>
            </w:pPr>
            <w:r>
              <w:rPr>
                <w:b/>
                <w:bCs/>
                <w:lang w:val="pt-PT"/>
              </w:rPr>
              <w:t xml:space="preserve">queue-ai</w:t>
            </w:r>
          </w:p>
        </w:tc>
        <w:tc>
          <w:tcPr/>
          <w:p>
            <w:pPr>
              <w:pStyle w:val="Compact"/>
            </w:pPr>
            <w:r>
              <w:rPr>
                <w:lang w:val="pt-PT"/>
              </w:rPr>
              <w:t xml:space="preserve">Trabalhador dedicado às gerações de IA (arquivo </w:t>
            </w:r>
            <w:r>
              <w:rPr>
                <w:lang w:val="pt-PT"/>
              </w:rPr>
              <w:t xml:space="preserve"/>
            </w:r>
            <w:r>
              <w:rPr>
                <w:rStyle w:val="VerbatimChar"/>
                <w:lang w:val="pt-PT"/>
              </w:rPr>
              <w:t xml:space="preserve">ai</w:t>
            </w:r>
            <w:r>
              <w:rPr>
                <w:lang w:val="pt-PT"/>
              </w:rPr>
              <w:t xml:space="preserve">)</w:t>
            </w:r>
          </w:p>
        </w:tc>
        <w:tc>
          <w:tcPr/>
          <w:p>
            <w:pPr>
              <w:pStyle w:val="Compact"/>
            </w:pPr>
            <w:r>
              <w:rPr>
                <w:lang w:val="pt-PT"/>
              </w:rPr>
              <w:t xml:space="preserve">—</w:t>
            </w:r>
          </w:p>
        </w:tc>
      </w:tr>
      <w:tr>
        <w:trPr>
          <w:cantSplit/>
        </w:trPr>
        <w:tc>
          <w:tcPr/>
          <w:p>
            <w:pPr>
              <w:pStyle w:val="Compact"/>
            </w:pPr>
            <w:r>
              <w:rPr>
                <w:b/>
                <w:bCs/>
                <w:lang w:val="pt-PT"/>
              </w:rPr>
              <w:t xml:space="preserve">queue-media</w:t>
            </w:r>
          </w:p>
        </w:tc>
        <w:tc>
          <w:tcPr/>
          <w:p>
            <w:pPr>
              <w:pStyle w:val="Compact"/>
            </w:pPr>
            <w:r>
              <w:rPr>
                <w:lang w:val="pt-PT"/>
              </w:rPr>
              <w:t xml:space="preserve">Worker dedicado ao processamento de mídia — fusão de áudio ffmpeg (arquivo </w:t>
            </w:r>
            <w:r>
              <w:rPr>
                <w:lang w:val="pt-PT"/>
              </w:rPr>
              <w:t xml:space="preserve"/>
            </w:r>
            <w:r>
              <w:rPr>
                <w:rStyle w:val="VerbatimChar"/>
                <w:lang w:val="pt-PT"/>
              </w:rPr>
              <w:t xml:space="preserve">media</w:t>
            </w:r>
            <w:r>
              <w:rPr>
                <w:lang w:val="pt-PT"/>
              </w:rPr>
              <w:t xml:space="preserve">)</w:t>
            </w:r>
          </w:p>
        </w:tc>
        <w:tc>
          <w:tcPr/>
          <w:p>
            <w:pPr>
              <w:pStyle w:val="Compact"/>
            </w:pPr>
            <w:r>
              <w:rPr>
                <w:lang w:val="pt-PT"/>
              </w:rPr>
              <w:t xml:space="preserve">—</w:t>
            </w:r>
          </w:p>
        </w:tc>
      </w:tr>
      <w:tr>
        <w:trPr>
          <w:cantSplit/>
        </w:trPr>
        <w:tc>
          <w:tcPr/>
          <w:p>
            <w:pPr>
              <w:pStyle w:val="Compact"/>
            </w:pPr>
            <w:r>
              <w:rPr>
                <w:b/>
                <w:bCs/>
                <w:lang w:val="pt-PT"/>
              </w:rPr>
              <w:t xml:space="preserve">scheduler</w:t>
            </w:r>
          </w:p>
        </w:tc>
        <w:tc>
          <w:tcPr/>
          <w:p>
            <w:pPr>
              <w:pStyle w:val="Compact"/>
            </w:pPr>
            <w:r>
              <w:rPr>
                <w:lang w:val="pt-PT"/>
              </w:rPr>
              <w:t xml:space="preserve">Agendador (tarefas agendadas do tipo cron, </w:t>
            </w:r>
            <w:r>
              <w:rPr>
                <w:lang w:val="pt-PT"/>
              </w:rPr>
              <w:t xml:space="preserve"/>
            </w:r>
            <w:r>
              <w:rPr>
                <w:rStyle w:val="VerbatimChar"/>
                <w:lang w:val="pt-PT"/>
              </w:rPr>
              <w:t xml:space="preserve">schedule:run</w:t>
            </w:r>
            <w:r>
              <w:rPr>
                <w:lang w:val="pt-PT"/>
              </w:rPr>
              <w:t xml:space="preserve"> </w:t>
            </w:r>
            <w:r>
              <w:rPr>
                <w:lang w:val="pt-PT"/>
              </w:rPr>
              <w:t xml:space="preserve">a cada 60 s)</w:t>
            </w:r>
          </w:p>
        </w:tc>
        <w:tc>
          <w:tcPr/>
          <w:p>
            <w:pPr>
              <w:pStyle w:val="Compact"/>
            </w:pPr>
            <w:r>
              <w:rPr>
                <w:lang w:val="pt-PT"/>
              </w:rPr>
              <w:t xml:space="preserve">—</w:t>
            </w:r>
          </w:p>
        </w:tc>
      </w:tr>
      <w:tr>
        <w:trPr>
          <w:cantSplit/>
        </w:trPr>
        <w:tc>
          <w:tcPr/>
          <w:p>
            <w:pPr>
              <w:pStyle w:val="Compact"/>
            </w:pPr>
            <w:r>
              <w:rPr>
                <w:b/>
                <w:bCs/>
                <w:lang w:val="pt-PT"/>
              </w:rPr>
              <w:t xml:space="preserve">reverb</w:t>
            </w:r>
          </w:p>
        </w:tc>
        <w:tc>
          <w:tcPr/>
          <w:p>
            <w:pPr>
              <w:pStyle w:val="Compact"/>
            </w:pPr>
            <w:r>
              <w:rPr>
                <w:lang w:val="pt-PT"/>
              </w:rPr>
              <w:t xml:space="preserve">Servidor Laravel Reverb WebSocket – notificações em tempo real</w:t>
            </w:r>
          </w:p>
        </w:tc>
        <w:tc>
          <w:tcPr/>
          <w:p>
            <w:pPr>
              <w:pStyle w:val="Compact"/>
            </w:pPr>
            <w:r>
              <w:rPr>
                <w:lang w:val="pt-PT"/>
              </w:rPr>
              <w:t xml:space="preserve">8080</w:t>
            </w:r>
          </w:p>
        </w:tc>
      </w:tr>
      <w:tr>
        <w:trPr>
          <w:cantSplit/>
        </w:trPr>
        <w:tc>
          <w:tcPr/>
          <w:p>
            <w:pPr>
              <w:pStyle w:val="Compact"/>
            </w:pPr>
            <w:r>
              <w:rPr>
                <w:b/>
                <w:bCs/>
                <w:lang w:val="pt-PT"/>
              </w:rPr>
              <w:t xml:space="preserve">frontend</w:t>
            </w:r>
          </w:p>
        </w:tc>
        <w:tc>
          <w:tcPr/>
          <w:p>
            <w:pPr>
              <w:pStyle w:val="Compact"/>
            </w:pPr>
            <w:r>
              <w:rPr>
                <w:lang w:val="pt-PT"/>
              </w:rPr>
              <w:t xml:space="preserve">Interface React 19/TypeScript (compilação estática servida pelo nginx)</w:t>
            </w:r>
          </w:p>
        </w:tc>
        <w:tc>
          <w:tcPr/>
          <w:p>
            <w:pPr>
              <w:pStyle w:val="Compact"/>
            </w:pPr>
            <w:r>
              <w:rPr>
                <w:lang w:val="pt-PT"/>
              </w:rPr>
              <w:t xml:space="preserve">5173</w:t>
            </w:r>
          </w:p>
        </w:tc>
      </w:tr>
      <w:tr>
        <w:trPr>
          <w:cantSplit/>
        </w:trPr>
        <w:tc>
          <w:tcPr/>
          <w:p>
            <w:pPr>
              <w:pStyle w:val="Compact"/>
            </w:pPr>
            <w:r>
              <w:rPr>
                <w:b/>
                <w:bCs/>
                <w:lang w:val="pt-PT"/>
              </w:rPr>
              <w:t xml:space="preserve">postgres</w:t>
            </w:r>
          </w:p>
        </w:tc>
        <w:tc>
          <w:tcPr/>
          <w:p>
            <w:pPr>
              <w:pStyle w:val="Compact"/>
            </w:pPr>
            <w:r>
              <w:rPr>
                <w:lang w:val="pt-PT"/>
              </w:rPr>
              <w:t xml:space="preserve">Base de dados PostgreSQL 16 – esquema multilocatário por organização</w:t>
            </w:r>
          </w:p>
        </w:tc>
        <w:tc>
          <w:tcPr/>
          <w:p>
            <w:pPr>
              <w:pStyle w:val="Compact"/>
            </w:pPr>
            <w:r>
              <w:rPr>
                <w:lang w:val="pt-PT"/>
              </w:rPr>
              <w:t xml:space="preserve">5432 (127.0.0.1)</w:t>
            </w:r>
          </w:p>
        </w:tc>
      </w:tr>
      <w:tr>
        <w:trPr>
          <w:cantSplit/>
        </w:trPr>
        <w:tc>
          <w:tcPr/>
          <w:p>
            <w:pPr>
              <w:pStyle w:val="Compact"/>
            </w:pPr>
            <w:r>
              <w:rPr>
                <w:b/>
                <w:bCs/>
                <w:lang w:val="pt-PT"/>
              </w:rPr>
              <w:t xml:space="preserve">redis</w:t>
            </w:r>
          </w:p>
        </w:tc>
        <w:tc>
          <w:tcPr/>
          <w:p>
            <w:pPr>
              <w:pStyle w:val="Compact"/>
            </w:pPr>
            <w:r>
              <w:rPr>
                <w:lang w:val="pt-PT"/>
              </w:rPr>
              <w:t xml:space="preserve">Cache, sessões, filas</w:t>
            </w:r>
          </w:p>
        </w:tc>
        <w:tc>
          <w:tcPr/>
          <w:p>
            <w:pPr>
              <w:pStyle w:val="Compact"/>
            </w:pPr>
            <w:r>
              <w:rPr>
                <w:lang w:val="pt-PT"/>
              </w:rPr>
              <w:t xml:space="preserve">6379 (127.0.0.1)</w:t>
            </w:r>
          </w:p>
        </w:tc>
      </w:tr>
      <w:tr>
        <w:trPr>
          <w:cantSplit/>
        </w:trPr>
        <w:tc>
          <w:tcPr/>
          <w:p>
            <w:pPr>
              <w:pStyle w:val="Compact"/>
            </w:pPr>
            <w:r>
              <w:rPr>
                <w:b/>
                <w:bCs/>
                <w:lang w:val="pt-PT"/>
              </w:rPr>
              <w:t xml:space="preserve">clamav</w:t>
            </w:r>
          </w:p>
        </w:tc>
        <w:tc>
          <w:tcPr/>
          <w:p>
            <w:pPr>
              <w:pStyle w:val="Compact"/>
            </w:pPr>
            <w:r>
              <w:rPr>
                <w:lang w:val="pt-PT"/>
              </w:rPr>
              <w:t xml:space="preserve">Antivírus Sidecar – análise de cada upload antes de gravar no disco</w:t>
            </w:r>
          </w:p>
        </w:tc>
        <w:tc>
          <w:tcPr/>
          <w:p>
            <w:pPr>
              <w:pStyle w:val="Compact"/>
            </w:pPr>
            <w:r>
              <w:rPr>
                <w:lang w:val="pt-PT"/>
              </w:rPr>
              <w:t xml:space="preserve">3310</w:t>
            </w:r>
          </w:p>
        </w:tc>
      </w:tr>
    </w:tbl>
    <w:p>
      <w:pPr>
        <w:pStyle w:val="BodyText"/>
      </w:pPr>
      <w:r>
        <w:rPr>
          <w:lang w:val="pt-PT"/>
        </w:rPr>
        <w:t xml:space="preserve">Componentes adicionais específicos da variante isolada:</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Componente</w:t>
            </w:r>
          </w:p>
        </w:tc>
        <w:tc>
          <w:tcPr/>
          <w:p>
            <w:pPr>
              <w:pStyle w:val="Compact"/>
            </w:pPr>
            <w:r>
              <w:rPr>
                <w:lang w:val="pt-PT"/>
              </w:rPr>
              <w:t xml:space="preserve">Função</w:t>
            </w:r>
          </w:p>
        </w:tc>
        <w:tc>
          <w:tcPr/>
          <w:p>
            <w:pPr>
              <w:pStyle w:val="Compact"/>
            </w:pPr>
            <w:r>
              <w:rPr>
                <w:lang w:val="pt-PT"/>
              </w:rPr>
              <w:t xml:space="preserve">Porta interna (indicativo)</w:t>
            </w:r>
          </w:p>
        </w:tc>
      </w:tr>
      <w:tr>
        <w:trPr>
          <w:cantSplit/>
        </w:trPr>
        <w:tc>
          <w:tcPr/>
          <w:p>
            <w:pPr>
              <w:pStyle w:val="Compact"/>
            </w:pPr>
            <w:r>
              <w:rPr>
                <w:b/>
                <w:bCs/>
                <w:lang w:val="pt-PT"/>
              </w:rPr>
              <w:t xml:space="preserve">Servidor de transcrição GPU</w:t>
            </w:r>
          </w:p>
        </w:tc>
        <w:tc>
          <w:tcPr/>
          <w:p>
            <w:pPr>
              <w:pStyle w:val="Compact"/>
            </w:pPr>
            <w:r>
              <w:rPr>
                <w:lang w:val="pt-PT"/>
              </w:rPr>
              <w:t xml:space="preserve">Transcrição (whisperX) + diarização (pyannote.audio) — consulta a API do aplicativo em </w:t>
            </w:r>
            <w:r>
              <w:rPr>
                <w:lang w:val="pt-PT"/>
              </w:rPr>
              <w:t xml:space="preserve"/>
            </w:r>
            <w:r>
              <w:rPr>
                <w:i/>
                <w:iCs/>
                <w:lang w:val="pt-PT"/>
              </w:rPr>
              <w:t xml:space="preserve">pull</w:t>
            </w:r>
          </w:p>
        </w:tc>
        <w:tc>
          <w:tcPr/>
          <w:p>
            <w:pPr>
              <w:pStyle w:val="Compact"/>
            </w:pPr>
            <w:r>
              <w:rPr>
                <w:lang w:val="pt-PT"/>
              </w:rPr>
              <w:t xml:space="preserve">Cliente API 443</w:t>
            </w:r>
          </w:p>
        </w:tc>
      </w:tr>
      <w:tr>
        <w:trPr>
          <w:cantSplit/>
        </w:trPr>
        <w:tc>
          <w:tcPr/>
          <w:p>
            <w:pPr>
              <w:pStyle w:val="Compact"/>
            </w:pPr>
            <w:r>
              <w:rPr>
                <w:b/>
                <w:bCs/>
                <w:lang w:val="pt-PT"/>
              </w:rPr>
              <w:t xml:space="preserve">Mecanismo LLM local</w:t>
            </w:r>
          </w:p>
        </w:tc>
        <w:tc>
          <w:tcPr/>
          <w:p>
            <w:pPr>
              <w:pStyle w:val="Compact"/>
            </w:pPr>
            <w:r>
              <w:rPr>
                <w:lang w:val="pt-PT"/>
              </w:rPr>
              <w:t xml:space="preserve">Inferência LLM auto-hospedada — servidor vLLM, pesos abertos Qwen 3.6 ou modelo Mistral </w:t>
            </w:r>
            <w:r>
              <w:rPr>
                <w:lang w:val="pt-PT"/>
              </w:rPr>
              <w:t xml:space="preserve"/>
            </w:r>
            <w:r>
              <w:rPr>
                <w:rStyle w:val="VerbatimChar"/>
                <w:lang w:val="pt-PT"/>
              </w:rPr>
              <w:t xml:space="preserve">[versões a serem confirmadas] </w:t>
            </w:r>
            <w:r>
              <w:rPr>
                <w:lang w:val="pt-PT"/>
              </w:rPr>
              <w:t xml:space="preserve"/>
            </w:r>
            <w:r>
              <w:rPr>
                <w:lang w:val="pt-PT"/>
              </w:rPr>
              <w:t xml:space="preserve">— para funções de IA</w:t>
            </w:r>
          </w:p>
        </w:tc>
        <w:tc>
          <w:tcPr/>
          <w:p>
            <w:pPr>
              <w:pStyle w:val="Compact"/>
            </w:pPr>
            <w:r>
              <w:rPr>
                <w:rStyle w:val="VerbatimChar"/>
                <w:lang w:val="pt-PT"/>
              </w:rPr>
              <w:t xml:space="preserve">8000/TCP (vLLM)</w:t>
            </w:r>
            <w:r>
              <w:rPr>
                <w:lang w:val="pt-PT"/>
              </w:rPr>
              <w:t xml:space="preserve"> </w:t>
            </w:r>
            <w:r>
              <w:rPr>
                <w:rStyle w:val="VerbatimChar"/>
                <w:lang w:val="pt-PT"/>
              </w:rPr>
              <w:t xml:space="preserve">[a ser confirmado]</w:t>
            </w:r>
          </w:p>
        </w:tc>
      </w:tr>
    </w:tbl>
    <w:bookmarkEnd w:id="47"/>
    <w:bookmarkStart w:id="48" w:name="Xb0369ac646e7b8d075734a6eeb0e3529ecc4cf5"/>
    <w:p>
      <w:pPr>
        <w:pStyle w:val="Heading3"/>
        <w:keepNext/>
        <w:keepLines/>
      </w:pPr>
      <w:r>
        <w:rPr>
          <w:color w:val="000000"/>
          <w:lang w:val="pt-PT"/>
        </w:rPr>
        <w:t xml:space="preserve">2.4 Visão de segurança (macro)</w:t>
      </w:r>
    </w:p>
    <w:p>
      <w:pPr>
        <w:pStyle w:val="FirstParagraph"/>
      </w:pPr>
      <w:r>
        <w:rPr>
          <w:lang w:val="pt-PT"/>
        </w:rPr>
        <w:t xml:space="preserve">A segurança é baseada na defesa em profundidade, aplicada pelo Cliente à sua infraestrutura (a operação local coloca o controlo sobre os controlos no Cliente):</w:t>
      </w:r>
    </w:p>
    <w:p>
      <w:pPr>
        <w:pStyle w:val="Compact"/>
        <w:numPr>
          <w:ilvl w:val="0"/>
          <w:numId w:val="1014"/>
        </w:numPr>
      </w:pPr>
      <w:r>
        <w:rPr>
          <w:b/>
          <w:bCs/>
          <w:lang w:val="pt-PT"/>
        </w:rPr>
        <w:t xml:space="preserve">Particionamento de rede: </w:t>
      </w:r>
      <w:r>
        <w:rPr>
          <w:lang w:val="pt-PT"/>
        </w:rPr>
        <w:t xml:space="preserve"/>
      </w:r>
      <w:r>
        <w:rPr>
          <w:lang w:val="pt-PT"/>
        </w:rPr>
        <w:t xml:space="preserve">segmentação de VLAN (servidores de aplicação, administração, armazenamento/replicação); os fluxos entre segmentos são filtrados pelo firewall do Cliente.</w:t>
      </w:r>
    </w:p>
    <w:p>
      <w:pPr>
        <w:pStyle w:val="Compact"/>
        <w:numPr>
          <w:ilvl w:val="0"/>
          <w:numId w:val="1014"/>
        </w:numPr>
      </w:pPr>
      <w:r>
        <w:rPr>
          <w:b/>
          <w:bCs/>
          <w:lang w:val="pt-PT"/>
        </w:rPr>
        <w:t xml:space="preserve">Exposição Mínima: </w:t>
      </w:r>
      <w:r>
        <w:rPr>
          <w:lang w:val="pt-PT"/>
        </w:rPr>
        <w:t xml:space="preserve"/>
      </w:r>
      <w:r>
        <w:rPr>
          <w:lang w:val="pt-PT"/>
        </w:rPr>
        <w:t xml:space="preserve">Somente a </w:t>
      </w:r>
      <w:r>
        <w:rPr>
          <w:lang w:val="pt-PT"/>
        </w:rPr>
        <w:t xml:space="preserve">porta </w:t>
      </w:r>
      <w:r>
        <w:rPr>
          <w:b/>
          <w:bCs/>
          <w:lang w:val="pt-PT"/>
        </w:rPr>
        <w:t xml:space="preserve"/>
      </w:r>
      <w:r>
        <w:rPr>
          <w:lang w:val="pt-PT"/>
        </w:rPr>
        <w:t xml:space="preserve">443/TCP </w:t>
      </w:r>
      <w:r>
        <w:rPr>
          <w:lang w:val="pt-PT"/>
        </w:rPr>
        <w:t xml:space="preserve">(HTTPS) é exposta aos utilizadores. Base de dados, cache, WebSocket interno, FastCGI e portas de antivírus nunca são anunciados fora do host/rede do contêiner.</w:t>
      </w:r>
    </w:p>
    <w:p>
      <w:pPr>
        <w:pStyle w:val="Compact"/>
        <w:numPr>
          <w:ilvl w:val="0"/>
          <w:numId w:val="1014"/>
        </w:numPr>
      </w:pPr>
      <w:r>
        <w:rPr>
          <w:b/>
          <w:bCs/>
          <w:lang w:val="pt-PT"/>
        </w:rPr>
        <w:t xml:space="preserve">Cifragem em trânsito: </w:t>
      </w:r>
      <w:r>
        <w:rPr>
          <w:lang w:val="pt-PT"/>
        </w:rPr>
        <w:t xml:space="preserve"/>
      </w:r>
      <w:r>
        <w:rPr>
          <w:lang w:val="pt-PT"/>
        </w:rPr>
        <w:t xml:space="preserve">TLS ≥ 1.2 no acesso do utilizador; TLS interno recomendado para replicação entre salas (ver §11.4).</w:t>
      </w:r>
    </w:p>
    <w:p>
      <w:pPr>
        <w:pStyle w:val="Compact"/>
        <w:numPr>
          <w:ilvl w:val="0"/>
          <w:numId w:val="1014"/>
        </w:numPr>
      </w:pPr>
      <w:r>
        <w:rPr>
          <w:b/>
          <w:bCs/>
          <w:lang w:val="pt-PT"/>
        </w:rPr>
        <w:t xml:space="preserve">Cifragem em repouso: </w:t>
      </w:r>
      <w:r>
        <w:rPr>
          <w:lang w:val="pt-PT"/>
        </w:rPr>
        <w:t xml:space="preserve"/>
      </w:r>
      <w:r>
        <w:rPr>
          <w:lang w:val="pt-PT"/>
        </w:rPr>
        <w:t xml:space="preserve">backups cifrados sistematicamente com </w:t>
      </w:r>
      <w:r>
        <w:rPr>
          <w:lang w:val="pt-PT"/>
        </w:rPr>
        <w:t xml:space="preserve">a </w:t>
      </w:r>
      <w:r>
        <w:rPr>
          <w:rStyle w:val="VerbatimChar"/>
          <w:lang w:val="pt-PT"/>
        </w:rPr>
        <w:t xml:space="preserve">age</w:t>
      </w:r>
      <w:r>
        <w:rPr>
          <w:lang w:val="pt-PT"/>
        </w:rPr>
        <w:t xml:space="preserve"> </w:t>
      </w:r>
      <w:r>
        <w:rPr>
          <w:lang w:val="pt-PT"/>
        </w:rPr>
        <w:t xml:space="preserve">(X25519 + ChaCha20-Poly1305) antes de qualquer armazenamento secundário; cifragem de disco do sistema: </w:t>
      </w:r>
      <w:r>
        <w:rPr>
          <w:lang w:val="pt-PT"/>
        </w:rPr>
        <w:t xml:space="preserve"/>
      </w:r>
      <w:r>
        <w:rPr>
          <w:b/>
          <w:bCs/>
          <w:lang w:val="pt-PT"/>
        </w:rPr>
        <w:t xml:space="preserve">recomendação de implementação </w:t>
      </w:r>
      <w:r>
        <w:rPr>
          <w:lang w:val="pt-PT"/>
        </w:rPr>
        <w:t xml:space="preserve"/>
      </w:r>
      <w:r>
        <w:rPr>
          <w:lang w:val="pt-PT"/>
        </w:rPr>
        <w:t xml:space="preserve">dirigida ao Cliente na sua infra-estrutura (LUKS/FDE), a decidir de acordo com os seus standards.</w:t>
      </w:r>
    </w:p>
    <w:p>
      <w:pPr>
        <w:pStyle w:val="Compact"/>
        <w:numPr>
          <w:ilvl w:val="0"/>
          <w:numId w:val="1014"/>
        </w:numPr>
      </w:pPr>
      <w:r>
        <w:rPr>
          <w:b/>
          <w:bCs/>
          <w:lang w:val="pt-PT"/>
        </w:rPr>
        <w:t xml:space="preserve">Autenticação e autorização: contas </w:t>
      </w:r>
      <w:r>
        <w:rPr>
          <w:lang w:val="pt-PT"/>
        </w:rPr>
        <w:t xml:space="preserve"/>
      </w:r>
      <w:r>
        <w:rPr>
          <w:lang w:val="pt-PT"/>
        </w:rPr>
        <w:t xml:space="preserve">nomeadas, senhas bcrypt (custo 12), 2FA TOTP (RFC 6238) configurável por função, RBAC de 5 níveis, tokens API Sanctum com hash SHA-256.</w:t>
      </w:r>
    </w:p>
    <w:p>
      <w:pPr>
        <w:pStyle w:val="Compact"/>
        <w:numPr>
          <w:ilvl w:val="0"/>
          <w:numId w:val="1014"/>
        </w:numPr>
      </w:pPr>
      <w:r>
        <w:rPr>
          <w:b/>
          <w:bCs/>
          <w:lang w:val="pt-PT"/>
        </w:rPr>
        <w:t xml:space="preserve">Controlo de conteúdos: </w:t>
      </w:r>
      <w:r>
        <w:rPr>
          <w:lang w:val="pt-PT"/>
        </w:rPr>
        <w:t xml:space="preserve"/>
      </w:r>
      <w:r>
        <w:rPr>
          <w:lang w:val="pt-PT"/>
        </w:rPr>
        <w:t xml:space="preserve">análise antivírus ClamAV sistemática em cada carregamento (limite de 2 GB, rejeição + alerta, comportamento </w:t>
      </w:r>
      <w:r>
        <w:rPr>
          <w:lang w:val="pt-PT"/>
        </w:rPr>
        <w:t xml:space="preserve"/>
      </w:r>
      <w:r>
        <w:rPr>
          <w:i/>
          <w:iCs/>
          <w:lang w:val="pt-PT"/>
        </w:rPr>
        <w:t xml:space="preserve">fail-open </w:t>
      </w:r>
      <w:r>
        <w:rPr>
          <w:lang w:val="pt-PT"/>
        </w:rPr>
        <w:t xml:space="preserve"/>
      </w:r>
      <w:r>
        <w:rPr>
          <w:lang w:val="pt-PT"/>
        </w:rPr>
        <w:t xml:space="preserve">registado).</w:t>
      </w:r>
    </w:p>
    <w:p>
      <w:pPr>
        <w:pStyle w:val="Compact"/>
        <w:numPr>
          <w:ilvl w:val="0"/>
          <w:numId w:val="1014"/>
        </w:numPr>
      </w:pPr>
      <w:r>
        <w:rPr>
          <w:b/>
          <w:bCs/>
          <w:lang w:val="pt-PT"/>
        </w:rPr>
        <w:t xml:space="preserve">Anti-SSRF: </w:t>
      </w:r>
      <w:r>
        <w:rPr>
          <w:lang w:val="pt-PT"/>
        </w:rPr>
        <w:t xml:space="preserve"/>
      </w:r>
      <w:r>
        <w:rPr>
          <w:lang w:val="pt-PT"/>
        </w:rPr>
        <w:t xml:space="preserve">proteção dos endpoints LLM da organização (validação de IP, fixação de DNS, bloqueio de intervalos privados / metadata / loopback).</w:t>
      </w:r>
    </w:p>
    <w:p>
      <w:pPr>
        <w:pStyle w:val="Compact"/>
        <w:numPr>
          <w:ilvl w:val="0"/>
          <w:numId w:val="1014"/>
        </w:numPr>
      </w:pPr>
      <w:r>
        <w:rPr>
          <w:b/>
          <w:bCs/>
          <w:lang w:val="pt-PT"/>
        </w:rPr>
        <w:t xml:space="preserve">Registo em log: </w:t>
      </w:r>
      <w:r>
        <w:rPr>
          <w:lang w:val="pt-PT"/>
        </w:rPr>
        <w:t xml:space="preserve"/>
      </w:r>
      <w:r>
        <w:rPr>
          <w:lang w:val="pt-PT"/>
        </w:rPr>
        <w:t xml:space="preserve">trilha de auditoria por organização (</w:t>
      </w:r>
      <w:r>
        <w:rPr>
          <w:rStyle w:val="VerbatimChar"/>
          <w:lang w:val="pt-PT"/>
        </w:rPr>
        <w:t xml:space="preserve">activity_logs</w:t>
      </w:r>
      <w:r>
        <w:rPr>
          <w:lang w:val="pt-PT"/>
        </w:rPr>
        <w:t xml:space="preserve">) e plataforma (</w:t>
      </w:r>
      <w:r>
        <w:rPr>
          <w:rStyle w:val="VerbatimChar"/>
          <w:lang w:val="pt-PT"/>
        </w:rPr>
        <w:t xml:space="preserve">public.audit_logs</w:t>
      </w:r>
      <w:r>
        <w:rPr>
          <w:lang w:val="pt-PT"/>
        </w:rPr>
        <w:t xml:space="preserve">), CSV/JSON exportável.</w:t>
      </w:r>
    </w:p>
    <w:p>
      <w:pPr>
        <w:pStyle w:val="Compact"/>
        <w:numPr>
          <w:ilvl w:val="0"/>
          <w:numId w:val="1014"/>
        </w:numPr>
      </w:pPr>
      <w:r>
        <w:rPr>
          <w:b/>
          <w:bCs/>
          <w:lang w:val="pt-PT"/>
        </w:rPr>
        <w:t xml:space="preserve">Isolamento multilocatário: </w:t>
      </w:r>
      <w:r>
        <w:rPr>
          <w:lang w:val="pt-PT"/>
        </w:rPr>
        <w:t xml:space="preserve"/>
      </w:r>
      <w:r>
        <w:rPr>
          <w:lang w:val="pt-PT"/>
        </w:rPr>
        <w:t xml:space="preserve">um esquema PostgreSQL separado por organização.</w:t>
      </w:r>
    </w:p>
    <w:p>
      <w:r>
        <w:pict>
          <v:rect style="width:0;height:1.5pt" o:hralign="center" o:hrstd="t" o:hr="t"/>
        </w:pict>
      </w:r>
    </w:p>
    <w:bookmarkEnd w:id="48"/>
    <w:bookmarkEnd w:id="49"/>
    <w:bookmarkStart w:id="53" w:name="X48e46e40586f014431d47bd1da02da7063d6f0a"/>
    <w:p>
      <w:pPr>
        <w:pStyle w:val="Heading2"/>
        <w:keepNext/>
        <w:keepLines/>
      </w:pPr>
      <w:r>
        <w:rPr>
          <w:color w:val="000000"/>
          <w:lang w:val="pt-PT"/>
        </w:rPr>
        <w:t xml:space="preserve">3. Arquitetura de baixo nível (configurações, funções implementadas, diagrama de conexão)</w:t>
      </w:r>
    </w:p>
    <w:bookmarkStart w:id="50" w:name="X1f65b7a505ed9f2c619e656facf27abd62c178d"/>
    <w:p>
      <w:pPr>
        <w:pStyle w:val="Heading3"/>
        <w:keepNext/>
        <w:keepLines/>
      </w:pPr>
      <w:r>
        <w:rPr>
          <w:color w:val="000000"/>
          <w:lang w:val="pt-PT"/>
        </w:rPr>
        <w:t xml:space="preserve">3.1 Funções implementadas por componente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Componente</w:t>
            </w:r>
          </w:p>
        </w:tc>
        <w:tc>
          <w:tcPr/>
          <w:p>
            <w:pPr>
              <w:pStyle w:val="Compact"/>
            </w:pPr>
            <w:r>
              <w:rPr>
                <w:lang w:val="pt-PT"/>
              </w:rPr>
              <w:t xml:space="preserve">Funções implementadas</w:t>
            </w:r>
          </w:p>
        </w:tc>
      </w:tr>
      <w:tr>
        <w:trPr>
          <w:cantSplit/>
        </w:trPr>
        <w:tc>
          <w:tcPr/>
          <w:p>
            <w:pPr>
              <w:pStyle w:val="Compact"/>
            </w:pPr>
            <w:r>
              <w:rPr>
                <w:lang w:val="pt-PT"/>
              </w:rPr>
              <w:t xml:space="preserve">nginx</w:t>
            </w:r>
          </w:p>
        </w:tc>
        <w:tc>
          <w:tcPr/>
          <w:p>
            <w:pPr>
              <w:pStyle w:val="Compact"/>
            </w:pPr>
            <w:r>
              <w:rPr>
                <w:lang w:val="pt-PT"/>
              </w:rPr>
              <w:t xml:space="preserve">Terminação HTTP interna; cabeçalhos de segurança (HSTS, X-Frame-Options SAMEORIGIN, X-Content-Type-Options nosniff, Referrer-Policy, CSP, Permissions-Policy); compressão gzip das respostas JSON; limite do corpo do pedido de 2500 MB; encaminhamento </w:t>
            </w:r>
            <w:r>
              <w:rPr>
                <w:lang w:val="pt-PT"/>
              </w:rPr>
              <w:t xml:space="preserve"/>
            </w:r>
            <w:r>
              <w:rPr>
                <w:rStyle w:val="VerbatimChar"/>
                <w:lang w:val="pt-PT"/>
              </w:rPr>
              <w:t xml:space="preserve">/api</w:t>
            </w:r>
            <w:r>
              <w:rPr>
                <w:lang w:val="pt-PT"/>
              </w:rPr>
              <w:t xml:space="preserve"> </w:t>
            </w:r>
            <w:r>
              <w:rPr>
                <w:lang w:val="pt-PT"/>
              </w:rPr>
              <w:t xml:space="preserve">→ app:9000, </w:t>
            </w:r>
            <w:r>
              <w:rPr>
                <w:lang w:val="pt-PT"/>
              </w:rPr>
              <w:t xml:space="preserve"/>
            </w:r>
            <w:r>
              <w:rPr>
                <w:rStyle w:val="VerbatimChar"/>
                <w:lang w:val="pt-PT"/>
              </w:rPr>
              <w:t xml:space="preserve">/reverb/</w:t>
            </w:r>
            <w:r>
              <w:rPr>
                <w:lang w:val="pt-PT"/>
              </w:rPr>
              <w:t xml:space="preserve"> </w:t>
            </w:r>
            <w:r>
              <w:rPr>
                <w:lang w:val="pt-PT"/>
              </w:rPr>
              <w:t xml:space="preserve">→ reverb:8080, </w:t>
            </w:r>
            <w:r>
              <w:rPr>
                <w:lang w:val="pt-PT"/>
              </w:rPr>
              <w:t xml:space="preserve"/>
            </w:r>
            <w:r>
              <w:rPr>
                <w:rStyle w:val="VerbatimChar"/>
                <w:lang w:val="pt-PT"/>
              </w:rPr>
              <w:t xml:space="preserve"/>
            </w:r>
            <w:r>
              <w:rPr>
                <w:lang w:val="pt-PT"/>
              </w:rPr>
              <w:t xml:space="preserve"/>
            </w:r>
            <w:r>
              <w:rPr>
                <w:lang w:val="pt-PT"/>
              </w:rPr>
              <w:t xml:space="preserve">/ → frontend:5173; bloqueio de extensões executáveis em </w:t>
            </w:r>
            <w:r>
              <w:rPr>
                <w:lang w:val="pt-PT"/>
              </w:rPr>
              <w:t xml:space="preserve"/>
            </w:r>
            <w:r>
              <w:rPr>
                <w:rStyle w:val="VerbatimChar"/>
                <w:lang w:val="pt-PT"/>
              </w:rPr>
              <w:t xml:space="preserve">/storage</w:t>
            </w:r>
          </w:p>
        </w:tc>
      </w:tr>
      <w:tr>
        <w:trPr>
          <w:cantSplit/>
        </w:trPr>
        <w:tc>
          <w:tcPr/>
          <w:p>
            <w:pPr>
              <w:pStyle w:val="Compact"/>
            </w:pPr>
            <w:r>
              <w:rPr>
                <w:lang w:val="pt-PT"/>
              </w:rPr>
              <w:t xml:space="preserve">app (Laravel)</w:t>
            </w:r>
          </w:p>
        </w:tc>
        <w:tc>
          <w:tcPr/>
          <w:p>
            <w:pPr>
              <w:pStyle w:val="Compact"/>
            </w:pPr>
            <w:r>
              <w:rPr>
                <w:lang w:val="pt-PT"/>
              </w:rPr>
              <w:t xml:space="preserve">API REST versionada (</w:t>
            </w:r>
            <w:r>
              <w:rPr>
                <w:rStyle w:val="VerbatimChar"/>
                <w:lang w:val="pt-PT"/>
              </w:rPr>
              <w:t xml:space="preserve">/api/v1</w:t>
            </w:r>
            <w:r>
              <w:rPr>
                <w:lang w:val="pt-PT"/>
              </w:rPr>
              <w:t xml:space="preserve">); autenticação Sanctum; middleware </w:t>
            </w:r>
            <w:r>
              <w:rPr>
                <w:lang w:val="pt-PT"/>
              </w:rPr>
              <w:t xml:space="preserve"/>
            </w:r>
            <w:r>
              <w:rPr>
                <w:rStyle w:val="VerbatimChar"/>
                <w:lang w:val="pt-PT"/>
              </w:rPr>
              <w:t xml:space="preserve">SetTenantSchema</w:t>
            </w:r>
            <w:r>
              <w:rPr>
                <w:lang w:val="pt-PT"/>
              </w:rPr>
              <w:t xml:space="preserve"> </w:t>
            </w:r>
            <w:r>
              <w:rPr>
                <w:lang w:val="pt-PT"/>
              </w:rPr>
              <w:t xml:space="preserve">(resolução da organização </w:t>
            </w:r>
            <w:r>
              <w:rPr>
                <w:lang w:val="pt-PT"/>
              </w:rPr>
              <w:t xml:space="preserve">→ </w:t>
            </w:r>
            <w:r>
              <w:rPr>
                <w:rStyle w:val="VerbatimChar"/>
                <w:lang w:val="pt-PT"/>
              </w:rPr>
              <w:t xml:space="preserve">SET search_path</w:t>
            </w:r>
            <w:r>
              <w:rPr>
                <w:lang w:val="pt-PT"/>
              </w:rPr>
              <w:t xml:space="preserve">); RBAC; limitação da frequência dos pedidos; políticas; geração de URL assinados temporários (30 min) para transmissão de áudio; orquestração do processo de transcrição</w:t>
            </w:r>
          </w:p>
        </w:tc>
      </w:tr>
      <w:tr>
        <w:trPr>
          <w:cantSplit/>
        </w:trPr>
        <w:tc>
          <w:tcPr/>
          <w:p>
            <w:pPr>
              <w:pStyle w:val="Compact"/>
            </w:pPr>
            <w:r>
              <w:rPr>
                <w:lang w:val="pt-PT"/>
              </w:rPr>
              <w:t xml:space="preserve">queue / queue-ai / queue-media</w:t>
            </w:r>
          </w:p>
        </w:tc>
        <w:tc>
          <w:tcPr/>
          <w:p>
            <w:pPr>
              <w:pStyle w:val="Compact"/>
            </w:pPr>
            <w:r>
              <w:rPr>
                <w:lang w:val="pt-PT"/>
              </w:rPr>
              <w:t xml:space="preserve">Processamento assíncrono: exportações de Word, gerações de IA, fusão de áudio (ffmpeg)</w:t>
            </w:r>
          </w:p>
        </w:tc>
      </w:tr>
      <w:tr>
        <w:trPr>
          <w:cantSplit/>
        </w:trPr>
        <w:tc>
          <w:tcPr/>
          <w:p>
            <w:pPr>
              <w:pStyle w:val="Compact"/>
            </w:pPr>
            <w:r>
              <w:rPr>
                <w:lang w:val="pt-PT"/>
              </w:rPr>
              <w:t xml:space="preserve">scheduler</w:t>
            </w:r>
          </w:p>
        </w:tc>
        <w:tc>
          <w:tcPr/>
          <w:p>
            <w:pPr>
              <w:pStyle w:val="Compact"/>
            </w:pPr>
            <w:r>
              <w:rPr>
                <w:lang w:val="pt-PT"/>
              </w:rPr>
              <w:t xml:space="preserve">Tarefas agendadas: limpeza, backups, watchdog para retomar processamento bloqueado</w:t>
            </w:r>
          </w:p>
        </w:tc>
      </w:tr>
      <w:tr>
        <w:trPr>
          <w:cantSplit/>
        </w:trPr>
        <w:tc>
          <w:tcPr/>
          <w:p>
            <w:pPr>
              <w:pStyle w:val="Compact"/>
            </w:pPr>
            <w:r>
              <w:rPr>
                <w:lang w:val="pt-PT"/>
              </w:rPr>
              <w:t xml:space="preserve">reverb</w:t>
            </w:r>
          </w:p>
        </w:tc>
        <w:tc>
          <w:tcPr/>
          <w:p>
            <w:pPr>
              <w:pStyle w:val="Compact"/>
            </w:pPr>
            <w:r>
              <w:rPr>
                <w:lang w:val="pt-PT"/>
              </w:rPr>
              <w:t xml:space="preserve">Transmissão de eventos em tempo real (progresso da transcrição, notificações)</w:t>
            </w:r>
          </w:p>
        </w:tc>
      </w:tr>
      <w:tr>
        <w:trPr>
          <w:cantSplit/>
        </w:trPr>
        <w:tc>
          <w:tcPr/>
          <w:p>
            <w:pPr>
              <w:pStyle w:val="Compact"/>
            </w:pPr>
            <w:r>
              <w:rPr>
                <w:lang w:val="pt-PT"/>
              </w:rPr>
              <w:t xml:space="preserve">postgres</w:t>
            </w:r>
          </w:p>
        </w:tc>
        <w:tc>
          <w:tcPr/>
          <w:p>
            <w:pPr>
              <w:pStyle w:val="Compact"/>
            </w:pPr>
            <w:r>
              <w:rPr>
                <w:lang w:val="pt-PT"/>
              </w:rPr>
              <w:t xml:space="preserve">Persistência transacional, isolamento de esquema por organização, replicação de streaming para a Sala B</w:t>
            </w:r>
          </w:p>
        </w:tc>
      </w:tr>
      <w:tr>
        <w:trPr>
          <w:cantSplit/>
        </w:trPr>
        <w:tc>
          <w:tcPr/>
          <w:p>
            <w:pPr>
              <w:pStyle w:val="Compact"/>
            </w:pPr>
            <w:r>
              <w:rPr>
                <w:lang w:val="pt-PT"/>
              </w:rPr>
              <w:t xml:space="preserve">redis</w:t>
            </w:r>
          </w:p>
        </w:tc>
        <w:tc>
          <w:tcPr/>
          <w:p>
            <w:pPr>
              <w:pStyle w:val="Compact"/>
            </w:pPr>
            <w:r>
              <w:rPr>
                <w:lang w:val="pt-PT"/>
              </w:rPr>
              <w:t xml:space="preserve">Cache de aplicativo, armazenamento de sessão, back-end de fila</w:t>
            </w:r>
          </w:p>
        </w:tc>
      </w:tr>
      <w:tr>
        <w:trPr>
          <w:cantSplit/>
        </w:trPr>
        <w:tc>
          <w:tcPr/>
          <w:p>
            <w:pPr>
              <w:pStyle w:val="Compact"/>
            </w:pPr>
            <w:r>
              <w:rPr>
                <w:lang w:val="pt-PT"/>
              </w:rPr>
              <w:t xml:space="preserve">clamav</w:t>
            </w:r>
          </w:p>
        </w:tc>
        <w:tc>
          <w:tcPr/>
          <w:p>
            <w:pPr>
              <w:pStyle w:val="Compact"/>
            </w:pPr>
            <w:r>
              <w:rPr>
                <w:lang w:val="pt-PT"/>
              </w:rPr>
              <w:t xml:space="preserve">Análise antivírus de ficheiros carregados, atualização de assinaturas (freshclam; offline em ambiente isolado — ver ficheiro operacional)</w:t>
            </w:r>
          </w:p>
        </w:tc>
      </w:tr>
      <w:tr>
        <w:trPr>
          <w:cantSplit/>
        </w:trPr>
        <w:tc>
          <w:tcPr/>
          <w:p>
            <w:pPr>
              <w:pStyle w:val="Compact"/>
            </w:pPr>
            <w:r>
              <w:rPr>
                <w:lang w:val="pt-PT"/>
              </w:rPr>
              <w:t xml:space="preserve">Servidor GPU</w:t>
            </w:r>
          </w:p>
        </w:tc>
        <w:tc>
          <w:tcPr/>
          <w:p>
            <w:pPr>
              <w:pStyle w:val="Compact"/>
            </w:pPr>
            <w:r>
              <w:rPr>
                <w:lang w:val="pt-PT"/>
              </w:rPr>
              <w:t xml:space="preserve">transcrição whisperX, diarização pyannote.audio; consulta </w:t>
            </w:r>
            <w:r>
              <w:rPr>
                <w:lang w:val="pt-PT"/>
              </w:rPr>
              <w:t xml:space="preserve"/>
            </w:r>
            <w:r>
              <w:rPr>
                <w:rStyle w:val="VerbatimChar"/>
                <w:lang w:val="pt-PT"/>
              </w:rPr>
              <w:t xml:space="preserve">GET /api/files/pending</w:t>
            </w:r>
            <w:r>
              <w:rPr>
                <w:lang w:val="pt-PT"/>
              </w:rPr>
              <w:t xml:space="preserve">, retorna progresso e resultado</w:t>
            </w:r>
          </w:p>
        </w:tc>
      </w:tr>
      <w:tr>
        <w:trPr>
          <w:cantSplit/>
        </w:trPr>
        <w:tc>
          <w:tcPr/>
          <w:p>
            <w:pPr>
              <w:pStyle w:val="Compact"/>
            </w:pPr>
            <w:r>
              <w:rPr>
                <w:lang w:val="pt-PT"/>
              </w:rPr>
              <w:t xml:space="preserve">LLM local</w:t>
            </w:r>
          </w:p>
        </w:tc>
        <w:tc>
          <w:tcPr/>
          <w:p>
            <w:pPr>
              <w:pStyle w:val="Compact"/>
            </w:pPr>
            <w:r>
              <w:rPr>
                <w:lang w:val="pt-PT"/>
              </w:rPr>
              <w:t xml:space="preserve">Inferência para correção, resumo, atas, capítulos, sugestão de palestrantes</w:t>
            </w:r>
          </w:p>
        </w:tc>
      </w:tr>
    </w:tbl>
    <w:bookmarkEnd w:id="50"/>
    <w:bookmarkStart w:id="51" w:name="X4c718047b021ddcf825ef6b88184c7e46099498"/>
    <w:p>
      <w:pPr>
        <w:pStyle w:val="Heading3"/>
        <w:keepNext/>
        <w:keepLines/>
      </w:pPr>
      <w:r>
        <w:rPr>
          <w:color w:val="000000"/>
          <w:lang w:val="pt-PT"/>
        </w:rPr>
        <w:t xml:space="preserve">3.2 Conexão sinóptica entre equipamentos (Sala A — ativa)</w:t>
      </w:r>
    </w:p>
    <w:p>
      <w:pPr>
        <w:pStyle w:val="SourceCode"/>
      </w:pPr>
      <w:r>
        <w:rPr>
          <w:rStyle w:val="VerbatimChar"/>
          <w:rFonts w:ascii="Courier New" w:hAnsi="Courier New" w:eastAsia="Courier New" w:cs="Courier New"/>
          <w:sz w:val="19"/>
          <w:szCs w:val="19"/>
        </w:rPr>
        <w:t xml:space="preserve">[postos de trabalho / rede de escritório]</w:t>
        <w:br/>
        <w:t xml:space="preserve">  | 443/TCP (HTTPS)</w:t>
        <w:br/>
        <w:t xml:space="preserve">  v</w:t>
        <w:br/>
        <w:t xml:space="preserve">[Firewall / LB (equipamento do Cliente)]</w:t>
        <w:br/>
        <w:t xml:space="preserve">  | 443/TCP</w:t>
        <w:br/>
        <w:t xml:space="preserve">  v</w:t>
        <w:br/>
        <w:t xml:space="preserve">[SERVIDOR DA APLICAÇÃO (host Docker)]</w:t>
        <w:br/>
        <w:t xml:space="preserve">  | nginx --9000--&gt; app</w:t>
        <w:br/>
        <w:t xml:space="preserve">  | nginx --5173--&gt; frontend</w:t>
        <w:br/>
        <w:t xml:space="preserve">  | nginx --8080--&gt; reverb</w:t>
        <w:br/>
        <w:t xml:space="preserve">  | 5432: postgres; 6379: redis; 3310: clamav</w:t>
        <w:br/>
        <w:t xml:space="preserve">  | postgres -- 5432/TCP replicação streaming assíncrona para Sala B</w:t>
        <w:br/>
        <w:t xml:space="preserve">  |</w:t>
        <w:br/>
        <w:t xml:space="preserve">[Servidor GPU (transcrição + LLM local)]</w:t>
        <w:br/>
        <w:t xml:space="preserve">  | transcript. (whisperX + pyannote) --443--&gt; API app (poll)</w:t>
        <w:br/>
        <w:t xml:space="preserve">  | transcript. &lt;--------------------------&gt; API app (poll)</w:t>
        <w:br/>
        <w:t xml:space="preserve">  \ LLM local &lt;----[p. ex. 8000]---- app (pedidos IA)</w:t>
      </w:r>
    </w:p>
    <w:p>
      <w:pPr>
        <w:pStyle w:val="FirstParagraph"/>
      </w:pPr>
      <w:r>
        <w:rPr>
          <w:i/>
          <w:iCs/>
          <w:lang w:val="pt-PT"/>
        </w:rPr>
        <w:t xml:space="preserve">Este sinóptico será fornecido no formato Microsoft Visio (.vsdx) durante a fase de implementação, complementado com elementos específicos do site.</w:t>
      </w:r>
    </w:p>
    <w:bookmarkEnd w:id="51"/>
    <w:bookmarkStart w:id="52" w:name="X4a70102ccb627c87587d24a9ae8819a917780ab"/>
    <w:p>
      <w:pPr>
        <w:pStyle w:val="Heading3"/>
        <w:keepNext/>
        <w:keepLines/>
      </w:pPr>
      <w:r>
        <w:rPr>
          <w:color w:val="000000"/>
          <w:lang w:val="pt-PT"/>
        </w:rPr>
        <w:t xml:space="preserve">3.3 Configuração de conteinerização</w:t>
      </w:r>
    </w:p>
    <w:p>
      <w:pPr>
        <w:pStyle w:val="Compact"/>
        <w:numPr>
          <w:ilvl w:val="0"/>
          <w:numId w:val="1015"/>
        </w:numPr>
      </w:pPr>
      <w:r>
        <w:rPr>
          <w:lang w:val="pt-PT"/>
        </w:rPr>
        <w:t xml:space="preserve">Orquestração </w:t>
      </w:r>
      <w:r>
        <w:rPr>
          <w:lang w:val="pt-PT"/>
        </w:rPr>
        <w:t xml:space="preserve"/>
      </w:r>
      <w:r>
        <w:rPr>
          <w:b/>
          <w:bCs/>
          <w:lang w:val="pt-PT"/>
        </w:rPr>
        <w:t xml:space="preserve">Docker Compose; </w:t>
      </w:r>
      <w:r>
        <w:rPr>
          <w:lang w:val="pt-PT"/>
        </w:rPr>
        <w:t xml:space="preserve"/>
      </w:r>
      <w:r>
        <w:rPr>
          <w:lang w:val="pt-PT"/>
        </w:rPr>
        <w:t xml:space="preserve">cada serviço é isolado, com limites de recursos definidos (memória/CPU).</w:t>
      </w:r>
    </w:p>
    <w:p>
      <w:pPr>
        <w:pStyle w:val="Compact"/>
        <w:numPr>
          <w:ilvl w:val="0"/>
          <w:numId w:val="1015"/>
        </w:numPr>
      </w:pPr>
      <w:r>
        <w:rPr>
          <w:lang w:val="pt-PT"/>
        </w:rPr>
        <w:t xml:space="preserve">Proteção de contêiner: </w:t>
      </w:r>
      <w:r>
        <w:rPr>
          <w:lang w:val="pt-PT"/>
        </w:rPr>
        <w:t xml:space="preserve"/>
      </w:r>
      <w:r>
        <w:rPr>
          <w:rStyle w:val="VerbatimChar"/>
          <w:lang w:val="pt-PT"/>
        </w:rPr>
        <w:t xml:space="preserve">no-new-privileges:true</w:t>
      </w:r>
      <w:r>
        <w:rPr>
          <w:lang w:val="pt-PT"/>
        </w:rPr>
        <w:t xml:space="preserve">, </w:t>
      </w:r>
      <w:r>
        <w:rPr>
          <w:lang w:val="pt-PT"/>
        </w:rPr>
        <w:t xml:space="preserve"/>
      </w:r>
      <w:r>
        <w:rPr>
          <w:rStyle w:val="VerbatimChar"/>
          <w:lang w:val="pt-PT"/>
        </w:rPr>
        <w:t xml:space="preserve">cap_drop: ALL</w:t>
      </w:r>
      <w:r>
        <w:rPr>
          <w:lang w:val="pt-PT"/>
        </w:rPr>
        <w:t xml:space="preserve"> </w:t>
      </w:r>
      <w:r>
        <w:rPr>
          <w:lang w:val="pt-PT"/>
        </w:rPr>
        <w:t xml:space="preserve">(o nginx mantém apenas </w:t>
      </w:r>
      <w:r>
        <w:rPr>
          <w:lang w:val="pt-PT"/>
        </w:rPr>
        <w:t xml:space="preserve"/>
      </w:r>
      <w:r>
        <w:rPr>
          <w:rStyle w:val="VerbatimChar"/>
          <w:lang w:val="pt-PT"/>
        </w:rPr>
        <w:t xml:space="preserve">NET_BIND_SERVICE</w:t>
      </w:r>
      <w:r>
        <w:rPr>
          <w:lang w:val="pt-PT"/>
        </w:rPr>
        <w:t xml:space="preserve">, </w:t>
      </w:r>
      <w:r>
        <w:rPr>
          <w:lang w:val="pt-PT"/>
        </w:rPr>
        <w:t xml:space="preserve"/>
      </w:r>
      <w:r>
        <w:rPr>
          <w:rStyle w:val="VerbatimChar"/>
          <w:lang w:val="pt-PT"/>
        </w:rPr>
        <w:t xml:space="preserve">CHOWN</w:t>
      </w:r>
      <w:r>
        <w:rPr>
          <w:lang w:val="pt-PT"/>
        </w:rPr>
        <w:t xml:space="preserve">, </w:t>
      </w:r>
      <w:r>
        <w:rPr>
          <w:lang w:val="pt-PT"/>
        </w:rPr>
        <w:t xml:space="preserve"/>
      </w:r>
      <w:r>
        <w:rPr>
          <w:rStyle w:val="VerbatimChar"/>
          <w:lang w:val="pt-PT"/>
        </w:rPr>
        <w:t xml:space="preserve">SETUID</w:t>
      </w:r>
      <w:r>
        <w:rPr>
          <w:lang w:val="pt-PT"/>
        </w:rPr>
        <w:t xml:space="preserve">, </w:t>
      </w:r>
      <w:r>
        <w:rPr>
          <w:lang w:val="pt-PT"/>
        </w:rPr>
        <w:t xml:space="preserve"/>
      </w:r>
      <w:r>
        <w:rPr>
          <w:rStyle w:val="VerbatimChar"/>
          <w:lang w:val="pt-PT"/>
        </w:rPr>
        <w:t xml:space="preserve">SETGID</w:t>
      </w:r>
      <w:r>
        <w:rPr>
          <w:lang w:val="pt-PT"/>
        </w:rPr>
        <w:t xml:space="preserve">), sistemas de ficheiros somente leitura quando aplicável, </w:t>
      </w:r>
      <w:r>
        <w:rPr>
          <w:lang w:val="pt-PT"/>
        </w:rPr>
        <w:t xml:space="preserve"/>
      </w:r>
      <w:r>
        <w:rPr>
          <w:rStyle w:val="VerbatimChar"/>
          <w:lang w:val="pt-PT"/>
        </w:rPr>
        <w:t xml:space="preserve">tmpfs</w:t>
      </w:r>
      <w:r>
        <w:rPr>
          <w:lang w:val="pt-PT"/>
        </w:rPr>
        <w:t xml:space="preserve"> </w:t>
      </w:r>
      <w:r>
        <w:rPr>
          <w:lang w:val="pt-PT"/>
        </w:rPr>
        <w:t xml:space="preserve">para diretórios temporários.</w:t>
      </w:r>
    </w:p>
    <w:p>
      <w:pPr>
        <w:pStyle w:val="Compact"/>
        <w:numPr>
          <w:ilvl w:val="0"/>
          <w:numId w:val="1015"/>
        </w:numPr>
      </w:pPr>
      <w:r>
        <w:rPr>
          <w:lang w:val="pt-PT"/>
        </w:rPr>
        <w:t xml:space="preserve">Rede Docker tipo </w:t>
      </w:r>
      <w:r>
        <w:rPr>
          <w:lang w:val="pt-PT"/>
        </w:rPr>
        <w:t xml:space="preserve">ponte </w:t>
      </w:r>
      <w:r>
        <w:rPr>
          <w:i/>
          <w:iCs/>
          <w:lang w:val="pt-PT"/>
        </w:rPr>
        <w:t xml:space="preserve"/>
      </w:r>
      <w:r>
        <w:rPr>
          <w:lang w:val="pt-PT"/>
        </w:rPr>
        <w:t xml:space="preserve">interna: </w:t>
      </w:r>
      <w:r>
        <w:rPr>
          <w:lang w:val="pt-PT"/>
        </w:rPr>
        <w:t xml:space="preserve">os serviços se comunicam por seus nomes de serviço; apenas o nginx está conectado à rede exposta.</w:t>
      </w:r>
    </w:p>
    <w:p>
      <w:pPr>
        <w:pStyle w:val="Compact"/>
        <w:numPr>
          <w:ilvl w:val="0"/>
          <w:numId w:val="1015"/>
        </w:numPr>
      </w:pPr>
      <w:r>
        <w:rPr>
          <w:lang w:val="pt-PT"/>
        </w:rPr>
        <w:t xml:space="preserve">Logs de contêiner rotativos (</w:t>
      </w:r>
      <w:r>
        <w:rPr>
          <w:rStyle w:val="VerbatimChar"/>
          <w:lang w:val="pt-PT"/>
        </w:rPr>
        <w:t xml:space="preserve">json-file</w:t>
      </w:r>
      <w:r>
        <w:rPr>
          <w:lang w:val="pt-PT"/>
        </w:rPr>
        <w:t xml:space="preserve">, máximo de 10 MB × 3 ficheiros por serviço).</w:t>
      </w:r>
    </w:p>
    <w:p>
      <w:r>
        <w:pict>
          <v:rect style="width:0;height:1.5pt" o:hralign="center" o:hrstd="t" o:hr="t"/>
        </w:pict>
      </w:r>
    </w:p>
    <w:bookmarkEnd w:id="52"/>
    <w:bookmarkEnd w:id="53"/>
    <w:bookmarkStart w:id="59" w:name="X21cfb65e0693a6c2cc823cf29069705eca75efb"/>
    <w:p>
      <w:pPr>
        <w:pStyle w:val="Heading2"/>
        <w:keepNext/>
        <w:keepLines/>
      </w:pPr>
      <w:r>
        <w:rPr>
          <w:color w:val="000000"/>
          <w:lang w:val="pt-PT"/>
        </w:rPr>
        <w:t xml:space="preserve">4. Visão geral detalhada da arquitetura</w:t>
      </w:r>
    </w:p>
    <w:p>
      <w:pPr>
        <w:pStyle w:val="FirstParagraph"/>
        <w:keepNext/>
      </w:pPr>
      <w:r>
        <w:drawing>
          <wp:inline>
            <wp:extent cx="5334000" cy="1416473"/>
            <wp:effectExtent b="0" l="0" r="0" t="0"/>
            <wp:docPr descr="Synoptique détaillé de l'architecture" title="" id="55" name="Picture"/>
            <a:graphic>
              <a:graphicData uri="http://schemas.openxmlformats.org/drawingml/2006/picture">
                <pic:pic>
                  <pic:nvPicPr>
                    <pic:cNvPr descr="img/synoptique.png" id="56" name="Picture"/>
                    <pic:cNvPicPr>
                      <a:picLocks noChangeArrowheads="1" noChangeAspect="1"/>
                    </pic:cNvPicPr>
                  </pic:nvPicPr>
                  <pic:blipFill>
                    <a:blip r:embed="rId54"/>
                    <a:stretch>
                      <a:fillRect/>
                    </a:stretch>
                  </pic:blipFill>
                  <pic:spPr bwMode="auto">
                    <a:xfrm>
                      <a:off x="0" y="0"/>
                      <a:ext cx="5334000" cy="1416473"/>
                    </a:xfrm>
                    <a:prstGeom prst="rect">
                      <a:avLst/>
                    </a:prstGeom>
                    <a:noFill/>
                    <a:ln w="9525">
                      <a:noFill/>
                      <a:headEnd/>
                      <a:tailEnd/>
                    </a:ln>
                  </pic:spPr>
                </pic:pic>
              </a:graphicData>
            </a:graphic>
          </wp:inline>
        </w:drawing>
      </w:r>
    </w:p>
    <w:p>
      <w:pPr>
        <w:pStyle w:val="BodyText"/>
        <w:keepLines/>
      </w:pPr>
      <w:r>
        <w:rPr>
          <w:i/>
          <w:iCs/>
          <w:lang w:val="pt-PT"/>
        </w:rPr>
        <w:t xml:space="preserve">Figura 1 — Visão geral detalhada da arquitetura on-premise com duas salas (Sala A, site principal ativo/Sala B, site de backup passivo), componentes e interconexões (versão Visio .vsdx retornada à fase de implementação).</w:t>
      </w:r>
    </w:p>
    <w:bookmarkStart w:id="57" w:name="Xe9ffeb358ec97d2e6a18372b40619bebe3b55e3"/>
    <w:p>
      <w:pPr>
        <w:pStyle w:val="Heading3"/>
        <w:keepNext/>
        <w:keepLines/>
      </w:pPr>
      <w:r>
        <w:rPr>
          <w:color w:val="000000"/>
          <w:lang w:val="pt-PT"/>
        </w:rPr>
        <w:t xml:space="preserve">4.1 Inventário de componentes e localização</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Componente</w:t>
            </w:r>
          </w:p>
        </w:tc>
        <w:tc>
          <w:tcPr>
            <w:tcW w:type="dxa" w:w="1560"/>
            <w:tcMar>
              <w:left w:type="dxa" w:w="80"/>
              <w:right w:type="dxa" w:w="80"/>
            </w:tcMar>
          </w:tcPr>
          <w:p>
            <w:pPr>
              <w:pStyle w:val="Compact"/>
            </w:pPr>
            <w:r>
              <w:rPr>
                <w:sz w:val="19"/>
                <w:szCs w:val="19"/>
                <w:lang w:val="pt-PT"/>
              </w:rPr>
              <w:t xml:space="preserve">Quarto</w:t>
            </w:r>
          </w:p>
        </w:tc>
        <w:tc>
          <w:tcPr>
            <w:tcW w:type="dxa" w:w="1560"/>
            <w:tcMar>
              <w:left w:type="dxa" w:w="80"/>
              <w:right w:type="dxa" w:w="80"/>
            </w:tcMar>
          </w:tcPr>
          <w:p>
            <w:pPr>
              <w:pStyle w:val="Compact"/>
            </w:pPr>
            <w:r>
              <w:rPr>
                <w:sz w:val="19"/>
                <w:szCs w:val="19"/>
                <w:lang w:val="pt-PT"/>
              </w:rPr>
              <w:t xml:space="preserve">Bastidor</w:t>
            </w:r>
          </w:p>
        </w:tc>
        <w:tc>
          <w:tcPr>
            <w:tcW w:type="dxa" w:w="1560"/>
            <w:tcMar>
              <w:left w:type="dxa" w:w="80"/>
              <w:right w:type="dxa" w:w="80"/>
            </w:tcMar>
          </w:tcPr>
          <w:p>
            <w:pPr>
              <w:pStyle w:val="Compact"/>
            </w:pPr>
            <w:r>
              <w:rPr>
                <w:sz w:val="19"/>
                <w:szCs w:val="19"/>
                <w:lang w:val="pt-PT"/>
              </w:rPr>
              <w:t xml:space="preserve">Função</w:t>
            </w:r>
          </w:p>
        </w:tc>
        <w:tc>
          <w:tcPr>
            <w:tcW w:type="dxa" w:w="1560"/>
            <w:tcMar>
              <w:left w:type="dxa" w:w="80"/>
              <w:right w:type="dxa" w:w="80"/>
            </w:tcMar>
          </w:tcPr>
          <w:p>
            <w:pPr>
              <w:pStyle w:val="Compact"/>
            </w:pPr>
            <w:r>
              <w:rPr>
                <w:sz w:val="19"/>
                <w:szCs w:val="19"/>
                <w:lang w:val="pt-PT"/>
              </w:rPr>
              <w:t xml:space="preserve">Alimentação elétrica</w:t>
            </w:r>
          </w:p>
        </w:tc>
      </w:tr>
      <w:tr>
        <w:trPr>
          <w:cantSplit/>
        </w:trPr>
        <w:tc>
          <w:tcPr>
            <w:tcW w:type="dxa" w:w="1560"/>
            <w:tcMar>
              <w:left w:type="dxa" w:w="80"/>
              <w:right w:type="dxa" w:w="80"/>
            </w:tcMar>
          </w:tcPr>
          <w:p>
            <w:pPr>
              <w:pStyle w:val="Compact"/>
            </w:pPr>
            <w:r>
              <w:rPr>
                <w:sz w:val="19"/>
                <w:szCs w:val="19"/>
                <w:lang w:val="pt-PT"/>
              </w:rPr>
              <w:t xml:space="preserve">1</w:t>
            </w:r>
          </w:p>
        </w:tc>
        <w:tc>
          <w:tcPr>
            <w:tcW w:type="dxa" w:w="1560"/>
            <w:tcMar>
              <w:left w:type="dxa" w:w="80"/>
              <w:right w:type="dxa" w:w="80"/>
            </w:tcMar>
          </w:tcPr>
          <w:p>
            <w:pPr>
              <w:pStyle w:val="Compact"/>
            </w:pPr>
            <w:r>
              <w:rPr>
                <w:sz w:val="19"/>
                <w:szCs w:val="19"/>
                <w:lang w:val="pt-PT"/>
              </w:rPr>
              <w:t xml:space="preserve">Servidor de aplicativos (ativo)</w:t>
            </w:r>
          </w:p>
        </w:tc>
        <w:tc>
          <w:tcPr>
            <w:tcW w:type="dxa" w:w="1560"/>
            <w:tcMar>
              <w:left w:type="dxa" w:w="80"/>
              <w:right w:type="dxa" w:w="80"/>
            </w:tcMar>
          </w:tcPr>
          <w:p>
            <w:pPr>
              <w:pStyle w:val="Compact"/>
            </w:pPr>
            <w:r>
              <w:rPr>
                <w:sz w:val="19"/>
                <w:szCs w:val="19"/>
                <w:lang w:val="pt-PT"/>
              </w:rPr>
              <w:t xml:space="preserve">Sala A</w:t>
            </w:r>
          </w:p>
        </w:tc>
        <w:tc>
          <w:tcPr>
            <w:tcW w:type="dxa" w:w="1560"/>
            <w:tcMar>
              <w:left w:type="dxa" w:w="80"/>
              <w:right w:type="dxa" w:w="80"/>
            </w:tcMar>
          </w:tcPr>
          <w:p>
            <w:pPr>
              <w:pStyle w:val="Compact"/>
            </w:pPr>
            <w:r>
              <w:rPr>
                <w:rStyle w:val="VerbatimChar"/>
                <w:sz w:val="19"/>
                <w:szCs w:val="19"/>
                <w:lang w:val="pt-PT"/>
              </w:rPr>
              <w:t xml:space="preserve">[PARA SER INFORMADO]</w:t>
            </w:r>
          </w:p>
        </w:tc>
        <w:tc>
          <w:tcPr>
            <w:tcW w:type="dxa" w:w="1560"/>
            <w:tcMar>
              <w:left w:type="dxa" w:w="80"/>
              <w:right w:type="dxa" w:w="80"/>
            </w:tcMar>
          </w:tcPr>
          <w:p>
            <w:pPr>
              <w:pStyle w:val="Compact"/>
            </w:pPr>
            <w:r>
              <w:rPr>
                <w:sz w:val="19"/>
                <w:szCs w:val="19"/>
                <w:lang w:val="pt-PT"/>
              </w:rPr>
              <w:t xml:space="preserve">Stack Docker TranscribIA (produção)</w:t>
            </w:r>
          </w:p>
        </w:tc>
        <w:tc>
          <w:tcPr>
            <w:tcW w:type="dxa" w:w="1560"/>
            <w:tcMar>
              <w:left w:type="dxa" w:w="80"/>
              <w:right w:type="dxa" w:w="80"/>
            </w:tcMar>
          </w:tcPr>
          <w:p>
            <w:pPr>
              <w:pStyle w:val="Compact"/>
            </w:pPr>
            <w:r>
              <w:rPr>
                <w:sz w:val="19"/>
                <w:szCs w:val="19"/>
                <w:lang w:val="pt-PT"/>
              </w:rPr>
              <w:t xml:space="preserve">UPS A [A </w:t>
            </w:r>
            <w:r>
              <w:rPr>
                <w:sz w:val="19"/>
                <w:szCs w:val="19"/>
                <w:lang w:val="pt-PT"/>
              </w:rPr>
              <w:t xml:space="preserve"/>
            </w:r>
            <w:r>
              <w:rPr>
                <w:rStyle w:val="VerbatimChar"/>
                <w:sz w:val="19"/>
                <w:szCs w:val="19"/>
                <w:lang w:val="pt-PT"/>
              </w:rPr>
              <w:t xml:space="preserve">PREENCHER]</w:t>
            </w:r>
          </w:p>
        </w:tc>
      </w:tr>
      <w:tr>
        <w:trPr>
          <w:cantSplit/>
        </w:trPr>
        <w:tc>
          <w:tcPr>
            <w:tcW w:type="dxa" w:w="1560"/>
            <w:tcMar>
              <w:left w:type="dxa" w:w="80"/>
              <w:right w:type="dxa" w:w="80"/>
            </w:tcMar>
          </w:tcPr>
          <w:p>
            <w:pPr>
              <w:pStyle w:val="Compact"/>
            </w:pPr>
            <w:r>
              <w:rPr>
                <w:sz w:val="19"/>
                <w:szCs w:val="19"/>
                <w:lang w:val="pt-PT"/>
              </w:rPr>
              <w:t xml:space="preserve">2</w:t>
            </w:r>
          </w:p>
        </w:tc>
        <w:tc>
          <w:tcPr>
            <w:tcW w:type="dxa" w:w="1560"/>
            <w:tcMar>
              <w:left w:type="dxa" w:w="80"/>
              <w:right w:type="dxa" w:w="80"/>
            </w:tcMar>
          </w:tcPr>
          <w:p>
            <w:pPr>
              <w:pStyle w:val="Compact"/>
            </w:pPr>
            <w:r>
              <w:rPr>
                <w:sz w:val="19"/>
                <w:szCs w:val="19"/>
                <w:lang w:val="pt-PT"/>
              </w:rPr>
              <w:t xml:space="preserve">Transcrição de GPU/servidor LLM (ativo)</w:t>
            </w:r>
          </w:p>
        </w:tc>
        <w:tc>
          <w:tcPr>
            <w:tcW w:type="dxa" w:w="1560"/>
            <w:tcMar>
              <w:left w:type="dxa" w:w="80"/>
              <w:right w:type="dxa" w:w="80"/>
            </w:tcMar>
          </w:tcPr>
          <w:p>
            <w:pPr>
              <w:pStyle w:val="Compact"/>
            </w:pPr>
            <w:r>
              <w:rPr>
                <w:sz w:val="19"/>
                <w:szCs w:val="19"/>
                <w:lang w:val="pt-PT"/>
              </w:rPr>
              <w:t xml:space="preserve">Sala A</w:t>
            </w:r>
          </w:p>
        </w:tc>
        <w:tc>
          <w:tcPr>
            <w:tcW w:type="dxa" w:w="1560"/>
            <w:tcMar>
              <w:left w:type="dxa" w:w="80"/>
              <w:right w:type="dxa" w:w="80"/>
            </w:tcMar>
          </w:tcPr>
          <w:p>
            <w:pPr>
              <w:pStyle w:val="Compact"/>
            </w:pPr>
            <w:r>
              <w:rPr>
                <w:rStyle w:val="VerbatimChar"/>
                <w:sz w:val="19"/>
                <w:szCs w:val="19"/>
                <w:lang w:val="pt-PT"/>
              </w:rPr>
              <w:t xml:space="preserve">[PARA SER INFORMADO]</w:t>
            </w:r>
          </w:p>
        </w:tc>
        <w:tc>
          <w:tcPr>
            <w:tcW w:type="dxa" w:w="1560"/>
            <w:tcMar>
              <w:left w:type="dxa" w:w="80"/>
              <w:right w:type="dxa" w:w="80"/>
            </w:tcMar>
          </w:tcPr>
          <w:p>
            <w:pPr>
              <w:pStyle w:val="Compact"/>
            </w:pPr>
            <w:r>
              <w:rPr>
                <w:sz w:val="19"/>
                <w:szCs w:val="19"/>
                <w:lang w:val="pt-PT"/>
              </w:rPr>
              <w:t xml:space="preserve">Transcrição + inferência LLM</w:t>
            </w:r>
          </w:p>
        </w:tc>
        <w:tc>
          <w:tcPr>
            <w:tcW w:type="dxa" w:w="1560"/>
            <w:tcMar>
              <w:left w:type="dxa" w:w="80"/>
              <w:right w:type="dxa" w:w="80"/>
            </w:tcMar>
          </w:tcPr>
          <w:p>
            <w:pPr>
              <w:pStyle w:val="Compact"/>
            </w:pPr>
            <w:r>
              <w:rPr>
                <w:sz w:val="19"/>
                <w:szCs w:val="19"/>
                <w:lang w:val="pt-PT"/>
              </w:rPr>
              <w:t xml:space="preserve">UPS A [A </w:t>
            </w:r>
            <w:r>
              <w:rPr>
                <w:sz w:val="19"/>
                <w:szCs w:val="19"/>
                <w:lang w:val="pt-PT"/>
              </w:rPr>
              <w:t xml:space="preserve"/>
            </w:r>
            <w:r>
              <w:rPr>
                <w:rStyle w:val="VerbatimChar"/>
                <w:sz w:val="19"/>
                <w:szCs w:val="19"/>
                <w:lang w:val="pt-PT"/>
              </w:rPr>
              <w:t xml:space="preserve">PREENCHER]</w:t>
            </w:r>
          </w:p>
        </w:tc>
      </w:tr>
      <w:tr>
        <w:trPr>
          <w:cantSplit/>
        </w:trPr>
        <w:tc>
          <w:tcPr>
            <w:tcW w:type="dxa" w:w="1560"/>
            <w:tcMar>
              <w:left w:type="dxa" w:w="80"/>
              <w:right w:type="dxa" w:w="80"/>
            </w:tcMar>
          </w:tcPr>
          <w:p>
            <w:pPr>
              <w:pStyle w:val="Compact"/>
            </w:pPr>
            <w:r>
              <w:rPr>
                <w:sz w:val="19"/>
                <w:szCs w:val="19"/>
                <w:lang w:val="pt-PT"/>
              </w:rPr>
              <w:t xml:space="preserve">3</w:t>
            </w:r>
          </w:p>
        </w:tc>
        <w:tc>
          <w:tcPr>
            <w:tcW w:type="dxa" w:w="1560"/>
            <w:tcMar>
              <w:left w:type="dxa" w:w="80"/>
              <w:right w:type="dxa" w:w="80"/>
            </w:tcMar>
          </w:tcPr>
          <w:p>
            <w:pPr>
              <w:pStyle w:val="Compact"/>
            </w:pPr>
            <w:r>
              <w:rPr>
                <w:sz w:val="19"/>
                <w:szCs w:val="19"/>
                <w:lang w:val="pt-PT"/>
              </w:rPr>
              <w:t xml:space="preserve">Servidor de aplicativos (backup)</w:t>
            </w:r>
          </w:p>
        </w:tc>
        <w:tc>
          <w:tcPr>
            <w:tcW w:type="dxa" w:w="1560"/>
            <w:tcMar>
              <w:left w:type="dxa" w:w="80"/>
              <w:right w:type="dxa" w:w="80"/>
            </w:tcMar>
          </w:tcPr>
          <w:p>
            <w:pPr>
              <w:pStyle w:val="Compact"/>
            </w:pPr>
            <w:r>
              <w:rPr>
                <w:sz w:val="19"/>
                <w:szCs w:val="19"/>
                <w:lang w:val="pt-PT"/>
              </w:rPr>
              <w:t xml:space="preserve">Quarto B</w:t>
            </w:r>
          </w:p>
        </w:tc>
        <w:tc>
          <w:tcPr>
            <w:tcW w:type="dxa" w:w="1560"/>
            <w:tcMar>
              <w:left w:type="dxa" w:w="80"/>
              <w:right w:type="dxa" w:w="80"/>
            </w:tcMar>
          </w:tcPr>
          <w:p>
            <w:pPr>
              <w:pStyle w:val="Compact"/>
            </w:pPr>
            <w:r>
              <w:rPr>
                <w:rStyle w:val="VerbatimChar"/>
                <w:sz w:val="19"/>
                <w:szCs w:val="19"/>
                <w:lang w:val="pt-PT"/>
              </w:rPr>
              <w:t xml:space="preserve">[PARA SER INFORMADO]</w:t>
            </w:r>
          </w:p>
        </w:tc>
        <w:tc>
          <w:tcPr>
            <w:tcW w:type="dxa" w:w="1560"/>
            <w:tcMar>
              <w:left w:type="dxa" w:w="80"/>
              <w:right w:type="dxa" w:w="80"/>
            </w:tcMar>
          </w:tcPr>
          <w:p>
            <w:pPr>
              <w:pStyle w:val="Compact"/>
            </w:pPr>
            <w:r>
              <w:rPr>
                <w:sz w:val="19"/>
                <w:szCs w:val="19"/>
                <w:lang w:val="pt-PT"/>
              </w:rPr>
              <w:t xml:space="preserve">Stack Docker TranscribIA (em espera)</w:t>
            </w:r>
          </w:p>
        </w:tc>
        <w:tc>
          <w:tcPr>
            <w:tcW w:type="dxa" w:w="1560"/>
            <w:tcMar>
              <w:left w:type="dxa" w:w="80"/>
              <w:right w:type="dxa" w:w="80"/>
            </w:tcMar>
          </w:tcPr>
          <w:p>
            <w:pPr>
              <w:pStyle w:val="Compact"/>
            </w:pPr>
            <w:r>
              <w:rPr>
                <w:sz w:val="19"/>
                <w:szCs w:val="19"/>
                <w:lang w:val="pt-PT"/>
              </w:rPr>
              <w:t xml:space="preserve">UPS B [A </w:t>
            </w:r>
            <w:r>
              <w:rPr>
                <w:sz w:val="19"/>
                <w:szCs w:val="19"/>
                <w:lang w:val="pt-PT"/>
              </w:rPr>
              <w:t xml:space="preserve"/>
            </w:r>
            <w:r>
              <w:rPr>
                <w:rStyle w:val="VerbatimChar"/>
                <w:sz w:val="19"/>
                <w:szCs w:val="19"/>
                <w:lang w:val="pt-PT"/>
              </w:rPr>
              <w:t xml:space="preserve">PREENCHER]</w:t>
            </w:r>
          </w:p>
        </w:tc>
      </w:tr>
      <w:tr>
        <w:trPr>
          <w:cantSplit/>
        </w:trPr>
        <w:tc>
          <w:tcPr>
            <w:tcW w:type="dxa" w:w="1560"/>
            <w:tcMar>
              <w:left w:type="dxa" w:w="80"/>
              <w:right w:type="dxa" w:w="80"/>
            </w:tcMar>
          </w:tcPr>
          <w:p>
            <w:pPr>
              <w:pStyle w:val="Compact"/>
            </w:pPr>
            <w:r>
              <w:rPr>
                <w:sz w:val="19"/>
                <w:szCs w:val="19"/>
                <w:lang w:val="pt-PT"/>
              </w:rPr>
              <w:t xml:space="preserve">4</w:t>
            </w:r>
          </w:p>
        </w:tc>
        <w:tc>
          <w:tcPr>
            <w:tcW w:type="dxa" w:w="1560"/>
            <w:tcMar>
              <w:left w:type="dxa" w:w="80"/>
              <w:right w:type="dxa" w:w="80"/>
            </w:tcMar>
          </w:tcPr>
          <w:p>
            <w:pPr>
              <w:pStyle w:val="Compact"/>
            </w:pPr>
            <w:r>
              <w:rPr>
                <w:sz w:val="19"/>
                <w:szCs w:val="19"/>
                <w:lang w:val="pt-PT"/>
              </w:rPr>
              <w:t xml:space="preserve">Transcrição de GPU/servidor LLM (backup)</w:t>
            </w:r>
          </w:p>
        </w:tc>
        <w:tc>
          <w:tcPr>
            <w:tcW w:type="dxa" w:w="1560"/>
            <w:tcMar>
              <w:left w:type="dxa" w:w="80"/>
              <w:right w:type="dxa" w:w="80"/>
            </w:tcMar>
          </w:tcPr>
          <w:p>
            <w:pPr>
              <w:pStyle w:val="Compact"/>
            </w:pPr>
            <w:r>
              <w:rPr>
                <w:sz w:val="19"/>
                <w:szCs w:val="19"/>
                <w:lang w:val="pt-PT"/>
              </w:rPr>
              <w:t xml:space="preserve">Quarto B</w:t>
            </w:r>
          </w:p>
        </w:tc>
        <w:tc>
          <w:tcPr>
            <w:tcW w:type="dxa" w:w="1560"/>
            <w:tcMar>
              <w:left w:type="dxa" w:w="80"/>
              <w:right w:type="dxa" w:w="80"/>
            </w:tcMar>
          </w:tcPr>
          <w:p>
            <w:pPr>
              <w:pStyle w:val="Compact"/>
            </w:pPr>
            <w:r>
              <w:rPr>
                <w:rStyle w:val="VerbatimChar"/>
                <w:sz w:val="19"/>
                <w:szCs w:val="19"/>
                <w:lang w:val="pt-PT"/>
              </w:rPr>
              <w:t xml:space="preserve">[PARA SER INFORMADO]</w:t>
            </w:r>
          </w:p>
        </w:tc>
        <w:tc>
          <w:tcPr>
            <w:tcW w:type="dxa" w:w="1560"/>
            <w:tcMar>
              <w:left w:type="dxa" w:w="80"/>
              <w:right w:type="dxa" w:w="80"/>
            </w:tcMar>
          </w:tcPr>
          <w:p>
            <w:pPr>
              <w:pStyle w:val="Compact"/>
            </w:pPr>
            <w:r>
              <w:rPr>
                <w:sz w:val="19"/>
                <w:szCs w:val="19"/>
                <w:lang w:val="pt-PT"/>
              </w:rPr>
              <w:t xml:space="preserve">Transcrição + inferência LLM (em espera)</w:t>
            </w:r>
          </w:p>
        </w:tc>
        <w:tc>
          <w:tcPr>
            <w:tcW w:type="dxa" w:w="1560"/>
            <w:tcMar>
              <w:left w:type="dxa" w:w="80"/>
              <w:right w:type="dxa" w:w="80"/>
            </w:tcMar>
          </w:tcPr>
          <w:p>
            <w:pPr>
              <w:pStyle w:val="Compact"/>
            </w:pPr>
            <w:r>
              <w:rPr>
                <w:sz w:val="19"/>
                <w:szCs w:val="19"/>
                <w:lang w:val="pt-PT"/>
              </w:rPr>
              <w:t xml:space="preserve">UPS B [A </w:t>
            </w:r>
            <w:r>
              <w:rPr>
                <w:sz w:val="19"/>
                <w:szCs w:val="19"/>
                <w:lang w:val="pt-PT"/>
              </w:rPr>
              <w:t xml:space="preserve"/>
            </w:r>
            <w:r>
              <w:rPr>
                <w:rStyle w:val="VerbatimChar"/>
                <w:sz w:val="19"/>
                <w:szCs w:val="19"/>
                <w:lang w:val="pt-PT"/>
              </w:rPr>
              <w:t xml:space="preserve">PREENCHER]</w:t>
            </w:r>
          </w:p>
        </w:tc>
      </w:tr>
      <w:tr>
        <w:trPr>
          <w:cantSplit/>
        </w:trPr>
        <w:tc>
          <w:tcPr>
            <w:tcW w:type="dxa" w:w="1560"/>
            <w:tcMar>
              <w:left w:type="dxa" w:w="80"/>
              <w:right w:type="dxa" w:w="80"/>
            </w:tcMar>
          </w:tcPr>
          <w:p>
            <w:pPr>
              <w:pStyle w:val="Compact"/>
            </w:pPr>
            <w:r>
              <w:rPr>
                <w:sz w:val="19"/>
                <w:szCs w:val="19"/>
                <w:lang w:val="pt-PT"/>
              </w:rPr>
              <w:t xml:space="preserve">5</w:t>
            </w:r>
          </w:p>
        </w:tc>
        <w:tc>
          <w:tcPr>
            <w:tcW w:type="dxa" w:w="1560"/>
            <w:tcMar>
              <w:left w:type="dxa" w:w="80"/>
              <w:right w:type="dxa" w:w="80"/>
            </w:tcMar>
          </w:tcPr>
          <w:p>
            <w:pPr>
              <w:pStyle w:val="Compact"/>
            </w:pPr>
            <w:r>
              <w:rPr>
                <w:sz w:val="19"/>
                <w:szCs w:val="19"/>
                <w:lang w:val="pt-PT"/>
              </w:rPr>
              <w:t xml:space="preserve">Armazenamento de backup</w:t>
            </w:r>
          </w:p>
        </w:tc>
        <w:tc>
          <w:tcPr>
            <w:tcW w:type="dxa" w:w="1560"/>
            <w:tcMar>
              <w:left w:type="dxa" w:w="80"/>
              <w:right w:type="dxa" w:w="80"/>
            </w:tcMar>
          </w:tcPr>
          <w:p>
            <w:pPr>
              <w:pStyle w:val="Compact"/>
            </w:pPr>
            <w:r>
              <w:rPr>
                <w:rStyle w:val="VerbatimChar"/>
                <w:sz w:val="19"/>
                <w:szCs w:val="19"/>
                <w:lang w:val="pt-PT"/>
              </w:rPr>
              <w:t xml:space="preserve">[ATENÇÃO: Sala A/Sala B/terceiros]</w:t>
            </w:r>
          </w:p>
        </w:tc>
        <w:tc>
          <w:tcPr>
            <w:tcW w:type="dxa" w:w="1560"/>
            <w:tcMar>
              <w:left w:type="dxa" w:w="80"/>
              <w:right w:type="dxa" w:w="80"/>
            </w:tcMar>
          </w:tcPr>
          <w:p>
            <w:pPr>
              <w:pStyle w:val="Compact"/>
            </w:pPr>
            <w:r>
              <w:rPr>
                <w:rStyle w:val="VerbatimChar"/>
                <w:sz w:val="19"/>
                <w:szCs w:val="19"/>
                <w:lang w:val="pt-PT"/>
              </w:rPr>
              <w:t xml:space="preserve">[PARA SER INFORMADO]</w:t>
            </w:r>
          </w:p>
        </w:tc>
        <w:tc>
          <w:tcPr>
            <w:tcW w:type="dxa" w:w="1560"/>
            <w:tcMar>
              <w:left w:type="dxa" w:w="80"/>
              <w:right w:type="dxa" w:w="80"/>
            </w:tcMar>
          </w:tcPr>
          <w:p>
            <w:pPr>
              <w:pStyle w:val="Compact"/>
            </w:pPr>
            <w:r>
              <w:rPr>
                <w:sz w:val="19"/>
                <w:szCs w:val="19"/>
                <w:lang w:val="pt-PT"/>
              </w:rPr>
              <w:t xml:space="preserve">Depositando backups cifrados</w:t>
            </w:r>
          </w:p>
        </w:tc>
        <w:tc>
          <w:tcPr>
            <w:tcW w:type="dxa" w:w="1560"/>
            <w:tcMar>
              <w:left w:type="dxa" w:w="80"/>
              <w:right w:type="dxa" w:w="80"/>
            </w:tcMar>
          </w:tcPr>
          <w:p>
            <w:pPr>
              <w:pStyle w:val="Compact"/>
            </w:pPr>
            <w:r>
              <w:rPr>
                <w:rStyle w:val="VerbatimChar"/>
                <w:sz w:val="19"/>
                <w:szCs w:val="19"/>
                <w:lang w:val="pt-PT"/>
              </w:rPr>
              <w:t xml:space="preserve">[PARA SER INFORMADO]</w:t>
            </w:r>
          </w:p>
        </w:tc>
      </w:tr>
      <w:tr>
        <w:trPr>
          <w:cantSplit/>
        </w:trPr>
        <w:tc>
          <w:tcPr>
            <w:tcW w:type="dxa" w:w="1560"/>
            <w:tcMar>
              <w:left w:type="dxa" w:w="80"/>
              <w:right w:type="dxa" w:w="80"/>
            </w:tcMar>
          </w:tcPr>
          <w:p>
            <w:pPr>
              <w:pStyle w:val="Compact"/>
            </w:pPr>
            <w:r>
              <w:rPr>
                <w:sz w:val="19"/>
                <w:szCs w:val="19"/>
                <w:lang w:val="pt-PT"/>
              </w:rPr>
              <w:t xml:space="preserve">6</w:t>
            </w:r>
          </w:p>
        </w:tc>
        <w:tc>
          <w:tcPr>
            <w:tcW w:type="dxa" w:w="1560"/>
            <w:tcMar>
              <w:left w:type="dxa" w:w="80"/>
              <w:right w:type="dxa" w:w="80"/>
            </w:tcMar>
          </w:tcPr>
          <w:p>
            <w:pPr>
              <w:pStyle w:val="Compact"/>
            </w:pPr>
            <w:r>
              <w:rPr>
                <w:sz w:val="19"/>
                <w:szCs w:val="19"/>
                <w:lang w:val="pt-PT"/>
              </w:rPr>
              <w:t xml:space="preserve">Switches/Firewalls</w:t>
            </w:r>
          </w:p>
        </w:tc>
        <w:tc>
          <w:tcPr>
            <w:tcW w:type="dxa" w:w="1560"/>
            <w:tcMar>
              <w:left w:type="dxa" w:w="80"/>
              <w:right w:type="dxa" w:w="80"/>
            </w:tcMar>
          </w:tcPr>
          <w:p>
            <w:pPr>
              <w:pStyle w:val="Compact"/>
            </w:pPr>
            <w:r>
              <w:rPr>
                <w:sz w:val="19"/>
                <w:szCs w:val="19"/>
                <w:lang w:val="pt-PT"/>
              </w:rPr>
              <w:t xml:space="preserve">Quarto A + Quarto B</w:t>
            </w:r>
          </w:p>
        </w:tc>
        <w:tc>
          <w:tcPr>
            <w:tcW w:type="dxa" w:w="1560"/>
            <w:tcMar>
              <w:left w:type="dxa" w:w="80"/>
              <w:right w:type="dxa" w:w="80"/>
            </w:tcMar>
          </w:tcPr>
          <w:p>
            <w:pPr>
              <w:pStyle w:val="Compact"/>
            </w:pPr>
            <w:r>
              <w:rPr>
                <w:rStyle w:val="VerbatimChar"/>
                <w:sz w:val="19"/>
                <w:szCs w:val="19"/>
                <w:lang w:val="pt-PT"/>
              </w:rPr>
              <w:t xml:space="preserve">[PARA SER INFORMADO]</w:t>
            </w:r>
          </w:p>
        </w:tc>
        <w:tc>
          <w:tcPr>
            <w:tcW w:type="dxa" w:w="1560"/>
            <w:tcMar>
              <w:left w:type="dxa" w:w="80"/>
              <w:right w:type="dxa" w:w="80"/>
            </w:tcMar>
          </w:tcPr>
          <w:p>
            <w:pPr>
              <w:pStyle w:val="Compact"/>
            </w:pPr>
            <w:r>
              <w:rPr>
                <w:sz w:val="19"/>
                <w:szCs w:val="19"/>
                <w:lang w:val="pt-PT"/>
              </w:rPr>
              <w:t xml:space="preserve">Segmentação, filtragem, conexão entre salas</w:t>
            </w:r>
          </w:p>
        </w:tc>
        <w:tc>
          <w:tcPr>
            <w:tcW w:type="dxa" w:w="1560"/>
            <w:tcMar>
              <w:left w:type="dxa" w:w="80"/>
              <w:right w:type="dxa" w:w="80"/>
            </w:tcMar>
          </w:tcPr>
          <w:p>
            <w:pPr>
              <w:pStyle w:val="Compact"/>
            </w:pPr>
            <w:r>
              <w:rPr>
                <w:rStyle w:val="VerbatimChar"/>
                <w:sz w:val="19"/>
                <w:szCs w:val="19"/>
                <w:lang w:val="pt-PT"/>
              </w:rPr>
              <w:t xml:space="preserve">[PARA SER INFORMADO]</w:t>
            </w:r>
          </w:p>
        </w:tc>
      </w:tr>
    </w:tbl>
    <w:p>
      <w:pPr>
        <w:pStyle w:val="BlockText"/>
      </w:pPr>
      <w:r>
        <w:rPr>
          <w:lang w:val="pt-PT"/>
        </w:rPr>
        <w:t xml:space="preserve">As localizações precisas no bay, a atribuição aos inversores e o posicionamento do armazenamento de backup são [A SER </w:t>
      </w:r>
      <w:r>
        <w:rPr>
          <w:lang w:val="pt-PT"/>
        </w:rPr>
        <w:t xml:space="preserve"/>
      </w:r>
      <w:r>
        <w:rPr>
          <w:rStyle w:val="VerbatimChar"/>
          <w:lang w:val="pt-PT"/>
        </w:rPr>
        <w:t xml:space="preserve">INFORMADO ao departamento de TI do </w:t>
      </w:r>
      <w:r>
        <w:rPr>
          <w:lang w:val="pt-PT"/>
        </w:rPr>
        <w:t xml:space="preserve">Cliente].</w:t>
      </w:r>
    </w:p>
    <w:bookmarkEnd w:id="57"/>
    <w:bookmarkStart w:id="58" w:name="X532d50cc4356b72c72984c82ec10b8c81e7aea9"/>
    <w:p>
      <w:pPr>
        <w:pStyle w:val="Heading3"/>
        <w:keepNext/>
        <w:keepLines/>
      </w:pPr>
      <w:r>
        <w:rPr>
          <w:color w:val="000000"/>
          <w:lang w:val="pt-PT"/>
        </w:rPr>
        <w:t xml:space="preserve">4.2 Interconexões lógicas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Ligação</w:t>
            </w:r>
          </w:p>
        </w:tc>
        <w:tc>
          <w:tcPr>
            <w:tcW w:type="dxa" w:w="1872"/>
            <w:tcMar>
              <w:left w:type="dxa" w:w="80"/>
              <w:right w:type="dxa" w:w="80"/>
            </w:tcMar>
          </w:tcPr>
          <w:p>
            <w:pPr>
              <w:pStyle w:val="Compact"/>
            </w:pPr>
            <w:r>
              <w:rPr>
                <w:sz w:val="19"/>
                <w:szCs w:val="19"/>
                <w:lang w:val="pt-PT"/>
              </w:rPr>
              <w:t xml:space="preserve">De</w:t>
            </w:r>
          </w:p>
        </w:tc>
        <w:tc>
          <w:tcPr>
            <w:tcW w:type="dxa" w:w="1872"/>
            <w:tcMar>
              <w:left w:type="dxa" w:w="80"/>
              <w:right w:type="dxa" w:w="80"/>
            </w:tcMar>
          </w:tcPr>
          <w:p>
            <w:pPr>
              <w:pStyle w:val="Compact"/>
            </w:pPr>
            <w:r>
              <w:rPr>
                <w:sz w:val="19"/>
                <w:szCs w:val="19"/>
                <w:lang w:val="pt-PT"/>
              </w:rPr>
              <w:t xml:space="preserve">Em direção</w:t>
            </w:r>
          </w:p>
        </w:tc>
        <w:tc>
          <w:tcPr>
            <w:tcW w:type="dxa" w:w="1872"/>
            <w:tcMar>
              <w:left w:type="dxa" w:w="80"/>
              <w:right w:type="dxa" w:w="80"/>
            </w:tcMar>
          </w:tcPr>
          <w:p>
            <w:pPr>
              <w:pStyle w:val="Compact"/>
            </w:pPr>
            <w:r>
              <w:rPr>
                <w:sz w:val="19"/>
                <w:szCs w:val="19"/>
                <w:lang w:val="pt-PT"/>
              </w:rPr>
              <w:t xml:space="preserve">Natureza</w:t>
            </w:r>
          </w:p>
        </w:tc>
        <w:tc>
          <w:tcPr>
            <w:tcW w:type="dxa" w:w="1872"/>
            <w:tcMar>
              <w:left w:type="dxa" w:w="80"/>
              <w:right w:type="dxa" w:w="80"/>
            </w:tcMar>
          </w:tcPr>
          <w:p>
            <w:pPr>
              <w:pStyle w:val="Compact"/>
            </w:pPr>
            <w:r>
              <w:rPr>
                <w:sz w:val="19"/>
                <w:szCs w:val="19"/>
                <w:lang w:val="pt-PT"/>
              </w:rPr>
              <w:t xml:space="preserve">Segurança</w:t>
            </w:r>
          </w:p>
        </w:tc>
      </w:tr>
      <w:tr>
        <w:trPr>
          <w:cantSplit/>
        </w:trPr>
        <w:tc>
          <w:tcPr>
            <w:tcW w:type="dxa" w:w="1872"/>
            <w:tcMar>
              <w:left w:type="dxa" w:w="80"/>
              <w:right w:type="dxa" w:w="80"/>
            </w:tcMar>
          </w:tcPr>
          <w:p>
            <w:pPr>
              <w:pStyle w:val="Compact"/>
            </w:pPr>
            <w:r>
              <w:rPr>
                <w:sz w:val="19"/>
                <w:szCs w:val="19"/>
                <w:lang w:val="pt-PT"/>
              </w:rPr>
              <w:t xml:space="preserve">L1</w:t>
            </w:r>
          </w:p>
        </w:tc>
        <w:tc>
          <w:tcPr>
            <w:tcW w:type="dxa" w:w="1872"/>
            <w:tcMar>
              <w:left w:type="dxa" w:w="80"/>
              <w:right w:type="dxa" w:w="80"/>
            </w:tcMar>
          </w:tcPr>
          <w:p>
            <w:pPr>
              <w:pStyle w:val="Compact"/>
            </w:pPr>
            <w:r>
              <w:rPr>
                <w:sz w:val="19"/>
                <w:szCs w:val="19"/>
                <w:lang w:val="pt-PT"/>
              </w:rPr>
              <w:t xml:space="preserve">Utilizadores</w:t>
            </w:r>
          </w:p>
        </w:tc>
        <w:tc>
          <w:tcPr>
            <w:tcW w:type="dxa" w:w="1872"/>
            <w:tcMar>
              <w:left w:type="dxa" w:w="80"/>
              <w:right w:type="dxa" w:w="80"/>
            </w:tcMar>
          </w:tcPr>
          <w:p>
            <w:pPr>
              <w:pStyle w:val="Compact"/>
            </w:pPr>
            <w:r>
              <w:rPr>
                <w:sz w:val="19"/>
                <w:szCs w:val="19"/>
                <w:lang w:val="pt-PT"/>
              </w:rPr>
              <w:t xml:space="preserve">Sala A do servidor de aplicativos (VIP)</w:t>
            </w:r>
          </w:p>
        </w:tc>
        <w:tc>
          <w:tcPr>
            <w:tcW w:type="dxa" w:w="1872"/>
            <w:tcMar>
              <w:left w:type="dxa" w:w="80"/>
              <w:right w:type="dxa" w:w="80"/>
            </w:tcMar>
          </w:tcPr>
          <w:p>
            <w:pPr>
              <w:pStyle w:val="Compact"/>
            </w:pPr>
            <w:r>
              <w:rPr>
                <w:sz w:val="19"/>
                <w:szCs w:val="19"/>
                <w:lang w:val="pt-PT"/>
              </w:rPr>
              <w:t xml:space="preserve">HTTPS 443</w:t>
            </w:r>
          </w:p>
        </w:tc>
        <w:tc>
          <w:tcPr>
            <w:tcW w:type="dxa" w:w="1872"/>
            <w:tcMar>
              <w:left w:type="dxa" w:w="80"/>
              <w:right w:type="dxa" w:w="80"/>
            </w:tcMar>
          </w:tcPr>
          <w:p>
            <w:pPr>
              <w:pStyle w:val="Compact"/>
            </w:pPr>
            <w:r>
              <w:rPr>
                <w:sz w:val="19"/>
                <w:szCs w:val="19"/>
                <w:lang w:val="pt-PT"/>
              </w:rPr>
              <w:t xml:space="preserve">TLS ≥ 1.2</w:t>
            </w:r>
          </w:p>
        </w:tc>
      </w:tr>
      <w:tr>
        <w:trPr>
          <w:cantSplit/>
        </w:trPr>
        <w:tc>
          <w:tcPr>
            <w:tcW w:type="dxa" w:w="1872"/>
            <w:tcMar>
              <w:left w:type="dxa" w:w="80"/>
              <w:right w:type="dxa" w:w="80"/>
            </w:tcMar>
          </w:tcPr>
          <w:p>
            <w:pPr>
              <w:pStyle w:val="Compact"/>
            </w:pPr>
            <w:r>
              <w:rPr>
                <w:sz w:val="19"/>
                <w:szCs w:val="19"/>
                <w:lang w:val="pt-PT"/>
              </w:rPr>
              <w:t xml:space="preserve">L2</w:t>
            </w:r>
          </w:p>
        </w:tc>
        <w:tc>
          <w:tcPr>
            <w:tcW w:type="dxa" w:w="1872"/>
            <w:tcMar>
              <w:left w:type="dxa" w:w="80"/>
              <w:right w:type="dxa" w:w="80"/>
            </w:tcMar>
          </w:tcPr>
          <w:p>
            <w:pPr>
              <w:pStyle w:val="Compact"/>
            </w:pPr>
            <w:r>
              <w:rPr>
                <w:sz w:val="19"/>
                <w:szCs w:val="19"/>
                <w:lang w:val="pt-PT"/>
              </w:rPr>
              <w:t xml:space="preserve">Sala A do servidor de aplicativos</w:t>
            </w:r>
          </w:p>
        </w:tc>
        <w:tc>
          <w:tcPr>
            <w:tcW w:type="dxa" w:w="1872"/>
            <w:tcMar>
              <w:left w:type="dxa" w:w="80"/>
              <w:right w:type="dxa" w:w="80"/>
            </w:tcMar>
          </w:tcPr>
          <w:p>
            <w:pPr>
              <w:pStyle w:val="Compact"/>
            </w:pPr>
            <w:r>
              <w:rPr>
                <w:sz w:val="19"/>
                <w:szCs w:val="19"/>
                <w:lang w:val="pt-PT"/>
              </w:rPr>
              <w:t xml:space="preserve">Sala B do servidor de aplicativos</w:t>
            </w:r>
          </w:p>
        </w:tc>
        <w:tc>
          <w:tcPr>
            <w:tcW w:type="dxa" w:w="1872"/>
            <w:tcMar>
              <w:left w:type="dxa" w:w="80"/>
              <w:right w:type="dxa" w:w="80"/>
            </w:tcMar>
          </w:tcPr>
          <w:p>
            <w:pPr>
              <w:pStyle w:val="Compact"/>
            </w:pPr>
            <w:r>
              <w:rPr>
                <w:sz w:val="19"/>
                <w:szCs w:val="19"/>
                <w:lang w:val="pt-PT"/>
              </w:rPr>
              <w:t xml:space="preserve">Replicação PostgreSQL 5432</w:t>
            </w:r>
          </w:p>
        </w:tc>
        <w:tc>
          <w:tcPr>
            <w:tcW w:type="dxa" w:w="1872"/>
            <w:tcMar>
              <w:left w:type="dxa" w:w="80"/>
              <w:right w:type="dxa" w:w="80"/>
            </w:tcMar>
          </w:tcPr>
          <w:p>
            <w:pPr>
              <w:pStyle w:val="Compact"/>
            </w:pPr>
            <w:r>
              <w:rPr>
                <w:sz w:val="19"/>
                <w:szCs w:val="19"/>
                <w:lang w:val="pt-PT"/>
              </w:rPr>
              <w:t xml:space="preserve">TLS interno recomendado</w:t>
            </w:r>
          </w:p>
        </w:tc>
      </w:tr>
      <w:tr>
        <w:trPr>
          <w:cantSplit/>
        </w:trPr>
        <w:tc>
          <w:tcPr>
            <w:tcW w:type="dxa" w:w="1872"/>
            <w:tcMar>
              <w:left w:type="dxa" w:w="80"/>
              <w:right w:type="dxa" w:w="80"/>
            </w:tcMar>
          </w:tcPr>
          <w:p>
            <w:pPr>
              <w:pStyle w:val="Compact"/>
            </w:pPr>
            <w:r>
              <w:rPr>
                <w:sz w:val="19"/>
                <w:szCs w:val="19"/>
                <w:lang w:val="pt-PT"/>
              </w:rPr>
              <w:t xml:space="preserve">L3</w:t>
            </w:r>
          </w:p>
        </w:tc>
        <w:tc>
          <w:tcPr>
            <w:tcW w:type="dxa" w:w="1872"/>
            <w:tcMar>
              <w:left w:type="dxa" w:w="80"/>
              <w:right w:type="dxa" w:w="80"/>
            </w:tcMar>
          </w:tcPr>
          <w:p>
            <w:pPr>
              <w:pStyle w:val="Compact"/>
            </w:pPr>
            <w:r>
              <w:rPr>
                <w:sz w:val="19"/>
                <w:szCs w:val="19"/>
                <w:lang w:val="pt-PT"/>
              </w:rPr>
              <w:t xml:space="preserve">Sala A do servidor de aplicativos</w:t>
            </w:r>
          </w:p>
        </w:tc>
        <w:tc>
          <w:tcPr>
            <w:tcW w:type="dxa" w:w="1872"/>
            <w:tcMar>
              <w:left w:type="dxa" w:w="80"/>
              <w:right w:type="dxa" w:w="80"/>
            </w:tcMar>
          </w:tcPr>
          <w:p>
            <w:pPr>
              <w:pStyle w:val="Compact"/>
            </w:pPr>
            <w:r>
              <w:rPr>
                <w:sz w:val="19"/>
                <w:szCs w:val="19"/>
                <w:lang w:val="pt-PT"/>
              </w:rPr>
              <w:t xml:space="preserve">Sala B do servidor de aplicativos</w:t>
            </w:r>
          </w:p>
        </w:tc>
        <w:tc>
          <w:tcPr>
            <w:tcW w:type="dxa" w:w="1872"/>
            <w:tcMar>
              <w:left w:type="dxa" w:w="80"/>
              <w:right w:type="dxa" w:w="80"/>
            </w:tcMar>
          </w:tcPr>
          <w:p>
            <w:pPr>
              <w:pStyle w:val="Compact"/>
            </w:pPr>
            <w:r>
              <w:rPr>
                <w:sz w:val="19"/>
                <w:szCs w:val="19"/>
                <w:lang w:val="pt-PT"/>
              </w:rPr>
              <w:t xml:space="preserve">Sincronização de armazenamento 22 (rsync/SSH)</w:t>
            </w:r>
          </w:p>
        </w:tc>
        <w:tc>
          <w:tcPr>
            <w:tcW w:type="dxa" w:w="1872"/>
            <w:tcMar>
              <w:left w:type="dxa" w:w="80"/>
              <w:right w:type="dxa" w:w="80"/>
            </w:tcMar>
          </w:tcPr>
          <w:p>
            <w:pPr>
              <w:pStyle w:val="Compact"/>
            </w:pPr>
            <w:r>
              <w:rPr>
                <w:sz w:val="19"/>
                <w:szCs w:val="19"/>
                <w:lang w:val="pt-PT"/>
              </w:rPr>
              <w:t xml:space="preserve">SSH</w:t>
            </w:r>
          </w:p>
        </w:tc>
      </w:tr>
      <w:tr>
        <w:trPr>
          <w:cantSplit/>
        </w:trPr>
        <w:tc>
          <w:tcPr>
            <w:tcW w:type="dxa" w:w="1872"/>
            <w:tcMar>
              <w:left w:type="dxa" w:w="80"/>
              <w:right w:type="dxa" w:w="80"/>
            </w:tcMar>
          </w:tcPr>
          <w:p>
            <w:pPr>
              <w:pStyle w:val="Compact"/>
            </w:pPr>
            <w:r>
              <w:rPr>
                <w:sz w:val="19"/>
                <w:szCs w:val="19"/>
                <w:lang w:val="pt-PT"/>
              </w:rPr>
              <w:t xml:space="preserve">L4</w:t>
            </w:r>
          </w:p>
        </w:tc>
        <w:tc>
          <w:tcPr>
            <w:tcW w:type="dxa" w:w="1872"/>
            <w:tcMar>
              <w:left w:type="dxa" w:w="80"/>
              <w:right w:type="dxa" w:w="80"/>
            </w:tcMar>
          </w:tcPr>
          <w:p>
            <w:pPr>
              <w:pStyle w:val="Compact"/>
            </w:pPr>
            <w:r>
              <w:rPr>
                <w:sz w:val="19"/>
                <w:szCs w:val="19"/>
                <w:lang w:val="pt-PT"/>
              </w:rPr>
              <w:t xml:space="preserve">Sala de servidores GPU A</w:t>
            </w:r>
          </w:p>
        </w:tc>
        <w:tc>
          <w:tcPr>
            <w:tcW w:type="dxa" w:w="1872"/>
            <w:tcMar>
              <w:left w:type="dxa" w:w="80"/>
              <w:right w:type="dxa" w:w="80"/>
            </w:tcMar>
          </w:tcPr>
          <w:p>
            <w:pPr>
              <w:pStyle w:val="Compact"/>
            </w:pPr>
            <w:r>
              <w:rPr>
                <w:sz w:val="19"/>
                <w:szCs w:val="19"/>
                <w:lang w:val="pt-PT"/>
              </w:rPr>
              <w:t xml:space="preserve">API app Sala A</w:t>
            </w:r>
          </w:p>
        </w:tc>
        <w:tc>
          <w:tcPr>
            <w:tcW w:type="dxa" w:w="1872"/>
            <w:tcMar>
              <w:left w:type="dxa" w:w="80"/>
              <w:right w:type="dxa" w:w="80"/>
            </w:tcMar>
          </w:tcPr>
          <w:p>
            <w:pPr>
              <w:pStyle w:val="Compact"/>
            </w:pPr>
            <w:r>
              <w:rPr>
                <w:sz w:val="19"/>
                <w:szCs w:val="19"/>
                <w:lang w:val="pt-PT"/>
              </w:rPr>
              <w:t xml:space="preserve">HTTPS 443 (pesquisa pendente/progresso/concluída)</w:t>
            </w:r>
          </w:p>
        </w:tc>
        <w:tc>
          <w:tcPr>
            <w:tcW w:type="dxa" w:w="1872"/>
            <w:tcMar>
              <w:left w:type="dxa" w:w="80"/>
              <w:right w:type="dxa" w:w="80"/>
            </w:tcMar>
          </w:tcPr>
          <w:p>
            <w:pPr>
              <w:pStyle w:val="Compact"/>
            </w:pPr>
            <w:r>
              <w:rPr>
                <w:sz w:val="19"/>
                <w:szCs w:val="19"/>
                <w:lang w:val="pt-PT"/>
              </w:rPr>
              <w:t xml:space="preserve">TLS + token</w:t>
            </w:r>
          </w:p>
        </w:tc>
      </w:tr>
      <w:tr>
        <w:trPr>
          <w:cantSplit/>
        </w:trPr>
        <w:tc>
          <w:tcPr>
            <w:tcW w:type="dxa" w:w="1872"/>
            <w:tcMar>
              <w:left w:type="dxa" w:w="80"/>
              <w:right w:type="dxa" w:w="80"/>
            </w:tcMar>
          </w:tcPr>
          <w:p>
            <w:pPr>
              <w:pStyle w:val="Compact"/>
            </w:pPr>
            <w:r>
              <w:rPr>
                <w:sz w:val="19"/>
                <w:szCs w:val="19"/>
                <w:lang w:val="pt-PT"/>
              </w:rPr>
              <w:t xml:space="preserve">L5</w:t>
            </w:r>
          </w:p>
        </w:tc>
        <w:tc>
          <w:tcPr>
            <w:tcW w:type="dxa" w:w="1872"/>
            <w:tcMar>
              <w:left w:type="dxa" w:w="80"/>
              <w:right w:type="dxa" w:w="80"/>
            </w:tcMar>
          </w:tcPr>
          <w:p>
            <w:pPr>
              <w:pStyle w:val="Compact"/>
            </w:pPr>
            <w:r>
              <w:rPr>
                <w:sz w:val="19"/>
                <w:szCs w:val="19"/>
                <w:lang w:val="pt-PT"/>
              </w:rPr>
              <w:t xml:space="preserve">app Sala A</w:t>
            </w:r>
          </w:p>
        </w:tc>
        <w:tc>
          <w:tcPr>
            <w:tcW w:type="dxa" w:w="1872"/>
            <w:tcMar>
              <w:left w:type="dxa" w:w="80"/>
              <w:right w:type="dxa" w:w="80"/>
            </w:tcMar>
          </w:tcPr>
          <w:p>
            <w:pPr>
              <w:pStyle w:val="Compact"/>
            </w:pPr>
            <w:r>
              <w:rPr>
                <w:sz w:val="19"/>
                <w:szCs w:val="19"/>
                <w:lang w:val="pt-PT"/>
              </w:rPr>
              <w:t xml:space="preserve">Sala A do LLM local (vLLM - Qwen 3.6 / Mistral)</w:t>
            </w:r>
          </w:p>
        </w:tc>
        <w:tc>
          <w:tcPr>
            <w:tcW w:type="dxa" w:w="1872"/>
            <w:tcMar>
              <w:left w:type="dxa" w:w="80"/>
              <w:right w:type="dxa" w:w="80"/>
            </w:tcMar>
          </w:tcPr>
          <w:p>
            <w:pPr>
              <w:pStyle w:val="Compact"/>
            </w:pPr>
            <w:r>
              <w:rPr>
                <w:sz w:val="19"/>
                <w:szCs w:val="19"/>
                <w:lang w:val="pt-PT"/>
              </w:rPr>
              <w:t xml:space="preserve">HTTP(S) </w:t>
            </w:r>
            <w:r>
              <w:rPr>
                <w:sz w:val="19"/>
                <w:szCs w:val="19"/>
                <w:lang w:val="pt-PT"/>
              </w:rPr>
              <w:t xml:space="preserve"/>
            </w:r>
            <w:r>
              <w:rPr>
                <w:rStyle w:val="VerbatimChar"/>
                <w:sz w:val="19"/>
                <w:szCs w:val="19"/>
                <w:lang w:val="pt-PT"/>
              </w:rPr>
              <w:t xml:space="preserve">8000 [a ser confirmado]</w:t>
            </w:r>
          </w:p>
        </w:tc>
        <w:tc>
          <w:tcPr>
            <w:tcW w:type="dxa" w:w="1872"/>
            <w:tcMar>
              <w:left w:type="dxa" w:w="80"/>
              <w:right w:type="dxa" w:w="80"/>
            </w:tcMar>
          </w:tcPr>
          <w:p>
            <w:pPr>
              <w:pStyle w:val="Compact"/>
            </w:pPr>
            <w:r>
              <w:rPr>
                <w:sz w:val="19"/>
                <w:szCs w:val="19"/>
                <w:lang w:val="pt-PT"/>
              </w:rPr>
              <w:t xml:space="preserve">Rede interna/TLS interno</w:t>
            </w:r>
          </w:p>
        </w:tc>
      </w:tr>
      <w:tr>
        <w:trPr>
          <w:cantSplit/>
        </w:trPr>
        <w:tc>
          <w:tcPr>
            <w:tcW w:type="dxa" w:w="1872"/>
            <w:tcMar>
              <w:left w:type="dxa" w:w="80"/>
              <w:right w:type="dxa" w:w="80"/>
            </w:tcMar>
          </w:tcPr>
          <w:p>
            <w:pPr>
              <w:pStyle w:val="Compact"/>
            </w:pPr>
            <w:r>
              <w:rPr>
                <w:sz w:val="19"/>
                <w:szCs w:val="19"/>
                <w:lang w:val="pt-PT"/>
              </w:rPr>
              <w:t xml:space="preserve">L6</w:t>
            </w:r>
          </w:p>
        </w:tc>
        <w:tc>
          <w:tcPr>
            <w:tcW w:type="dxa" w:w="1872"/>
            <w:tcMar>
              <w:left w:type="dxa" w:w="80"/>
              <w:right w:type="dxa" w:w="80"/>
            </w:tcMar>
          </w:tcPr>
          <w:p>
            <w:pPr>
              <w:pStyle w:val="Compact"/>
            </w:pPr>
            <w:r>
              <w:rPr>
                <w:sz w:val="19"/>
                <w:szCs w:val="19"/>
                <w:lang w:val="pt-PT"/>
              </w:rPr>
              <w:t xml:space="preserve">Administração</w:t>
            </w:r>
          </w:p>
        </w:tc>
        <w:tc>
          <w:tcPr>
            <w:tcW w:type="dxa" w:w="1872"/>
            <w:tcMar>
              <w:left w:type="dxa" w:w="80"/>
              <w:right w:type="dxa" w:w="80"/>
            </w:tcMar>
          </w:tcPr>
          <w:p>
            <w:pPr>
              <w:pStyle w:val="Compact"/>
            </w:pPr>
            <w:r>
              <w:rPr>
                <w:sz w:val="19"/>
                <w:szCs w:val="19"/>
                <w:lang w:val="pt-PT"/>
              </w:rPr>
              <w:t xml:space="preserve">Servidores (Sala A + Sala B)</w:t>
            </w:r>
          </w:p>
        </w:tc>
        <w:tc>
          <w:tcPr>
            <w:tcW w:type="dxa" w:w="1872"/>
            <w:tcMar>
              <w:left w:type="dxa" w:w="80"/>
              <w:right w:type="dxa" w:w="80"/>
            </w:tcMar>
          </w:tcPr>
          <w:p>
            <w:pPr>
              <w:pStyle w:val="Compact"/>
            </w:pPr>
            <w:r>
              <w:rPr>
                <w:sz w:val="19"/>
                <w:szCs w:val="19"/>
                <w:lang w:val="pt-PT"/>
              </w:rPr>
              <w:t xml:space="preserve">SSH 22 da VLAN de administrador</w:t>
            </w:r>
          </w:p>
        </w:tc>
        <w:tc>
          <w:tcPr>
            <w:tcW w:type="dxa" w:w="1872"/>
            <w:tcMar>
              <w:left w:type="dxa" w:w="80"/>
              <w:right w:type="dxa" w:w="80"/>
            </w:tcMar>
          </w:tcPr>
          <w:p>
            <w:pPr>
              <w:pStyle w:val="Compact"/>
            </w:pPr>
            <w:r>
              <w:rPr>
                <w:sz w:val="19"/>
                <w:szCs w:val="19"/>
                <w:lang w:val="pt-PT"/>
              </w:rPr>
              <w:t xml:space="preserve">Chave SSH + bastião 2FA </w:t>
            </w:r>
            <w:r>
              <w:rPr>
                <w:sz w:val="19"/>
                <w:szCs w:val="19"/>
                <w:lang w:val="pt-PT"/>
              </w:rPr>
              <w:t xml:space="preserve"/>
            </w:r>
            <w:r>
              <w:rPr>
                <w:rStyle w:val="VerbatimChar"/>
                <w:sz w:val="19"/>
                <w:szCs w:val="19"/>
                <w:lang w:val="pt-PT"/>
              </w:rPr>
              <w:t xml:space="preserve">[A SER INQUIRIDO]</w:t>
            </w:r>
          </w:p>
        </w:tc>
      </w:tr>
    </w:tbl>
    <w:p>
      <w:pPr>
        <w:pStyle w:val="BodyText"/>
      </w:pPr>
      <w:r>
        <w:rPr>
          <w:i/>
          <w:iCs/>
          <w:lang w:val="pt-PT"/>
        </w:rPr>
        <w:t xml:space="preserve">O sinótico completo e detalhado (componentes + compartimentos + interconexões físicas) será submetido em formato Microsoft Visio (.vsdx) durante a fase de implementação, complementado com elementos específicos do local.</w:t>
      </w:r>
    </w:p>
    <w:p>
      <w:r>
        <w:pict>
          <v:rect style="width:0;height:1.5pt" o:hralign="center" o:hrstd="t" o:hr="t"/>
        </w:pict>
      </w:r>
    </w:p>
    <w:bookmarkEnd w:id="58"/>
    <w:bookmarkEnd w:id="59"/>
    <w:bookmarkStart w:id="63" w:name="Xf9f8b529c9d316d96a83ce7e4515facd45aae7e"/>
    <w:p>
      <w:pPr>
        <w:pStyle w:val="Heading2"/>
        <w:keepNext/>
        <w:keepLines/>
      </w:pPr>
      <w:r>
        <w:rPr>
          <w:color w:val="000000"/>
          <w:lang w:val="pt-PT"/>
        </w:rPr>
        <w:t xml:space="preserve">5. Especificações técnicas dos materiais oferecidos</w:t>
      </w:r>
    </w:p>
    <w:p>
      <w:pPr>
        <w:pStyle w:val="BlockText"/>
      </w:pPr>
      <w:r>
        <w:rPr>
          <w:lang w:val="pt-PT"/>
        </w:rPr>
        <w:t xml:space="preserve">As características abaixo constituem um modelo </w:t>
      </w:r>
      <w:r>
        <w:rPr>
          <w:lang w:val="pt-PT"/>
        </w:rPr>
        <w:t xml:space="preserve"/>
      </w:r>
      <w:r>
        <w:rPr>
          <w:b/>
          <w:bCs/>
          <w:lang w:val="pt-PT"/>
        </w:rPr>
        <w:t xml:space="preserve">de dimensionamento a </w:t>
      </w:r>
      <w:r>
        <w:rPr>
          <w:lang w:val="pt-PT"/>
        </w:rPr>
        <w:t xml:space="preserve"/>
      </w:r>
      <w:r>
        <w:rPr>
          <w:lang w:val="pt-PT"/>
        </w:rPr>
        <w:t xml:space="preserve">ajustar de acordo com o volume real do Cliente (ver §9). A documentação detalhada do fornecedor será </w:t>
      </w:r>
      <w:r>
        <w:rPr>
          <w:lang w:val="pt-PT"/>
        </w:rPr>
        <w:t xml:space="preserve"/>
      </w:r>
      <w:r>
        <w:rPr>
          <w:b/>
          <w:bCs/>
          <w:lang w:val="pt-PT"/>
        </w:rPr>
        <w:t xml:space="preserve">anexada quando a escolha final do equipamento for </w:t>
      </w:r>
      <w:r>
        <w:rPr>
          <w:lang w:val="pt-PT"/>
        </w:rPr>
        <w:t xml:space="preserve">feita.</w:t>
      </w:r>
    </w:p>
    <w:bookmarkStart w:id="60" w:name="X9a7e0003b376a6ff823494da575f02782dc96f8"/>
    <w:p>
      <w:pPr>
        <w:pStyle w:val="Heading3"/>
        <w:keepNext/>
        <w:keepLines/>
      </w:pPr>
      <w:r>
        <w:rPr>
          <w:color w:val="000000"/>
          <w:lang w:val="pt-PT"/>
        </w:rPr>
        <w:t xml:space="preserve">5.1 Servidor de aplicativos (tipo)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Recurso</w:t>
            </w:r>
          </w:p>
        </w:tc>
        <w:tc>
          <w:tcPr/>
          <w:p>
            <w:pPr>
              <w:pStyle w:val="Compact"/>
            </w:pPr>
            <w:r>
              <w:rPr>
                <w:lang w:val="pt-PT"/>
              </w:rPr>
              <w:t xml:space="preserve">Especificação proposta</w:t>
            </w:r>
          </w:p>
        </w:tc>
      </w:tr>
      <w:tr>
        <w:trPr>
          <w:cantSplit/>
        </w:trPr>
        <w:tc>
          <w:tcPr/>
          <w:p>
            <w:pPr>
              <w:pStyle w:val="Compact"/>
            </w:pPr>
            <w:r>
              <w:rPr>
                <w:lang w:val="pt-PT"/>
              </w:rPr>
              <w:t xml:space="preserve">Processador</w:t>
            </w:r>
          </w:p>
        </w:tc>
        <w:tc>
          <w:tcPr/>
          <w:p>
            <w:pPr>
              <w:pStyle w:val="Compact"/>
            </w:pPr>
            <w:r>
              <w:rPr>
                <w:lang w:val="pt-PT"/>
              </w:rPr>
              <w:t xml:space="preserve">8 a 16 núcleos físicos (x86-64, geração recente)</w:t>
            </w:r>
          </w:p>
        </w:tc>
      </w:tr>
      <w:tr>
        <w:trPr>
          <w:cantSplit/>
        </w:trPr>
        <w:tc>
          <w:tcPr/>
          <w:p>
            <w:pPr>
              <w:pStyle w:val="Compact"/>
            </w:pPr>
            <w:r>
              <w:rPr>
                <w:lang w:val="pt-PT"/>
              </w:rPr>
              <w:t xml:space="preserve">memória RAM</w:t>
            </w:r>
          </w:p>
        </w:tc>
        <w:tc>
          <w:tcPr/>
          <w:p>
            <w:pPr>
              <w:pStyle w:val="Compact"/>
            </w:pPr>
            <w:r>
              <w:rPr>
                <w:lang w:val="pt-PT"/>
              </w:rPr>
              <w:t xml:space="preserve">32 a 64 GB de RAM ECC</w:t>
            </w:r>
          </w:p>
        </w:tc>
      </w:tr>
      <w:tr>
        <w:trPr>
          <w:cantSplit/>
        </w:trPr>
        <w:tc>
          <w:tcPr/>
          <w:p>
            <w:pPr>
              <w:pStyle w:val="Compact"/>
            </w:pPr>
            <w:r>
              <w:rPr>
                <w:lang w:val="pt-PT"/>
              </w:rPr>
              <w:t xml:space="preserve">Armazenamento do sistema</w:t>
            </w:r>
          </w:p>
        </w:tc>
        <w:tc>
          <w:tcPr/>
          <w:p>
            <w:pPr>
              <w:pStyle w:val="Compact"/>
            </w:pPr>
            <w:r>
              <w:rPr>
                <w:lang w:val="pt-PT"/>
              </w:rPr>
              <w:t xml:space="preserve">2 × SSD NVMe em RAID 1 (OS + contêineres)</w:t>
            </w:r>
          </w:p>
        </w:tc>
      </w:tr>
      <w:tr>
        <w:trPr>
          <w:cantSplit/>
        </w:trPr>
        <w:tc>
          <w:tcPr/>
          <w:p>
            <w:pPr>
              <w:pStyle w:val="Compact"/>
            </w:pPr>
            <w:r>
              <w:rPr>
                <w:lang w:val="pt-PT"/>
              </w:rPr>
              <w:t xml:space="preserve">Armazenamento de dados</w:t>
            </w:r>
          </w:p>
        </w:tc>
        <w:tc>
          <w:tcPr/>
          <w:p>
            <w:pPr>
              <w:pStyle w:val="Compact"/>
            </w:pPr>
            <w:r>
              <w:rPr>
                <w:lang w:val="pt-PT"/>
              </w:rPr>
              <w:t xml:space="preserve">NVMe em RAID (RAID 1 ou RAID 10 dependendo do volume) — consulte §9</w:t>
            </w:r>
          </w:p>
        </w:tc>
      </w:tr>
      <w:tr>
        <w:trPr>
          <w:cantSplit/>
        </w:trPr>
        <w:tc>
          <w:tcPr/>
          <w:p>
            <w:pPr>
              <w:pStyle w:val="Compact"/>
            </w:pPr>
            <w:r>
              <w:rPr>
                <w:lang w:val="pt-PT"/>
              </w:rPr>
              <w:t xml:space="preserve">Rede</w:t>
            </w:r>
          </w:p>
        </w:tc>
        <w:tc>
          <w:tcPr/>
          <w:p>
            <w:pPr>
              <w:pStyle w:val="Compact"/>
            </w:pPr>
            <w:r>
              <w:rPr>
                <w:lang w:val="pt-PT"/>
              </w:rPr>
              <w:t xml:space="preserve">2 × 10 GbE (agregação/redundância) + interface de administração dedicada (IPMI/iDRAC/iLO)</w:t>
            </w:r>
          </w:p>
        </w:tc>
      </w:tr>
      <w:tr>
        <w:trPr>
          <w:cantSplit/>
        </w:trPr>
        <w:tc>
          <w:tcPr/>
          <w:p>
            <w:pPr>
              <w:pStyle w:val="Compact"/>
            </w:pPr>
            <w:r>
              <w:rPr>
                <w:lang w:val="pt-PT"/>
              </w:rPr>
              <w:t xml:space="preserve">Alimentação elétrica</w:t>
            </w:r>
          </w:p>
        </w:tc>
        <w:tc>
          <w:tcPr/>
          <w:p>
            <w:pPr>
              <w:pStyle w:val="Compact"/>
            </w:pPr>
            <w:r>
              <w:rPr>
                <w:lang w:val="pt-PT"/>
              </w:rPr>
              <w:t xml:space="preserve">Fonte de alimentação redundante dupla, conectada a dois circuitos inversores</w:t>
            </w:r>
          </w:p>
        </w:tc>
      </w:tr>
      <w:tr>
        <w:trPr>
          <w:cantSplit/>
        </w:trPr>
        <w:tc>
          <w:tcPr/>
          <w:p>
            <w:pPr>
              <w:pStyle w:val="Compact"/>
            </w:pPr>
            <w:r>
              <w:rPr>
                <w:lang w:val="pt-PT"/>
              </w:rPr>
              <w:t xml:space="preserve">Sistema</w:t>
            </w:r>
          </w:p>
        </w:tc>
        <w:tc>
          <w:tcPr/>
          <w:p>
            <w:pPr>
              <w:pStyle w:val="Compact"/>
            </w:pPr>
            <w:r>
              <w:rPr>
                <w:lang w:val="pt-PT"/>
              </w:rPr>
              <w:t xml:space="preserve">Servidor Linux reforçado (por exemplo, Debian 12/equivalente suportado)</w:t>
            </w:r>
          </w:p>
        </w:tc>
      </w:tr>
    </w:tbl>
    <w:bookmarkEnd w:id="60"/>
    <w:bookmarkStart w:id="61" w:name="Xcd583c3628f68211e39c87de6fc256fcacef774"/>
    <w:p>
      <w:pPr>
        <w:pStyle w:val="Heading3"/>
        <w:keepNext/>
        <w:keepLines/>
      </w:pPr>
      <w:r>
        <w:rPr>
          <w:color w:val="000000"/>
          <w:lang w:val="pt-PT"/>
        </w:rPr>
        <w:t xml:space="preserve">5.2 Servidor GPU de transcrição e LLM local (típico)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Recurso</w:t>
            </w:r>
          </w:p>
        </w:tc>
        <w:tc>
          <w:tcPr/>
          <w:p>
            <w:pPr>
              <w:pStyle w:val="Compact"/>
            </w:pPr>
            <w:r>
              <w:rPr>
                <w:lang w:val="pt-PT"/>
              </w:rPr>
              <w:t xml:space="preserve">Especificação proposta</w:t>
            </w:r>
          </w:p>
        </w:tc>
      </w:tr>
      <w:tr>
        <w:trPr>
          <w:cantSplit/>
        </w:trPr>
        <w:tc>
          <w:tcPr/>
          <w:p>
            <w:pPr>
              <w:pStyle w:val="Compact"/>
            </w:pPr>
            <w:r>
              <w:rPr>
                <w:lang w:val="pt-PT"/>
              </w:rPr>
              <w:t xml:space="preserve">GPU</w:t>
            </w:r>
          </w:p>
        </w:tc>
        <w:tc>
          <w:tcPr/>
          <w:p>
            <w:pPr>
              <w:pStyle w:val="Compact"/>
            </w:pPr>
            <w:r>
              <w:rPr>
                <w:lang w:val="pt-PT"/>
              </w:rPr>
              <w:t xml:space="preserve">≥ 16 GB de VRAM (tipo NVIDIA RTX 4090 24 GB, L4 24 GB, A10 24 GB) — a serem dimensionados de acordo com volume e paralelismo desejados</w:t>
            </w:r>
          </w:p>
        </w:tc>
      </w:tr>
      <w:tr>
        <w:trPr>
          <w:cantSplit/>
        </w:trPr>
        <w:tc>
          <w:tcPr/>
          <w:p>
            <w:pPr>
              <w:pStyle w:val="Compact"/>
            </w:pPr>
            <w:r>
              <w:rPr>
                <w:lang w:val="pt-PT"/>
              </w:rPr>
              <w:t xml:space="preserve">Processador</w:t>
            </w:r>
          </w:p>
        </w:tc>
        <w:tc>
          <w:tcPr/>
          <w:p>
            <w:pPr>
              <w:pStyle w:val="Compact"/>
            </w:pPr>
            <w:r>
              <w:rPr>
                <w:lang w:val="pt-PT"/>
              </w:rPr>
              <w:t xml:space="preserve">8 a 16 núcleos físicos</w:t>
            </w:r>
          </w:p>
        </w:tc>
      </w:tr>
      <w:tr>
        <w:trPr>
          <w:cantSplit/>
        </w:trPr>
        <w:tc>
          <w:tcPr/>
          <w:p>
            <w:pPr>
              <w:pStyle w:val="Compact"/>
            </w:pPr>
            <w:r>
              <w:rPr>
                <w:lang w:val="pt-PT"/>
              </w:rPr>
              <w:t xml:space="preserve">memória RAM</w:t>
            </w:r>
          </w:p>
        </w:tc>
        <w:tc>
          <w:tcPr/>
          <w:p>
            <w:pPr>
              <w:pStyle w:val="Compact"/>
            </w:pPr>
            <w:r>
              <w:rPr>
                <w:lang w:val="pt-PT"/>
              </w:rPr>
              <w:t xml:space="preserve">64 a 128 GB de RAM (inferência e diarização locais do LLM consomem muita memória)</w:t>
            </w:r>
          </w:p>
        </w:tc>
      </w:tr>
      <w:tr>
        <w:trPr>
          <w:cantSplit/>
        </w:trPr>
        <w:tc>
          <w:tcPr/>
          <w:p>
            <w:pPr>
              <w:pStyle w:val="Compact"/>
            </w:pPr>
            <w:r>
              <w:rPr>
                <w:lang w:val="pt-PT"/>
              </w:rPr>
              <w:t xml:space="preserve">Armazenamento</w:t>
            </w:r>
          </w:p>
        </w:tc>
        <w:tc>
          <w:tcPr/>
          <w:p>
            <w:pPr>
              <w:pStyle w:val="Compact"/>
            </w:pPr>
            <w:r>
              <w:rPr>
                <w:lang w:val="pt-PT"/>
              </w:rPr>
              <w:t xml:space="preserve">NVMe rápido (modelos + ficheiros de trabalho) — dimensionamento baseado em modelos carregados</w:t>
            </w:r>
          </w:p>
        </w:tc>
      </w:tr>
      <w:tr>
        <w:trPr>
          <w:cantSplit/>
        </w:trPr>
        <w:tc>
          <w:tcPr/>
          <w:p>
            <w:pPr>
              <w:pStyle w:val="Compact"/>
            </w:pPr>
            <w:r>
              <w:rPr>
                <w:lang w:val="pt-PT"/>
              </w:rPr>
              <w:t xml:space="preserve">Rede</w:t>
            </w:r>
          </w:p>
        </w:tc>
        <w:tc>
          <w:tcPr/>
          <w:p>
            <w:pPr>
              <w:pStyle w:val="Compact"/>
            </w:pPr>
            <w:r>
              <w:rPr>
                <w:lang w:val="pt-PT"/>
              </w:rPr>
              <w:t xml:space="preserve">2 × 10 GBE</w:t>
            </w:r>
          </w:p>
        </w:tc>
      </w:tr>
      <w:tr>
        <w:trPr>
          <w:cantSplit/>
        </w:trPr>
        <w:tc>
          <w:tcPr/>
          <w:p>
            <w:pPr>
              <w:pStyle w:val="Compact"/>
            </w:pPr>
            <w:r>
              <w:rPr>
                <w:lang w:val="pt-PT"/>
              </w:rPr>
              <w:t xml:space="preserve">Alimentação elétrica</w:t>
            </w:r>
          </w:p>
        </w:tc>
        <w:tc>
          <w:tcPr/>
          <w:p>
            <w:pPr>
              <w:pStyle w:val="Compact"/>
            </w:pPr>
            <w:r>
              <w:rPr>
                <w:lang w:val="pt-PT"/>
              </w:rPr>
              <w:t xml:space="preserve">Fonte de alimentação redundante dupla</w:t>
            </w:r>
          </w:p>
        </w:tc>
      </w:tr>
      <w:tr>
        <w:trPr>
          <w:cantSplit/>
        </w:trPr>
        <w:tc>
          <w:tcPr/>
          <w:p>
            <w:pPr>
              <w:pStyle w:val="Compact"/>
            </w:pPr>
            <w:r>
              <w:rPr>
                <w:lang w:val="pt-PT"/>
              </w:rPr>
              <w:t xml:space="preserve">Drivers</w:t>
            </w:r>
          </w:p>
        </w:tc>
        <w:tc>
          <w:tcPr/>
          <w:p>
            <w:pPr>
              <w:pStyle w:val="Compact"/>
            </w:pPr>
            <w:r>
              <w:rPr>
                <w:lang w:val="pt-PT"/>
              </w:rPr>
              <w:t xml:space="preserve">Drivers de GPU + </w:t>
            </w:r>
            <w:r>
              <w:rPr>
                <w:lang w:val="pt-PT"/>
              </w:rPr>
              <w:t xml:space="preserve"/>
            </w:r>
            <w:r>
              <w:rPr>
                <w:i/>
                <w:iCs/>
                <w:lang w:val="pt-PT"/>
              </w:rPr>
              <w:t xml:space="preserve">tempo de </w:t>
            </w:r>
            <w:r>
              <w:rPr>
                <w:lang w:val="pt-PT"/>
              </w:rPr>
              <w:t xml:space="preserve">execução </w:t>
            </w:r>
            <w:r>
              <w:rPr>
                <w:lang w:val="pt-PT"/>
              </w:rPr>
              <w:t xml:space="preserve">do contêiner de GPU (por exemplo, NVIDIA Container Toolkit)</w:t>
            </w:r>
          </w:p>
        </w:tc>
      </w:tr>
      <w:tr>
        <w:trPr>
          <w:cantSplit/>
        </w:trPr>
        <w:tc>
          <w:tcPr/>
          <w:p>
            <w:pPr>
              <w:pStyle w:val="Compact"/>
            </w:pPr>
            <w:r>
              <w:rPr>
                <w:lang w:val="pt-PT"/>
              </w:rPr>
              <w:t xml:space="preserve">Mecanismo LLM local</w:t>
            </w:r>
          </w:p>
        </w:tc>
        <w:tc>
          <w:tcPr/>
          <w:p>
            <w:pPr>
              <w:pStyle w:val="Compact"/>
            </w:pPr>
            <w:r>
              <w:rPr>
                <w:lang w:val="pt-PT"/>
              </w:rPr>
              <w:t xml:space="preserve">Servidor </w:t>
            </w:r>
            <w:r>
              <w:rPr>
                <w:lang w:val="pt-PT"/>
              </w:rPr>
              <w:t xml:space="preserve"/>
            </w:r>
            <w:r>
              <w:rPr>
                <w:b/>
                <w:bCs/>
                <w:lang w:val="pt-PT"/>
              </w:rPr>
              <w:t xml:space="preserve">vLLM </w:t>
            </w:r>
            <w:r>
              <w:rPr>
                <w:lang w:val="pt-PT"/>
              </w:rPr>
              <w:t xml:space="preserve"/>
            </w:r>
            <w:r>
              <w:rPr>
                <w:lang w:val="pt-PT"/>
              </w:rPr>
              <w:t xml:space="preserve">executando modelo </w:t>
            </w:r>
            <w:r>
              <w:rPr>
                <w:lang w:val="pt-PT"/>
              </w:rPr>
              <w:t xml:space="preserve"/>
            </w:r>
            <w:r>
              <w:rPr>
                <w:b/>
                <w:bCs/>
                <w:lang w:val="pt-PT"/>
              </w:rPr>
              <w:t xml:space="preserve">open-weights — </w:t>
            </w:r>
            <w:r>
              <w:rPr>
                <w:lang w:val="pt-PT"/>
              </w:rPr>
              <w:t xml:space="preserve"/>
            </w:r>
            <w:r>
              <w:rPr>
                <w:lang w:val="pt-PT"/>
              </w:rPr>
              <w:t xml:space="preserve">Qwen </w:t>
            </w:r>
            <w:r>
              <w:rPr>
                <w:lang w:val="pt-PT"/>
              </w:rPr>
              <w:t xml:space="preserve"/>
            </w:r>
            <w:r>
              <w:rPr>
                <w:b/>
                <w:bCs/>
                <w:lang w:val="pt-PT"/>
              </w:rPr>
              <w:t xml:space="preserve">3.6 ou </w:t>
            </w:r>
            <w:r>
              <w:rPr>
                <w:lang w:val="pt-PT"/>
              </w:rPr>
              <w:t xml:space="preserve"/>
            </w:r>
            <w:r>
              <w:rPr>
                <w:lang w:val="pt-PT"/>
              </w:rPr>
              <w:t xml:space="preserve"/>
            </w:r>
            <w:r>
              <w:rPr>
                <w:lang w:val="pt-PT"/>
              </w:rPr>
              <w:t xml:space="preserve">Mistral </w:t>
            </w:r>
            <w:r>
              <w:rPr>
                <w:b/>
                <w:bCs/>
                <w:lang w:val="pt-PT"/>
              </w:rPr>
              <w:t xml:space="preserve"/>
            </w:r>
            <w:r>
              <w:rPr>
                <w:lang w:val="pt-PT"/>
              </w:rPr>
              <w:t xml:space="preserve">[versões </w:t>
            </w:r>
            <w:r>
              <w:rPr>
                <w:rStyle w:val="VerbatimChar"/>
                <w:lang w:val="pt-PT"/>
              </w:rPr>
              <w:t xml:space="preserve">exatas a serem confirmadas] </w:t>
            </w:r>
            <w:r>
              <w:rPr>
                <w:lang w:val="pt-PT"/>
              </w:rPr>
              <w:t xml:space="preserve">— </w:t>
            </w:r>
            <w:r>
              <w:rPr>
                <w:lang w:val="pt-PT"/>
              </w:rPr>
              <w:t xml:space="preserve">endpoint local (tipo de porta 8000/TCP)</w:t>
            </w:r>
          </w:p>
        </w:tc>
      </w:tr>
      <w:tr>
        <w:trPr>
          <w:cantSplit/>
        </w:trPr>
        <w:tc>
          <w:tcPr/>
          <w:p>
            <w:pPr>
              <w:pStyle w:val="Compact"/>
            </w:pPr>
            <w:r>
              <w:rPr>
                <w:lang w:val="pt-PT"/>
              </w:rPr>
              <w:t xml:space="preserve">Mecanismo de transcrição</w:t>
            </w:r>
          </w:p>
        </w:tc>
        <w:tc>
          <w:tcPr/>
          <w:p>
            <w:pPr>
              <w:pStyle w:val="Compact"/>
            </w:pPr>
            <w:r>
              <w:rPr>
                <w:lang w:val="pt-PT"/>
              </w:rPr>
              <w:t xml:space="preserve">whisperX (transcrição) + pyannote.audio (diarização)</w:t>
            </w:r>
          </w:p>
        </w:tc>
      </w:tr>
    </w:tbl>
    <w:p>
      <w:pPr>
        <w:pStyle w:val="BlockText"/>
      </w:pPr>
      <w:r>
        <w:rPr>
          <w:b/>
          <w:bCs/>
          <w:lang w:val="pt-PT"/>
        </w:rPr>
        <w:t xml:space="preserve">Nota sobre dimensionamento da </w:t>
      </w:r>
      <w:r>
        <w:rPr>
          <w:lang w:val="pt-PT"/>
        </w:rPr>
        <w:t xml:space="preserve"/>
      </w:r>
      <w:r>
        <w:rPr>
          <w:lang w:val="pt-PT"/>
        </w:rPr>
        <w:t xml:space="preserve">GPU. A escolha da GPU condiciona (a) o rendimento da transcrição (número de horas de áudio processado por hora), (b) o tamanho do modelo LLM local (vLLM — Qwen 3.6 ou Mistral) executável e sua latência. Uma GPU de 24 GB pode hospedar um modelo de peso aberto de tamanho médio servido por vLLM e uma fila de transcrição simultânea. Para um volume alto, forneça uma GPU de maior capacidade ou um segundo servidor GPU (escalonamento horizontal — consulte §9). O consumo de VRAM depende do modelo escolhido e da sua quantificação [a ser corrigida </w:t>
      </w:r>
      <w:r>
        <w:rPr>
          <w:lang w:val="pt-PT"/>
        </w:rPr>
        <w:t xml:space="preserve"/>
      </w:r>
      <w:r>
        <w:rPr>
          <w:rStyle w:val="VerbatimChar"/>
          <w:lang w:val="pt-PT"/>
        </w:rPr>
        <w:t xml:space="preserve">durante a </w:t>
      </w:r>
      <w:r>
        <w:rPr>
          <w:lang w:val="pt-PT"/>
        </w:rPr>
        <w:t xml:space="preserve">implementação].</w:t>
      </w:r>
    </w:p>
    <w:bookmarkEnd w:id="61"/>
    <w:bookmarkStart w:id="62" w:name="X378073033f7928f217e30617a536b1dbe6b5d63"/>
    <w:p>
      <w:pPr>
        <w:pStyle w:val="Heading3"/>
        <w:keepNext/>
        <w:keepLines/>
      </w:pPr>
      <w:r>
        <w:rPr>
          <w:color w:val="000000"/>
          <w:lang w:val="pt-PT"/>
        </w:rPr>
        <w:t xml:space="preserve">5.3 Armazenamento de backup</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Recurso</w:t>
            </w:r>
          </w:p>
        </w:tc>
        <w:tc>
          <w:tcPr/>
          <w:p>
            <w:pPr>
              <w:pStyle w:val="Compact"/>
            </w:pPr>
            <w:r>
              <w:rPr>
                <w:lang w:val="pt-PT"/>
              </w:rPr>
              <w:t xml:space="preserve">Especificação proposta</w:t>
            </w:r>
          </w:p>
        </w:tc>
      </w:tr>
      <w:tr>
        <w:trPr>
          <w:cantSplit/>
        </w:trPr>
        <w:tc>
          <w:tcPr/>
          <w:p>
            <w:pPr>
              <w:pStyle w:val="Compact"/>
            </w:pPr>
            <w:r>
              <w:rPr>
                <w:lang w:val="pt-PT"/>
              </w:rPr>
              <w:t xml:space="preserve">Capacidade</w:t>
            </w:r>
          </w:p>
        </w:tc>
        <w:tc>
          <w:tcPr/>
          <w:p>
            <w:pPr>
              <w:pStyle w:val="Compact"/>
            </w:pPr>
            <w:r>
              <w:rPr>
                <w:lang w:val="pt-PT"/>
              </w:rPr>
              <w:t xml:space="preserve">≥ 3 × o volume de produção (retenção 90 dias) — [A </w:t>
            </w:r>
            <w:r>
              <w:rPr>
                <w:lang w:val="pt-PT"/>
              </w:rPr>
              <w:t xml:space="preserve"/>
            </w:r>
            <w:r>
              <w:rPr>
                <w:rStyle w:val="VerbatimChar"/>
                <w:lang w:val="pt-PT"/>
              </w:rPr>
              <w:t xml:space="preserve">SER DIMENSIONADO §9]</w:t>
            </w:r>
          </w:p>
        </w:tc>
      </w:tr>
      <w:tr>
        <w:trPr>
          <w:cantSplit/>
        </w:trPr>
        <w:tc>
          <w:tcPr/>
          <w:p>
            <w:pPr>
              <w:pStyle w:val="Compact"/>
            </w:pPr>
            <w:r>
              <w:rPr>
                <w:lang w:val="pt-PT"/>
              </w:rPr>
              <w:t xml:space="preserve">Localização</w:t>
            </w:r>
          </w:p>
        </w:tc>
        <w:tc>
          <w:tcPr/>
          <w:p>
            <w:pPr>
              <w:pStyle w:val="Compact"/>
            </w:pPr>
            <w:r>
              <w:rPr>
                <w:lang w:val="pt-PT"/>
              </w:rPr>
              <w:t xml:space="preserve">Sala separada do local ativo (idealmente Sala B ou compartimento de backup dedicado) </w:t>
            </w:r>
            <w:r>
              <w:rPr>
                <w:lang w:val="pt-PT"/>
              </w:rPr>
              <w:t xml:space="preserve"/>
            </w:r>
            <w:r>
              <w:rPr>
                <w:rStyle w:val="VerbatimChar"/>
                <w:lang w:val="pt-PT"/>
              </w:rPr>
              <w:t xml:space="preserve">[OBRIGATÓRIO]</w:t>
            </w:r>
          </w:p>
        </w:tc>
      </w:tr>
      <w:tr>
        <w:trPr>
          <w:cantSplit/>
        </w:trPr>
        <w:tc>
          <w:tcPr/>
          <w:p>
            <w:pPr>
              <w:pStyle w:val="Compact"/>
            </w:pPr>
            <w:r>
              <w:rPr>
                <w:lang w:val="pt-PT"/>
              </w:rPr>
              <w:t xml:space="preserve">Natureza</w:t>
            </w:r>
          </w:p>
        </w:tc>
        <w:tc>
          <w:tcPr/>
          <w:p>
            <w:pPr>
              <w:pStyle w:val="Compact"/>
            </w:pPr>
            <w:r>
              <w:rPr>
                <w:lang w:val="pt-PT"/>
              </w:rPr>
              <w:t xml:space="preserve">Bastidor NAS / servidor de armazenamento / biblioteca </w:t>
            </w:r>
            <w:r>
              <w:rPr>
                <w:lang w:val="pt-PT"/>
              </w:rPr>
              <w:t xml:space="preserve"/>
            </w:r>
            <w:r>
              <w:rPr>
                <w:rStyle w:val="VerbatimChar"/>
                <w:lang w:val="pt-PT"/>
              </w:rPr>
              <w:t xml:space="preserve">— [A PREENCHER segundo as normas do Cliente]</w:t>
            </w:r>
          </w:p>
        </w:tc>
      </w:tr>
      <w:tr>
        <w:trPr>
          <w:cantSplit/>
        </w:trPr>
        <w:tc>
          <w:tcPr/>
          <w:p>
            <w:pPr>
              <w:pStyle w:val="Compact"/>
            </w:pPr>
            <w:r>
              <w:rPr>
                <w:lang w:val="pt-PT"/>
              </w:rPr>
              <w:t xml:space="preserve">Cifragem</w:t>
            </w:r>
          </w:p>
        </w:tc>
        <w:tc>
          <w:tcPr/>
          <w:p>
            <w:pPr>
              <w:pStyle w:val="Compact"/>
            </w:pPr>
            <w:r>
              <w:rPr>
                <w:lang w:val="pt-PT"/>
              </w:rPr>
              <w:t xml:space="preserve">Cópias de segurança cifradas com </w:t>
            </w:r>
            <w:r>
              <w:rPr>
                <w:lang w:val="pt-PT"/>
              </w:rPr>
              <w:t xml:space="preserve"/>
            </w:r>
            <w:r>
              <w:rPr>
                <w:rStyle w:val="VerbatimChar"/>
                <w:lang w:val="pt-PT"/>
              </w:rPr>
              <w:t xml:space="preserve">age</w:t>
            </w:r>
            <w:r>
              <w:rPr>
                <w:lang w:val="pt-PT"/>
              </w:rPr>
              <w:t xml:space="preserve"> </w:t>
            </w:r>
            <w:r>
              <w:rPr>
                <w:lang w:val="pt-PT"/>
              </w:rPr>
              <w:t xml:space="preserve">antes da escrita; cifragem de disco recomendada como complemento (infraestrutura do Cliente)</w:t>
            </w:r>
          </w:p>
        </w:tc>
      </w:tr>
    </w:tbl>
    <w:p>
      <w:r>
        <w:pict>
          <v:rect style="width:0;height:1.5pt" o:hralign="center" o:hrstd="t" o:hr="t"/>
        </w:pict>
      </w:r>
    </w:p>
    <w:bookmarkEnd w:id="62"/>
    <w:bookmarkEnd w:id="63"/>
    <w:bookmarkStart w:id="66" w:name="X97da93b647954caa8459e1874998eaa7bf65c8a"/>
    <w:p>
      <w:pPr>
        <w:pStyle w:val="Heading2"/>
        <w:keepNext/>
        <w:keepLines/>
      </w:pPr>
      <w:r>
        <w:rPr>
          <w:color w:val="000000"/>
          <w:lang w:val="pt-PT"/>
        </w:rPr>
        <w:t xml:space="preserve">6. Conexão de rede de equipamentos</w:t>
      </w:r>
    </w:p>
    <w:bookmarkStart w:id="64" w:name="X81602222658518639973e0e4453c1ef215f4a89"/>
    <w:p>
      <w:pPr>
        <w:pStyle w:val="Heading3"/>
        <w:keepNext/>
        <w:keepLines/>
      </w:pPr>
      <w:r>
        <w:rPr>
          <w:color w:val="000000"/>
          <w:lang w:val="pt-PT"/>
        </w:rPr>
        <w:t xml:space="preserve">6.1 Princípios de conexão</w:t>
      </w:r>
    </w:p>
    <w:p>
      <w:pPr>
        <w:pStyle w:val="Compact"/>
        <w:numPr>
          <w:ilvl w:val="0"/>
          <w:numId w:val="1016"/>
        </w:numPr>
      </w:pPr>
      <w:r>
        <w:rPr>
          <w:lang w:val="pt-PT"/>
        </w:rPr>
        <w:t xml:space="preserve">Cada servidor tem pelo menos duas </w:t>
      </w:r>
      <w:r>
        <w:rPr>
          <w:lang w:val="pt-PT"/>
        </w:rPr>
        <w:t xml:space="preserve"/>
      </w:r>
      <w:r>
        <w:rPr>
          <w:b/>
          <w:bCs/>
          <w:lang w:val="pt-PT"/>
        </w:rPr>
        <w:t xml:space="preserve">interfaces de dados </w:t>
      </w:r>
      <w:r>
        <w:rPr>
          <w:lang w:val="pt-PT"/>
        </w:rPr>
        <w:t xml:space="preserve"/>
      </w:r>
      <w:r>
        <w:rPr>
          <w:lang w:val="pt-PT"/>
        </w:rPr>
        <w:t xml:space="preserve">agregadas (LACP) para dois switches separados para redundância, além de uma </w:t>
      </w:r>
      <w:r>
        <w:rPr>
          <w:lang w:val="pt-PT"/>
        </w:rPr>
        <w:t xml:space="preserve"/>
      </w:r>
      <w:r>
        <w:rPr>
          <w:b/>
          <w:bCs/>
          <w:lang w:val="pt-PT"/>
        </w:rPr>
        <w:t xml:space="preserve">interface de gerenciamento fora de </w:t>
      </w:r>
      <w:r>
        <w:rPr>
          <w:lang w:val="pt-PT"/>
        </w:rPr>
        <w:t xml:space="preserve">banda </w:t>
      </w:r>
      <w:r>
        <w:rPr>
          <w:lang w:val="pt-PT"/>
        </w:rPr>
        <w:t xml:space="preserve">(IPMI/iDRAC/iLO) na VLAN de gerenciamento.</w:t>
      </w:r>
    </w:p>
    <w:p>
      <w:pPr>
        <w:pStyle w:val="Compact"/>
        <w:numPr>
          <w:ilvl w:val="0"/>
          <w:numId w:val="1016"/>
        </w:numPr>
      </w:pPr>
      <w:r>
        <w:rPr>
          <w:lang w:val="pt-PT"/>
        </w:rPr>
        <w:t xml:space="preserve">Os servidores de aplicativos estão conectados à </w:t>
      </w:r>
      <w:r>
        <w:rPr>
          <w:lang w:val="pt-PT"/>
        </w:rPr>
        <w:t xml:space="preserve"/>
      </w:r>
      <w:r>
        <w:rPr>
          <w:b/>
          <w:bCs/>
          <w:lang w:val="pt-PT"/>
        </w:rPr>
        <w:t xml:space="preserve">VLAN do servidor de aplicativos; </w:t>
      </w:r>
      <w:r>
        <w:rPr>
          <w:lang w:val="pt-PT"/>
        </w:rPr>
        <w:t xml:space="preserve"/>
      </w:r>
      <w:r>
        <w:rPr>
          <w:lang w:val="pt-PT"/>
        </w:rPr>
        <w:t xml:space="preserve">A interface de replicação/armazenamento pode ser transportada por </w:t>
      </w:r>
      <w:r>
        <w:rPr>
          <w:lang w:val="pt-PT"/>
        </w:rPr>
        <w:t xml:space="preserve">uma </w:t>
      </w:r>
      <w:r>
        <w:rPr>
          <w:b/>
          <w:bCs/>
          <w:lang w:val="pt-PT"/>
        </w:rPr>
        <w:t xml:space="preserve">VLAN dedicada de </w:t>
      </w:r>
      <w:r>
        <w:rPr>
          <w:lang w:val="pt-PT"/>
        </w:rPr>
        <w:t xml:space="preserve"/>
      </w:r>
      <w:r>
        <w:rPr>
          <w:lang w:val="pt-PT"/>
        </w:rPr>
        <w:t xml:space="preserve">armazenamento/replicação (recomendado) para isolar o tráfego entre salas.</w:t>
      </w:r>
    </w:p>
    <w:p>
      <w:pPr>
        <w:pStyle w:val="Compact"/>
        <w:numPr>
          <w:ilvl w:val="0"/>
          <w:numId w:val="1016"/>
        </w:numPr>
      </w:pPr>
      <w:r>
        <w:rPr>
          <w:lang w:val="pt-PT"/>
        </w:rPr>
        <w:t xml:space="preserve">O link entre salas Sala A ↔ Sala B deve oferecer largura de banda e latência compatíveis com replicação contínua (ver §9.4) — características do link [A INFORMAR </w:t>
      </w:r>
      <w:r>
        <w:rPr>
          <w:lang w:val="pt-PT"/>
        </w:rPr>
        <w:t xml:space="preserve"/>
      </w:r>
      <w:r>
        <w:rPr>
          <w:rStyle w:val="VerbatimChar"/>
          <w:lang w:val="pt-PT"/>
        </w:rPr>
        <w:t xml:space="preserve">ao departamento de </w:t>
      </w:r>
      <w:r>
        <w:rPr>
          <w:lang w:val="pt-PT"/>
        </w:rPr>
        <w:t xml:space="preserve">TI].</w:t>
      </w:r>
    </w:p>
    <w:bookmarkEnd w:id="64"/>
    <w:bookmarkStart w:id="65" w:name="Xf5d37c27903fc4980402529b296fc4ef50b2304"/>
    <w:p>
      <w:pPr>
        <w:pStyle w:val="Heading3"/>
        <w:keepNext/>
        <w:keepLines/>
      </w:pPr>
      <w:r>
        <w:rPr>
          <w:color w:val="000000"/>
          <w:lang w:val="pt-PT"/>
        </w:rPr>
        <w:t xml:space="preserve">6.2 Tabela de conexão (tipo)</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pt-PT"/>
              </w:rPr>
              <w:t xml:space="preserve">Servidor</w:t>
            </w:r>
          </w:p>
        </w:tc>
        <w:tc>
          <w:tcPr>
            <w:tcW w:type="dxa" w:w="1560"/>
            <w:tcMar>
              <w:left w:type="dxa" w:w="80"/>
              <w:right w:type="dxa" w:w="80"/>
            </w:tcMar>
          </w:tcPr>
          <w:p>
            <w:pPr>
              <w:pStyle w:val="Compact"/>
            </w:pPr>
            <w:r>
              <w:rPr>
                <w:sz w:val="19"/>
                <w:szCs w:val="19"/>
                <w:lang w:val="pt-PT"/>
              </w:rPr>
              <w:t xml:space="preserve">Interface</w:t>
            </w:r>
          </w:p>
        </w:tc>
        <w:tc>
          <w:tcPr>
            <w:tcW w:type="dxa" w:w="1560"/>
            <w:tcMar>
              <w:left w:type="dxa" w:w="80"/>
              <w:right w:type="dxa" w:w="80"/>
            </w:tcMar>
          </w:tcPr>
          <w:p>
            <w:pPr>
              <w:pStyle w:val="Compact"/>
            </w:pPr>
            <w:r>
              <w:rPr>
                <w:sz w:val="19"/>
                <w:szCs w:val="19"/>
                <w:lang w:val="pt-PT"/>
              </w:rPr>
              <w:t xml:space="preserve">VLAN</w:t>
            </w:r>
          </w:p>
        </w:tc>
        <w:tc>
          <w:tcPr>
            <w:tcW w:type="dxa" w:w="1560"/>
            <w:tcMar>
              <w:left w:type="dxa" w:w="80"/>
              <w:right w:type="dxa" w:w="80"/>
            </w:tcMar>
          </w:tcPr>
          <w:p>
            <w:pPr>
              <w:pStyle w:val="Compact"/>
            </w:pPr>
            <w:r>
              <w:rPr>
                <w:sz w:val="19"/>
                <w:szCs w:val="19"/>
                <w:lang w:val="pt-PT"/>
              </w:rPr>
              <w:t xml:space="preserve">Fluxo</w:t>
            </w:r>
          </w:p>
        </w:tc>
        <w:tc>
          <w:tcPr>
            <w:tcW w:type="dxa" w:w="1560"/>
            <w:tcMar>
              <w:left w:type="dxa" w:w="80"/>
              <w:right w:type="dxa" w:w="80"/>
            </w:tcMar>
          </w:tcPr>
          <w:p>
            <w:pPr>
              <w:pStyle w:val="Compact"/>
            </w:pPr>
            <w:r>
              <w:rPr>
                <w:sz w:val="19"/>
                <w:szCs w:val="19"/>
                <w:lang w:val="pt-PT"/>
              </w:rPr>
              <w:t xml:space="preserve">Comutador</w:t>
            </w:r>
          </w:p>
        </w:tc>
        <w:tc>
          <w:tcPr>
            <w:tcW w:type="dxa" w:w="1560"/>
            <w:tcMar>
              <w:left w:type="dxa" w:w="80"/>
              <w:right w:type="dxa" w:w="80"/>
            </w:tcMar>
          </w:tcPr>
          <w:p>
            <w:pPr>
              <w:pStyle w:val="Compact"/>
            </w:pPr>
            <w:r>
              <w:rPr>
                <w:sz w:val="19"/>
                <w:szCs w:val="19"/>
                <w:lang w:val="pt-PT"/>
              </w:rPr>
              <w:t xml:space="preserve">Nota</w:t>
            </w:r>
          </w:p>
        </w:tc>
      </w:tr>
      <w:tr>
        <w:trPr>
          <w:cantSplit/>
        </w:trPr>
        <w:tc>
          <w:tcPr>
            <w:tcW w:type="dxa" w:w="1560"/>
            <w:tcMar>
              <w:left w:type="dxa" w:w="80"/>
              <w:right w:type="dxa" w:w="80"/>
            </w:tcMar>
          </w:tcPr>
          <w:p>
            <w:pPr>
              <w:pStyle w:val="Compact"/>
            </w:pPr>
            <w:r>
              <w:rPr>
                <w:sz w:val="19"/>
                <w:szCs w:val="19"/>
                <w:lang w:val="pt-PT"/>
              </w:rPr>
              <w:t xml:space="preserve">Sala de Aplicação A</w:t>
            </w:r>
          </w:p>
        </w:tc>
        <w:tc>
          <w:tcPr>
            <w:tcW w:type="dxa" w:w="1560"/>
            <w:tcMar>
              <w:left w:type="dxa" w:w="80"/>
              <w:right w:type="dxa" w:w="80"/>
            </w:tcMar>
          </w:tcPr>
          <w:p>
            <w:pPr>
              <w:pStyle w:val="Compact"/>
            </w:pPr>
            <w:r>
              <w:rPr>
                <w:sz w:val="19"/>
                <w:szCs w:val="19"/>
                <w:lang w:val="pt-PT"/>
              </w:rPr>
              <w:t xml:space="preserve">eth0+eth1 (LACP)</w:t>
            </w:r>
          </w:p>
        </w:tc>
        <w:tc>
          <w:tcPr>
            <w:tcW w:type="dxa" w:w="1560"/>
            <w:tcMar>
              <w:left w:type="dxa" w:w="80"/>
              <w:right w:type="dxa" w:w="80"/>
            </w:tcMar>
          </w:tcPr>
          <w:p>
            <w:pPr>
              <w:pStyle w:val="Compact"/>
            </w:pPr>
            <w:r>
              <w:rPr>
                <w:sz w:val="19"/>
                <w:szCs w:val="19"/>
                <w:lang w:val="pt-PT"/>
              </w:rPr>
              <w:t xml:space="preserve">Servidores </w:t>
            </w:r>
            <w:r>
              <w:rPr>
                <w:sz w:val="19"/>
                <w:szCs w:val="19"/>
                <w:lang w:val="pt-PT"/>
              </w:rPr>
              <w:t xml:space="preserve"/>
            </w:r>
            <w:r>
              <w:rPr>
                <w:rStyle w:val="VerbatimChar"/>
                <w:sz w:val="19"/>
                <w:szCs w:val="19"/>
                <w:lang w:val="pt-PT"/>
              </w:rPr>
              <w:t xml:space="preserve">app [A PREENCHER]</w:t>
            </w:r>
          </w:p>
        </w:tc>
        <w:tc>
          <w:tcPr>
            <w:tcW w:type="dxa" w:w="1560"/>
            <w:tcMar>
              <w:left w:type="dxa" w:w="80"/>
              <w:right w:type="dxa" w:w="80"/>
            </w:tcMar>
          </w:tcPr>
          <w:p>
            <w:pPr>
              <w:pStyle w:val="Compact"/>
            </w:pPr>
            <w:r>
              <w:rPr>
                <w:sz w:val="19"/>
                <w:szCs w:val="19"/>
                <w:lang w:val="pt-PT"/>
              </w:rPr>
              <w:t xml:space="preserve">2x10 GbE</w:t>
            </w:r>
          </w:p>
        </w:tc>
        <w:tc>
          <w:tcPr>
            <w:tcW w:type="dxa" w:w="1560"/>
            <w:tcMar>
              <w:left w:type="dxa" w:w="80"/>
              <w:right w:type="dxa" w:w="80"/>
            </w:tcMar>
          </w:tcPr>
          <w:p>
            <w:pPr>
              <w:pStyle w:val="Compact"/>
            </w:pPr>
            <w:r>
              <w:rPr>
                <w:sz w:val="19"/>
                <w:szCs w:val="19"/>
                <w:lang w:val="pt-PT"/>
              </w:rPr>
              <w:t xml:space="preserve">SW-A-1 / SW-A-2</w:t>
            </w:r>
          </w:p>
        </w:tc>
        <w:tc>
          <w:tcPr>
            <w:tcW w:type="dxa" w:w="1560"/>
            <w:tcMar>
              <w:left w:type="dxa" w:w="80"/>
              <w:right w:type="dxa" w:w="80"/>
            </w:tcMar>
          </w:tcPr>
          <w:p>
            <w:pPr>
              <w:pStyle w:val="Compact"/>
            </w:pPr>
            <w:r>
              <w:rPr>
                <w:sz w:val="19"/>
                <w:szCs w:val="19"/>
                <w:lang w:val="pt-PT"/>
              </w:rPr>
              <w:t xml:space="preserve">Tráfego de aplicativos</w:t>
            </w:r>
          </w:p>
        </w:tc>
      </w:tr>
      <w:tr>
        <w:trPr>
          <w:cantSplit/>
        </w:trPr>
        <w:tc>
          <w:tcPr>
            <w:tcW w:type="dxa" w:w="1560"/>
            <w:tcMar>
              <w:left w:type="dxa" w:w="80"/>
              <w:right w:type="dxa" w:w="80"/>
            </w:tcMar>
          </w:tcPr>
          <w:p>
            <w:pPr>
              <w:pStyle w:val="Compact"/>
            </w:pPr>
            <w:r>
              <w:rPr>
                <w:sz w:val="19"/>
                <w:szCs w:val="19"/>
                <w:lang w:val="pt-PT"/>
              </w:rPr>
              <w:t xml:space="preserve">Sala de Aplicação A</w:t>
            </w:r>
          </w:p>
        </w:tc>
        <w:tc>
          <w:tcPr>
            <w:tcW w:type="dxa" w:w="1560"/>
            <w:tcMar>
              <w:left w:type="dxa" w:w="80"/>
              <w:right w:type="dxa" w:w="80"/>
            </w:tcMar>
          </w:tcPr>
          <w:p>
            <w:pPr>
              <w:pStyle w:val="Compact"/>
            </w:pPr>
            <w:r>
              <w:rPr>
                <w:sz w:val="19"/>
                <w:szCs w:val="19"/>
                <w:lang w:val="pt-PT"/>
              </w:rPr>
              <w:t xml:space="preserve">eth2</w:t>
            </w:r>
          </w:p>
        </w:tc>
        <w:tc>
          <w:tcPr>
            <w:tcW w:type="dxa" w:w="1560"/>
            <w:tcMar>
              <w:left w:type="dxa" w:w="80"/>
              <w:right w:type="dxa" w:w="80"/>
            </w:tcMar>
          </w:tcPr>
          <w:p>
            <w:pPr>
              <w:pStyle w:val="Compact"/>
            </w:pPr>
            <w:r>
              <w:rPr>
                <w:sz w:val="19"/>
                <w:szCs w:val="19"/>
                <w:lang w:val="pt-PT"/>
              </w:rPr>
              <w:t xml:space="preserve">Armazenamento/replicação </w:t>
            </w:r>
            <w:r>
              <w:rPr>
                <w:sz w:val="19"/>
                <w:szCs w:val="19"/>
                <w:lang w:val="pt-PT"/>
              </w:rPr>
              <w:t xml:space="preserve"/>
            </w:r>
            <w:r>
              <w:rPr>
                <w:rStyle w:val="VerbatimChar"/>
                <w:sz w:val="19"/>
                <w:szCs w:val="19"/>
                <w:lang w:val="pt-PT"/>
              </w:rPr>
              <w:t xml:space="preserve">[OBRIGATÓRIO]</w:t>
            </w:r>
          </w:p>
        </w:tc>
        <w:tc>
          <w:tcPr>
            <w:tcW w:type="dxa" w:w="1560"/>
            <w:tcMar>
              <w:left w:type="dxa" w:w="80"/>
              <w:right w:type="dxa" w:w="80"/>
            </w:tcMar>
          </w:tcPr>
          <w:p>
            <w:pPr>
              <w:pStyle w:val="Compact"/>
            </w:pPr>
            <w:r>
              <w:rPr>
                <w:sz w:val="19"/>
                <w:szCs w:val="19"/>
                <w:lang w:val="pt-PT"/>
              </w:rPr>
              <w:t xml:space="preserve">10 GbE</w:t>
            </w:r>
          </w:p>
        </w:tc>
        <w:tc>
          <w:tcPr>
            <w:tcW w:type="dxa" w:w="1560"/>
            <w:tcMar>
              <w:left w:type="dxa" w:w="80"/>
              <w:right w:type="dxa" w:w="80"/>
            </w:tcMar>
          </w:tcPr>
          <w:p>
            <w:pPr>
              <w:pStyle w:val="Compact"/>
            </w:pPr>
            <w:r>
              <w:rPr>
                <w:sz w:val="19"/>
                <w:szCs w:val="19"/>
                <w:lang w:val="pt-PT"/>
              </w:rPr>
              <w:t xml:space="preserve">SW-A-x</w:t>
            </w:r>
          </w:p>
        </w:tc>
        <w:tc>
          <w:tcPr>
            <w:tcW w:type="dxa" w:w="1560"/>
            <w:tcMar>
              <w:left w:type="dxa" w:w="80"/>
              <w:right w:type="dxa" w:w="80"/>
            </w:tcMar>
          </w:tcPr>
          <w:p>
            <w:pPr>
              <w:pStyle w:val="Compact"/>
            </w:pPr>
            <w:r>
              <w:rPr>
                <w:sz w:val="19"/>
                <w:szCs w:val="19"/>
                <w:lang w:val="pt-PT"/>
              </w:rPr>
              <w:t xml:space="preserve">Replicação + sincronização</w:t>
            </w:r>
          </w:p>
        </w:tc>
      </w:tr>
      <w:tr>
        <w:trPr>
          <w:cantSplit/>
        </w:trPr>
        <w:tc>
          <w:tcPr>
            <w:tcW w:type="dxa" w:w="1560"/>
            <w:tcMar>
              <w:left w:type="dxa" w:w="80"/>
              <w:right w:type="dxa" w:w="80"/>
            </w:tcMar>
          </w:tcPr>
          <w:p>
            <w:pPr>
              <w:pStyle w:val="Compact"/>
            </w:pPr>
            <w:r>
              <w:rPr>
                <w:sz w:val="19"/>
                <w:szCs w:val="19"/>
                <w:lang w:val="pt-PT"/>
              </w:rPr>
              <w:t xml:space="preserve">Sala de Aplicação A</w:t>
            </w:r>
          </w:p>
        </w:tc>
        <w:tc>
          <w:tcPr>
            <w:tcW w:type="dxa" w:w="1560"/>
            <w:tcMar>
              <w:left w:type="dxa" w:w="80"/>
              <w:right w:type="dxa" w:w="80"/>
            </w:tcMar>
          </w:tcPr>
          <w:p>
            <w:pPr>
              <w:pStyle w:val="Compact"/>
            </w:pPr>
            <w:r>
              <w:rPr>
                <w:sz w:val="19"/>
                <w:szCs w:val="19"/>
                <w:lang w:val="pt-PT"/>
              </w:rPr>
              <w:t xml:space="preserve">mgmt</w:t>
            </w:r>
          </w:p>
        </w:tc>
        <w:tc>
          <w:tcPr>
            <w:tcW w:type="dxa" w:w="1560"/>
            <w:tcMar>
              <w:left w:type="dxa" w:w="80"/>
              <w:right w:type="dxa" w:w="80"/>
            </w:tcMar>
          </w:tcPr>
          <w:p>
            <w:pPr>
              <w:pStyle w:val="Compact"/>
            </w:pPr>
            <w:r>
              <w:rPr>
                <w:sz w:val="19"/>
                <w:szCs w:val="19"/>
                <w:lang w:val="pt-PT"/>
              </w:rPr>
              <w:t xml:space="preserve">Administração </w:t>
            </w:r>
            <w:r>
              <w:rPr>
                <w:sz w:val="19"/>
                <w:szCs w:val="19"/>
                <w:lang w:val="pt-PT"/>
              </w:rPr>
              <w:t xml:space="preserve">[A </w:t>
            </w:r>
            <w:r>
              <w:rPr>
                <w:rStyle w:val="VerbatimChar"/>
                <w:sz w:val="19"/>
                <w:szCs w:val="19"/>
                <w:lang w:val="pt-PT"/>
              </w:rPr>
              <w:t xml:space="preserve">SER INFORMADO]</w:t>
            </w:r>
          </w:p>
        </w:tc>
        <w:tc>
          <w:tcPr>
            <w:tcW w:type="dxa" w:w="1560"/>
            <w:tcMar>
              <w:left w:type="dxa" w:w="80"/>
              <w:right w:type="dxa" w:w="80"/>
            </w:tcMar>
          </w:tcPr>
          <w:p>
            <w:pPr>
              <w:pStyle w:val="Compact"/>
            </w:pPr>
            <w:r>
              <w:rPr>
                <w:sz w:val="19"/>
                <w:szCs w:val="19"/>
                <w:lang w:val="pt-PT"/>
              </w:rPr>
              <w:t xml:space="preserve">1 GbE</w:t>
            </w:r>
          </w:p>
        </w:tc>
        <w:tc>
          <w:tcPr>
            <w:tcW w:type="dxa" w:w="1560"/>
            <w:tcMar>
              <w:left w:type="dxa" w:w="80"/>
              <w:right w:type="dxa" w:w="80"/>
            </w:tcMar>
          </w:tcPr>
          <w:p>
            <w:pPr>
              <w:pStyle w:val="Compact"/>
            </w:pPr>
            <w:r>
              <w:rPr>
                <w:sz w:val="19"/>
                <w:szCs w:val="19"/>
                <w:lang w:val="pt-PT"/>
              </w:rPr>
              <w:t xml:space="preserve">SW-MGMT</w:t>
            </w:r>
          </w:p>
        </w:tc>
        <w:tc>
          <w:tcPr>
            <w:tcW w:type="dxa" w:w="1560"/>
            <w:tcMar>
              <w:left w:type="dxa" w:w="80"/>
              <w:right w:type="dxa" w:w="80"/>
            </w:tcMar>
          </w:tcPr>
          <w:p>
            <w:pPr>
              <w:pStyle w:val="Compact"/>
            </w:pPr>
            <w:r>
              <w:rPr>
                <w:sz w:val="19"/>
                <w:szCs w:val="19"/>
                <w:lang w:val="pt-PT"/>
              </w:rPr>
              <w:t xml:space="preserve">Fora de banda</w:t>
            </w:r>
          </w:p>
        </w:tc>
      </w:tr>
      <w:tr>
        <w:trPr>
          <w:cantSplit/>
        </w:trPr>
        <w:tc>
          <w:tcPr>
            <w:tcW w:type="dxa" w:w="1560"/>
            <w:tcMar>
              <w:left w:type="dxa" w:w="80"/>
              <w:right w:type="dxa" w:w="80"/>
            </w:tcMar>
          </w:tcPr>
          <w:p>
            <w:pPr>
              <w:pStyle w:val="Compact"/>
            </w:pPr>
            <w:r>
              <w:rPr>
                <w:sz w:val="19"/>
                <w:szCs w:val="19"/>
                <w:lang w:val="pt-PT"/>
              </w:rPr>
              <w:t xml:space="preserve">Sala GPU A</w:t>
            </w:r>
          </w:p>
        </w:tc>
        <w:tc>
          <w:tcPr>
            <w:tcW w:type="dxa" w:w="1560"/>
            <w:tcMar>
              <w:left w:type="dxa" w:w="80"/>
              <w:right w:type="dxa" w:w="80"/>
            </w:tcMar>
          </w:tcPr>
          <w:p>
            <w:pPr>
              <w:pStyle w:val="Compact"/>
            </w:pPr>
            <w:r>
              <w:rPr>
                <w:sz w:val="19"/>
                <w:szCs w:val="19"/>
                <w:lang w:val="pt-PT"/>
              </w:rPr>
              <w:t xml:space="preserve">eth0+eth1 (LACP)</w:t>
            </w:r>
          </w:p>
        </w:tc>
        <w:tc>
          <w:tcPr>
            <w:tcW w:type="dxa" w:w="1560"/>
            <w:tcMar>
              <w:left w:type="dxa" w:w="80"/>
              <w:right w:type="dxa" w:w="80"/>
            </w:tcMar>
          </w:tcPr>
          <w:p>
            <w:pPr>
              <w:pStyle w:val="Compact"/>
            </w:pPr>
            <w:r>
              <w:rPr>
                <w:sz w:val="19"/>
                <w:szCs w:val="19"/>
                <w:lang w:val="pt-PT"/>
              </w:rPr>
              <w:t xml:space="preserve">Servidores </w:t>
            </w:r>
            <w:r>
              <w:rPr>
                <w:sz w:val="19"/>
                <w:szCs w:val="19"/>
                <w:lang w:val="pt-PT"/>
              </w:rPr>
              <w:t xml:space="preserve"/>
            </w:r>
            <w:r>
              <w:rPr>
                <w:rStyle w:val="VerbatimChar"/>
                <w:sz w:val="19"/>
                <w:szCs w:val="19"/>
                <w:lang w:val="pt-PT"/>
              </w:rPr>
              <w:t xml:space="preserve">app [A PREENCHER]</w:t>
            </w:r>
          </w:p>
        </w:tc>
        <w:tc>
          <w:tcPr>
            <w:tcW w:type="dxa" w:w="1560"/>
            <w:tcMar>
              <w:left w:type="dxa" w:w="80"/>
              <w:right w:type="dxa" w:w="80"/>
            </w:tcMar>
          </w:tcPr>
          <w:p>
            <w:pPr>
              <w:pStyle w:val="Compact"/>
            </w:pPr>
            <w:r>
              <w:rPr>
                <w:sz w:val="19"/>
                <w:szCs w:val="19"/>
                <w:lang w:val="pt-PT"/>
              </w:rPr>
              <w:t xml:space="preserve">2x10 GbE</w:t>
            </w:r>
          </w:p>
        </w:tc>
        <w:tc>
          <w:tcPr>
            <w:tcW w:type="dxa" w:w="1560"/>
            <w:tcMar>
              <w:left w:type="dxa" w:w="80"/>
              <w:right w:type="dxa" w:w="80"/>
            </w:tcMar>
          </w:tcPr>
          <w:p>
            <w:pPr>
              <w:pStyle w:val="Compact"/>
            </w:pPr>
            <w:r>
              <w:rPr>
                <w:sz w:val="19"/>
                <w:szCs w:val="19"/>
                <w:lang w:val="pt-PT"/>
              </w:rPr>
              <w:t xml:space="preserve">SW-A-1 / SW-A-2</w:t>
            </w:r>
          </w:p>
        </w:tc>
        <w:tc>
          <w:tcPr>
            <w:tcW w:type="dxa" w:w="1560"/>
            <w:tcMar>
              <w:left w:type="dxa" w:w="80"/>
              <w:right w:type="dxa" w:w="80"/>
            </w:tcMar>
          </w:tcPr>
          <w:p>
            <w:pPr>
              <w:pStyle w:val="Compact"/>
            </w:pPr>
            <w:r>
              <w:rPr>
                <w:sz w:val="19"/>
                <w:szCs w:val="19"/>
                <w:lang w:val="pt-PT"/>
              </w:rPr>
              <w:t xml:space="preserve">API de pesquisa + IA</w:t>
            </w:r>
          </w:p>
        </w:tc>
      </w:tr>
      <w:tr>
        <w:trPr>
          <w:cantSplit/>
        </w:trPr>
        <w:tc>
          <w:tcPr>
            <w:tcW w:type="dxa" w:w="1560"/>
            <w:tcMar>
              <w:left w:type="dxa" w:w="80"/>
              <w:right w:type="dxa" w:w="80"/>
            </w:tcMar>
          </w:tcPr>
          <w:p>
            <w:pPr>
              <w:pStyle w:val="Compact"/>
            </w:pPr>
            <w:r>
              <w:rPr>
                <w:sz w:val="19"/>
                <w:szCs w:val="19"/>
                <w:lang w:val="pt-PT"/>
              </w:rPr>
              <w:t xml:space="preserve">Sala de Aplicação B</w:t>
            </w:r>
          </w:p>
        </w:tc>
        <w:tc>
          <w:tcPr>
            <w:tcW w:type="dxa" w:w="1560"/>
            <w:tcMar>
              <w:left w:type="dxa" w:w="80"/>
              <w:right w:type="dxa" w:w="80"/>
            </w:tcMar>
          </w:tcPr>
          <w:p>
            <w:pPr>
              <w:pStyle w:val="Compact"/>
            </w:pPr>
            <w:r>
              <w:rPr>
                <w:sz w:val="19"/>
                <w:szCs w:val="19"/>
                <w:lang w:val="pt-PT"/>
              </w:rPr>
              <w:t xml:space="preserve">eth0+eth1 (LACP)</w:t>
            </w:r>
          </w:p>
        </w:tc>
        <w:tc>
          <w:tcPr>
            <w:tcW w:type="dxa" w:w="1560"/>
            <w:tcMar>
              <w:left w:type="dxa" w:w="80"/>
              <w:right w:type="dxa" w:w="80"/>
            </w:tcMar>
          </w:tcPr>
          <w:p>
            <w:pPr>
              <w:pStyle w:val="Compact"/>
            </w:pPr>
            <w:r>
              <w:rPr>
                <w:sz w:val="19"/>
                <w:szCs w:val="19"/>
                <w:lang w:val="pt-PT"/>
              </w:rPr>
              <w:t xml:space="preserve">Servidores </w:t>
            </w:r>
            <w:r>
              <w:rPr>
                <w:sz w:val="19"/>
                <w:szCs w:val="19"/>
                <w:lang w:val="pt-PT"/>
              </w:rPr>
              <w:t xml:space="preserve"/>
            </w:r>
            <w:r>
              <w:rPr>
                <w:rStyle w:val="VerbatimChar"/>
                <w:sz w:val="19"/>
                <w:szCs w:val="19"/>
                <w:lang w:val="pt-PT"/>
              </w:rPr>
              <w:t xml:space="preserve">app [A PREENCHER]</w:t>
            </w:r>
          </w:p>
        </w:tc>
        <w:tc>
          <w:tcPr>
            <w:tcW w:type="dxa" w:w="1560"/>
            <w:tcMar>
              <w:left w:type="dxa" w:w="80"/>
              <w:right w:type="dxa" w:w="80"/>
            </w:tcMar>
          </w:tcPr>
          <w:p>
            <w:pPr>
              <w:pStyle w:val="Compact"/>
            </w:pPr>
            <w:r>
              <w:rPr>
                <w:sz w:val="19"/>
                <w:szCs w:val="19"/>
                <w:lang w:val="pt-PT"/>
              </w:rPr>
              <w:t xml:space="preserve">2x10 GbE</w:t>
            </w:r>
          </w:p>
        </w:tc>
        <w:tc>
          <w:tcPr>
            <w:tcW w:type="dxa" w:w="1560"/>
            <w:tcMar>
              <w:left w:type="dxa" w:w="80"/>
              <w:right w:type="dxa" w:w="80"/>
            </w:tcMar>
          </w:tcPr>
          <w:p>
            <w:pPr>
              <w:pStyle w:val="Compact"/>
            </w:pPr>
            <w:r>
              <w:rPr>
                <w:sz w:val="19"/>
                <w:szCs w:val="19"/>
                <w:lang w:val="pt-PT"/>
              </w:rPr>
              <w:t xml:space="preserve">SW-B-1 / SW-B-2</w:t>
            </w:r>
          </w:p>
        </w:tc>
        <w:tc>
          <w:tcPr>
            <w:tcW w:type="dxa" w:w="1560"/>
            <w:tcMar>
              <w:left w:type="dxa" w:w="80"/>
              <w:right w:type="dxa" w:w="80"/>
            </w:tcMar>
          </w:tcPr>
          <w:p>
            <w:pPr>
              <w:pStyle w:val="Compact"/>
            </w:pPr>
            <w:r>
              <w:rPr>
                <w:sz w:val="19"/>
                <w:szCs w:val="19"/>
                <w:lang w:val="pt-PT"/>
              </w:rPr>
              <w:t xml:space="preserve">Espera</w:t>
            </w:r>
          </w:p>
        </w:tc>
      </w:tr>
      <w:tr>
        <w:trPr>
          <w:cantSplit/>
        </w:trPr>
        <w:tc>
          <w:tcPr>
            <w:tcW w:type="dxa" w:w="1560"/>
            <w:tcMar>
              <w:left w:type="dxa" w:w="80"/>
              <w:right w:type="dxa" w:w="80"/>
            </w:tcMar>
          </w:tcPr>
          <w:p>
            <w:pPr>
              <w:pStyle w:val="Compact"/>
            </w:pPr>
            <w:r>
              <w:rPr>
                <w:sz w:val="19"/>
                <w:szCs w:val="19"/>
                <w:lang w:val="pt-PT"/>
              </w:rPr>
              <w:t xml:space="preserve">Sala de Aplicação B</w:t>
            </w:r>
          </w:p>
        </w:tc>
        <w:tc>
          <w:tcPr>
            <w:tcW w:type="dxa" w:w="1560"/>
            <w:tcMar>
              <w:left w:type="dxa" w:w="80"/>
              <w:right w:type="dxa" w:w="80"/>
            </w:tcMar>
          </w:tcPr>
          <w:p>
            <w:pPr>
              <w:pStyle w:val="Compact"/>
            </w:pPr>
            <w:r>
              <w:rPr>
                <w:sz w:val="19"/>
                <w:szCs w:val="19"/>
                <w:lang w:val="pt-PT"/>
              </w:rPr>
              <w:t xml:space="preserve">eth2</w:t>
            </w:r>
          </w:p>
        </w:tc>
        <w:tc>
          <w:tcPr>
            <w:tcW w:type="dxa" w:w="1560"/>
            <w:tcMar>
              <w:left w:type="dxa" w:w="80"/>
              <w:right w:type="dxa" w:w="80"/>
            </w:tcMar>
          </w:tcPr>
          <w:p>
            <w:pPr>
              <w:pStyle w:val="Compact"/>
            </w:pPr>
            <w:r>
              <w:rPr>
                <w:sz w:val="19"/>
                <w:szCs w:val="19"/>
                <w:lang w:val="pt-PT"/>
              </w:rPr>
              <w:t xml:space="preserve">Armazenamento/replicação </w:t>
            </w:r>
            <w:r>
              <w:rPr>
                <w:sz w:val="19"/>
                <w:szCs w:val="19"/>
                <w:lang w:val="pt-PT"/>
              </w:rPr>
              <w:t xml:space="preserve"/>
            </w:r>
            <w:r>
              <w:rPr>
                <w:rStyle w:val="VerbatimChar"/>
                <w:sz w:val="19"/>
                <w:szCs w:val="19"/>
                <w:lang w:val="pt-PT"/>
              </w:rPr>
              <w:t xml:space="preserve">[OBRIGATÓRIO]</w:t>
            </w:r>
          </w:p>
        </w:tc>
        <w:tc>
          <w:tcPr>
            <w:tcW w:type="dxa" w:w="1560"/>
            <w:tcMar>
              <w:left w:type="dxa" w:w="80"/>
              <w:right w:type="dxa" w:w="80"/>
            </w:tcMar>
          </w:tcPr>
          <w:p>
            <w:pPr>
              <w:pStyle w:val="Compact"/>
            </w:pPr>
            <w:r>
              <w:rPr>
                <w:sz w:val="19"/>
                <w:szCs w:val="19"/>
                <w:lang w:val="pt-PT"/>
              </w:rPr>
              <w:t xml:space="preserve">10 GbE</w:t>
            </w:r>
          </w:p>
        </w:tc>
        <w:tc>
          <w:tcPr>
            <w:tcW w:type="dxa" w:w="1560"/>
            <w:tcMar>
              <w:left w:type="dxa" w:w="80"/>
              <w:right w:type="dxa" w:w="80"/>
            </w:tcMar>
          </w:tcPr>
          <w:p>
            <w:pPr>
              <w:pStyle w:val="Compact"/>
            </w:pPr>
            <w:r>
              <w:rPr>
                <w:sz w:val="19"/>
                <w:szCs w:val="19"/>
                <w:lang w:val="pt-PT"/>
              </w:rPr>
              <w:t xml:space="preserve">SW-B-x</w:t>
            </w:r>
          </w:p>
        </w:tc>
        <w:tc>
          <w:tcPr>
            <w:tcW w:type="dxa" w:w="1560"/>
            <w:tcMar>
              <w:left w:type="dxa" w:w="80"/>
              <w:right w:type="dxa" w:w="80"/>
            </w:tcMar>
          </w:tcPr>
          <w:p>
            <w:pPr>
              <w:pStyle w:val="Compact"/>
            </w:pPr>
            <w:r>
              <w:rPr>
                <w:sz w:val="19"/>
                <w:szCs w:val="19"/>
                <w:lang w:val="pt-PT"/>
              </w:rPr>
              <w:t xml:space="preserve">Receção</w:t>
            </w:r>
          </w:p>
        </w:tc>
      </w:tr>
      <w:tr>
        <w:trPr>
          <w:cantSplit/>
        </w:trPr>
        <w:tc>
          <w:tcPr>
            <w:tcW w:type="dxa" w:w="1560"/>
            <w:tcMar>
              <w:left w:type="dxa" w:w="80"/>
              <w:right w:type="dxa" w:w="80"/>
            </w:tcMar>
          </w:tcPr>
          <w:p>
            <w:pPr>
              <w:pStyle w:val="Compact"/>
            </w:pPr>
            <w:r>
              <w:rPr>
                <w:sz w:val="19"/>
                <w:szCs w:val="19"/>
                <w:lang w:val="pt-PT"/>
              </w:rPr>
              <w:t xml:space="preserve">Sala B da GPU</w:t>
            </w:r>
          </w:p>
        </w:tc>
        <w:tc>
          <w:tcPr>
            <w:tcW w:type="dxa" w:w="1560"/>
            <w:tcMar>
              <w:left w:type="dxa" w:w="80"/>
              <w:right w:type="dxa" w:w="80"/>
            </w:tcMar>
          </w:tcPr>
          <w:p>
            <w:pPr>
              <w:pStyle w:val="Compact"/>
            </w:pPr>
            <w:r>
              <w:rPr>
                <w:sz w:val="19"/>
                <w:szCs w:val="19"/>
                <w:lang w:val="pt-PT"/>
              </w:rPr>
              <w:t xml:space="preserve">eth0+eth1 (LACP)</w:t>
            </w:r>
          </w:p>
        </w:tc>
        <w:tc>
          <w:tcPr>
            <w:tcW w:type="dxa" w:w="1560"/>
            <w:tcMar>
              <w:left w:type="dxa" w:w="80"/>
              <w:right w:type="dxa" w:w="80"/>
            </w:tcMar>
          </w:tcPr>
          <w:p>
            <w:pPr>
              <w:pStyle w:val="Compact"/>
            </w:pPr>
            <w:r>
              <w:rPr>
                <w:sz w:val="19"/>
                <w:szCs w:val="19"/>
                <w:lang w:val="pt-PT"/>
              </w:rPr>
              <w:t xml:space="preserve">Servidores </w:t>
            </w:r>
            <w:r>
              <w:rPr>
                <w:sz w:val="19"/>
                <w:szCs w:val="19"/>
                <w:lang w:val="pt-PT"/>
              </w:rPr>
              <w:t xml:space="preserve"/>
            </w:r>
            <w:r>
              <w:rPr>
                <w:rStyle w:val="VerbatimChar"/>
                <w:sz w:val="19"/>
                <w:szCs w:val="19"/>
                <w:lang w:val="pt-PT"/>
              </w:rPr>
              <w:t xml:space="preserve">app [A PREENCHER]</w:t>
            </w:r>
          </w:p>
        </w:tc>
        <w:tc>
          <w:tcPr>
            <w:tcW w:type="dxa" w:w="1560"/>
            <w:tcMar>
              <w:left w:type="dxa" w:w="80"/>
              <w:right w:type="dxa" w:w="80"/>
            </w:tcMar>
          </w:tcPr>
          <w:p>
            <w:pPr>
              <w:pStyle w:val="Compact"/>
            </w:pPr>
            <w:r>
              <w:rPr>
                <w:sz w:val="19"/>
                <w:szCs w:val="19"/>
                <w:lang w:val="pt-PT"/>
              </w:rPr>
              <w:t xml:space="preserve">2x10 GbE</w:t>
            </w:r>
          </w:p>
        </w:tc>
        <w:tc>
          <w:tcPr>
            <w:tcW w:type="dxa" w:w="1560"/>
            <w:tcMar>
              <w:left w:type="dxa" w:w="80"/>
              <w:right w:type="dxa" w:w="80"/>
            </w:tcMar>
          </w:tcPr>
          <w:p>
            <w:pPr>
              <w:pStyle w:val="Compact"/>
            </w:pPr>
            <w:r>
              <w:rPr>
                <w:sz w:val="19"/>
                <w:szCs w:val="19"/>
                <w:lang w:val="pt-PT"/>
              </w:rPr>
              <w:t xml:space="preserve">SW-B-1 / SW-B-2</w:t>
            </w:r>
          </w:p>
        </w:tc>
        <w:tc>
          <w:tcPr>
            <w:tcW w:type="dxa" w:w="1560"/>
            <w:tcMar>
              <w:left w:type="dxa" w:w="80"/>
              <w:right w:type="dxa" w:w="80"/>
            </w:tcMar>
          </w:tcPr>
          <w:p>
            <w:pPr>
              <w:pStyle w:val="Compact"/>
            </w:pPr>
            <w:r>
              <w:rPr>
                <w:sz w:val="19"/>
                <w:szCs w:val="19"/>
                <w:lang w:val="pt-PT"/>
              </w:rPr>
              <w:t xml:space="preserve">Espera</w:t>
            </w:r>
          </w:p>
        </w:tc>
      </w:tr>
    </w:tbl>
    <w:p>
      <w:pPr>
        <w:pStyle w:val="BodyText"/>
      </w:pPr>
      <w:r>
        <w:rPr>
          <w:i/>
          <w:iCs/>
          <w:lang w:val="pt-PT"/>
        </w:rPr>
        <w:t xml:space="preserve">Esta tabela de conexão será fornecida no formato Microsoft Visio (.vsdx) durante a fase de implementação, complementada com elementos específicos do site.</w:t>
      </w:r>
    </w:p>
    <w:p>
      <w:r>
        <w:pict>
          <v:rect style="width:0;height:1.5pt" o:hralign="center" o:hrstd="t" o:hr="t"/>
        </w:pict>
      </w:r>
    </w:p>
    <w:bookmarkEnd w:id="65"/>
    <w:bookmarkEnd w:id="66"/>
    <w:bookmarkStart w:id="73" w:name="X5d2055233a37e7f323a1bb5f875847c50cf7098"/>
    <w:p>
      <w:pPr>
        <w:pStyle w:val="Heading2"/>
        <w:keepNext/>
        <w:keepLines/>
      </w:pPr>
      <w:r>
        <w:rPr>
          <w:color w:val="000000"/>
          <w:lang w:val="pt-PT"/>
        </w:rPr>
        <w:t xml:space="preserve">7. Diagrama de rede de nível 1 (global e por sala)</w:t>
      </w:r>
    </w:p>
    <w:bookmarkStart w:id="70" w:name="X9a9c6d09a66b0cadd940e379f141ff5c3b98c2a"/>
    <w:p>
      <w:pPr>
        <w:pStyle w:val="Heading3"/>
        <w:keepNext/>
        <w:keepLines/>
      </w:pPr>
      <w:r>
        <w:rPr>
          <w:color w:val="000000"/>
          <w:lang w:val="pt-PT"/>
        </w:rPr>
        <w:t xml:space="preserve">7.1 Diagrama geral (nível 1)</w:t>
      </w:r>
    </w:p>
    <w:p>
      <w:pPr>
        <w:pStyle w:val="FirstParagraph"/>
        <w:keepNext/>
      </w:pPr>
      <w:r>
        <w:drawing>
          <wp:inline>
            <wp:extent cx="4034118" cy="6858000"/>
            <wp:effectExtent b="0" l="0" r="0" t="0"/>
            <wp:docPr descr="Schéma réseau de niveau 1" title="" id="68" name="Picture"/>
            <a:graphic>
              <a:graphicData uri="http://schemas.openxmlformats.org/drawingml/2006/picture">
                <pic:pic>
                  <pic:nvPicPr>
                    <pic:cNvPr descr="img/reseau-n1.png" id="69" name="Picture"/>
                    <pic:cNvPicPr>
                      <a:picLocks noChangeArrowheads="1" noChangeAspect="1"/>
                    </pic:cNvPicPr>
                  </pic:nvPicPr>
                  <pic:blipFill>
                    <a:blip r:embed="rId67"/>
                    <a:stretch>
                      <a:fillRect/>
                    </a:stretch>
                  </pic:blipFill>
                  <pic:spPr bwMode="auto">
                    <a:xfrm>
                      <a:off x="0" y="0"/>
                      <a:ext cx="4034118" cy="6858000"/>
                    </a:xfrm>
                    <a:prstGeom prst="rect">
                      <a:avLst/>
                    </a:prstGeom>
                    <a:noFill/>
                    <a:ln w="9525">
                      <a:noFill/>
                      <a:headEnd/>
                      <a:tailEnd/>
                    </a:ln>
                  </pic:spPr>
                </pic:pic>
              </a:graphicData>
            </a:graphic>
          </wp:inline>
        </w:drawing>
      </w:r>
    </w:p>
    <w:p>
      <w:pPr>
        <w:pStyle w:val="BodyText"/>
        <w:keepLines/>
      </w:pPr>
      <w:r>
        <w:rPr>
          <w:i/>
          <w:iCs/>
          <w:lang w:val="pt-PT"/>
        </w:rPr>
        <w:t xml:space="preserve">Figura 2 — Diagrama de rede de nível 1: rede central, switches, servidores e link entre salas Sala A ↔ Sala B (versão Visio .vsdx retornada à fase de implementação).</w:t>
      </w:r>
    </w:p>
    <w:p>
      <w:pPr>
        <w:pStyle w:val="BodyText"/>
      </w:pPr>
      <w:r>
        <w:rPr>
          <w:b/>
          <w:bCs/>
          <w:lang w:val="pt-PT"/>
        </w:rPr>
        <w:t xml:space="preserve">Versão em texto do sinóptico:</w:t>
      </w:r>
    </w:p>
    <w:p>
      <w:pPr>
        <w:pStyle w:val="SourceCode"/>
      </w:pPr>
      <w:r>
        <w:rPr>
          <w:rStyle w:val="VerbatimChar"/>
          <w:rFonts w:ascii="Courier New" w:hAnsi="Courier New" w:eastAsia="Courier New" w:cs="Courier New"/>
          <w:sz w:val="20"/>
          <w:szCs w:val="20"/>
        </w:rPr>
        <w:t xml:space="preserve">[postos de trabalho / rede de escritório]</w:t>
        <w:br/>
        <w:t xml:space="preserve">  | 443/TCP</w:t>
        <w:br/>
        <w:t xml:space="preserve">  v</w:t>
        <w:br/>
        <w:t xml:space="preserve">[Núcleo da rede / Firewall (Cliente)]</w:t>
        <w:br/>
        <w:t xml:space="preserve">  |</w:t>
        <w:br/>
        <w:t xml:space="preserve">  \-- ligação entre salas (VLAN replicação/armazenamento)</w:t>
        <w:br/>
        <w:t xml:space="preserve">        |-- SALA A (ATIVO)</w:t>
        <w:br/>
        <w:t xml:space="preserve">        |     SW-A-1 / SW-A-2</w:t>
        <w:br/>
        <w:t xml:space="preserve">        |     Servidor da aplicação + GPU</w:t>
        <w:br/>
        <w:t xml:space="preserve">        |</w:t>
        <w:br/>
        <w:t xml:space="preserve">        \-- SALA B (RESERVA (passiva))</w:t>
        <w:br/>
        <w:t xml:space="preserve">              SW-B-1 / SW-B-2</w:t>
        <w:br/>
        <w:t xml:space="preserve">              Servidor da aplicação + GPU</w:t>
        <w:br/>
        <w:t xml:space="preserve">        SALA A &lt;----&gt; SALA B</w:t>
      </w:r>
    </w:p>
    <w:bookmarkEnd w:id="70"/>
    <w:bookmarkStart w:id="71" w:name="X07cc592b5fcf6be40e8140e409dd1dfda3ac552"/>
    <w:p>
      <w:pPr>
        <w:pStyle w:val="Heading3"/>
        <w:keepNext/>
        <w:keepLines/>
      </w:pPr>
      <w:r>
        <w:rPr>
          <w:color w:val="000000"/>
          <w:lang w:val="pt-PT"/>
        </w:rPr>
        <w:t xml:space="preserve">7.2 Diagrama da sala — Sala A (ativa)</w:t>
      </w:r>
    </w:p>
    <w:p>
      <w:pPr>
        <w:pStyle w:val="SourceCode"/>
      </w:pPr>
      <w:r>
        <w:rPr>
          <w:rStyle w:val="VerbatimChar"/>
          <w:rFonts w:ascii="Courier New" w:hAnsi="Courier New" w:eastAsia="Courier New" w:cs="Courier New"/>
          <w:sz w:val="20"/>
          <w:szCs w:val="20"/>
        </w:rPr>
        <w:t xml:space="preserve">SALA A</w:t>
        <w:br/>
        <w:t xml:space="preserve">  SW-A-1 === (LACP) === SW-A-2</w:t>
        <w:br/>
        <w:t xml:space="preserve">      |                     |</w:t>
        <w:br/>
        <w:t xml:space="preserve">      |-- Servidor da aplicação (Docker)</w:t>
        <w:br/>
        <w:t xml:space="preserve">      |-- Servidor GPU (whisperX + LLM local)</w:t>
        <w:br/>
        <w:t xml:space="preserve">      \-- mgmt (VLAN de administração)</w:t>
        <w:br/>
        <w:t xml:space="preserve">            SW-MGMT ---&gt; para bastião de administração</w:t>
        <w:br/>
        <w:t xml:space="preserve">  | VLAN de replicação/armazenamento -&gt; SALA B</w:t>
      </w:r>
    </w:p>
    <w:bookmarkEnd w:id="71"/>
    <w:bookmarkStart w:id="72" w:name="Xbb1e433149bfe5fcd131f07952cf0e6c2f9803f"/>
    <w:p>
      <w:pPr>
        <w:pStyle w:val="Heading3"/>
        <w:keepNext/>
        <w:keepLines/>
      </w:pPr>
      <w:r>
        <w:rPr>
          <w:color w:val="000000"/>
          <w:lang w:val="pt-PT"/>
        </w:rPr>
        <w:t xml:space="preserve">7.3 Diagrama da sala — Sala B (emergência passiva)</w:t>
      </w:r>
    </w:p>
    <w:p>
      <w:pPr>
        <w:pStyle w:val="SourceCode"/>
      </w:pPr>
      <w:r>
        <w:rPr>
          <w:rStyle w:val="VerbatimChar"/>
          <w:rFonts w:ascii="Courier New" w:hAnsi="Courier New" w:eastAsia="Courier New" w:cs="Courier New"/>
          <w:sz w:val="20"/>
          <w:szCs w:val="20"/>
        </w:rPr>
        <w:t xml:space="preserve">SALA B</w:t>
        <w:br/>
        <w:t xml:space="preserve">  SW-B-1 === (LACP) === SW-B-2</w:t>
        <w:br/>
        <w:t xml:space="preserve">      |                     |</w:t>
        <w:br/>
        <w:t xml:space="preserve">      |-- Servidor da aplicação (standby — receção de replicação)</w:t>
        <w:br/>
        <w:t xml:space="preserve">      |-- Servidor GPU (standby)</w:t>
        <w:br/>
        <w:t xml:space="preserve">      \-- mgmt (VLAN de administração)</w:t>
        <w:br/>
        <w:t xml:space="preserve">            SW-MGMT ---&gt; para bastião de administração</w:t>
        <w:br/>
        <w:t xml:space="preserve">  ^ VLAN de replicação/armazenamento &lt;- SALA A</w:t>
      </w:r>
    </w:p>
    <w:p>
      <w:pPr>
        <w:pStyle w:val="FirstParagraph"/>
      </w:pPr>
      <w:r>
        <w:rPr>
          <w:i/>
          <w:iCs/>
          <w:lang w:val="pt-PT"/>
        </w:rPr>
        <w:t xml:space="preserve">Esses diagramas de rede de nível 1 serão enviados no formato Microsoft Visio (.vsdx) durante a fase de implementação, complementados com elementos específicos do site.</w:t>
      </w:r>
    </w:p>
    <w:p>
      <w:r>
        <w:pict>
          <v:rect style="width:0;height:1.5pt" o:hralign="center" o:hrstd="t" o:hr="t"/>
        </w:pict>
      </w:r>
    </w:p>
    <w:bookmarkEnd w:id="72"/>
    <w:bookmarkEnd w:id="73"/>
    <w:bookmarkStart w:id="81" w:name="X5055bf9e4d3106536f752f076f2e5c47d5fa4d3"/>
    <w:p>
      <w:pPr>
        <w:pStyle w:val="Heading2"/>
        <w:keepNext/>
        <w:keepLines/>
      </w:pPr>
      <w:r>
        <w:rPr>
          <w:color w:val="000000"/>
          <w:lang w:val="pt-PT"/>
        </w:rPr>
        <w:t xml:space="preserve">8. Diagrama lógico de nível 2 e 3 (VLAN, endereçamento, roteamento, firewall)</w:t>
      </w:r>
    </w:p>
    <w:p>
      <w:pPr>
        <w:pStyle w:val="FirstParagraph"/>
        <w:keepNext/>
      </w:pPr>
      <w:r>
        <w:drawing>
          <wp:inline>
            <wp:extent cx="5334000" cy="1028276"/>
            <wp:effectExtent b="0" l="0" r="0" t="0"/>
            <wp:docPr descr="Schéma logique niveaux 2 et 3" title="" id="75" name="Picture"/>
            <a:graphic>
              <a:graphicData uri="http://schemas.openxmlformats.org/drawingml/2006/picture">
                <pic:pic>
                  <pic:nvPicPr>
                    <pic:cNvPr descr="img/reseau-n23.png" id="76" name="Picture"/>
                    <pic:cNvPicPr>
                      <a:picLocks noChangeArrowheads="1" noChangeAspect="1"/>
                    </pic:cNvPicPr>
                  </pic:nvPicPr>
                  <pic:blipFill>
                    <a:blip r:embed="rId74"/>
                    <a:stretch>
                      <a:fillRect/>
                    </a:stretch>
                  </pic:blipFill>
                  <pic:spPr bwMode="auto">
                    <a:xfrm>
                      <a:off x="0" y="0"/>
                      <a:ext cx="5334000" cy="1028276"/>
                    </a:xfrm>
                    <a:prstGeom prst="rect">
                      <a:avLst/>
                    </a:prstGeom>
                    <a:noFill/>
                    <a:ln w="9525">
                      <a:noFill/>
                      <a:headEnd/>
                      <a:tailEnd/>
                    </a:ln>
                  </pic:spPr>
                </pic:pic>
              </a:graphicData>
            </a:graphic>
          </wp:inline>
        </w:drawing>
      </w:r>
    </w:p>
    <w:p>
      <w:pPr>
        <w:pStyle w:val="BodyText"/>
        <w:keepLines/>
      </w:pPr>
      <w:r>
        <w:rPr>
          <w:i/>
          <w:iCs/>
          <w:lang w:val="pt-PT"/>
        </w:rPr>
        <w:t xml:space="preserve">Figura 3 — Diagrama lógico níveis 2 e 3: VLAN, plano de endereçamento IP, firewall e regras de filtragem (versão Visio .vsdx retornada à fase de implementação).</w:t>
      </w:r>
    </w:p>
    <w:bookmarkStart w:id="77" w:name="Xc4b8f6fa6d112d826460ea8617399148c7b74ae"/>
    <w:p>
      <w:pPr>
        <w:pStyle w:val="Heading3"/>
        <w:keepNext/>
        <w:keepLines/>
      </w:pPr>
      <w:r>
        <w:rPr>
          <w:color w:val="000000"/>
          <w:lang w:val="pt-PT"/>
        </w:rPr>
        <w:t xml:space="preserve">8.1 VLANs propostas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VLAN (função)</w:t>
            </w:r>
          </w:p>
        </w:tc>
        <w:tc>
          <w:tcPr/>
          <w:p>
            <w:pPr>
              <w:pStyle w:val="Compact"/>
            </w:pPr>
            <w:r>
              <w:rPr>
                <w:lang w:val="pt-PT"/>
              </w:rPr>
              <w:t xml:space="preserve">Número VLAN</w:t>
            </w:r>
          </w:p>
        </w:tc>
        <w:tc>
          <w:tcPr/>
          <w:p>
            <w:pPr>
              <w:pStyle w:val="Compact"/>
            </w:pPr>
            <w:r>
              <w:rPr>
                <w:lang w:val="pt-PT"/>
              </w:rPr>
              <w:t xml:space="preserve">Uso</w:t>
            </w:r>
          </w:p>
        </w:tc>
      </w:tr>
      <w:tr>
        <w:trPr>
          <w:cantSplit/>
        </w:trPr>
        <w:tc>
          <w:tcPr/>
          <w:p>
            <w:pPr>
              <w:pStyle w:val="Compact"/>
            </w:pPr>
            <w:r>
              <w:rPr>
                <w:lang w:val="pt-PT"/>
              </w:rPr>
              <w:t xml:space="preserve">Servidores de aplicativos</w:t>
            </w:r>
          </w:p>
        </w:tc>
        <w:tc>
          <w:tcPr/>
          <w:p>
            <w:pPr>
              <w:pStyle w:val="Compact"/>
            </w:pPr>
            <w:r>
              <w:rPr>
                <w:rStyle w:val="VerbatimChar"/>
                <w:lang w:val="pt-PT"/>
              </w:rPr>
              <w:t xml:space="preserve">[OBRIGATÓRIO – por ex. 10]</w:t>
            </w:r>
          </w:p>
        </w:tc>
        <w:tc>
          <w:tcPr/>
          <w:p>
            <w:pPr>
              <w:pStyle w:val="Compact"/>
            </w:pPr>
            <w:r>
              <w:rPr>
                <w:lang w:val="pt-PT"/>
              </w:rPr>
              <w:t xml:space="preserve">Servidores de aplicativos e GPUs, fluxos de aplicativos, exposição VIP 443</w:t>
            </w:r>
          </w:p>
        </w:tc>
      </w:tr>
      <w:tr>
        <w:trPr>
          <w:cantSplit/>
        </w:trPr>
        <w:tc>
          <w:tcPr/>
          <w:p>
            <w:pPr>
              <w:pStyle w:val="Compact"/>
            </w:pPr>
            <w:r>
              <w:rPr>
                <w:lang w:val="pt-PT"/>
              </w:rPr>
              <w:t xml:space="preserve">Administração</w:t>
            </w:r>
          </w:p>
        </w:tc>
        <w:tc>
          <w:tcPr/>
          <w:p>
            <w:pPr>
              <w:pStyle w:val="Compact"/>
            </w:pPr>
            <w:r>
              <w:rPr>
                <w:rStyle w:val="VerbatimChar"/>
                <w:lang w:val="pt-PT"/>
              </w:rPr>
              <w:t xml:space="preserve">[OBRIGATÓRIO – por ex. 20]</w:t>
            </w:r>
          </w:p>
        </w:tc>
        <w:tc>
          <w:tcPr/>
          <w:p>
            <w:pPr>
              <w:pStyle w:val="Compact"/>
            </w:pPr>
            <w:r>
              <w:rPr>
                <w:lang w:val="pt-PT"/>
              </w:rPr>
              <w:t xml:space="preserve">Interfaces fora de banda (IPMI), operando SSH, bastion, supervisão</w:t>
            </w:r>
          </w:p>
        </w:tc>
      </w:tr>
      <w:tr>
        <w:trPr>
          <w:cantSplit/>
        </w:trPr>
        <w:tc>
          <w:tcPr/>
          <w:p>
            <w:pPr>
              <w:pStyle w:val="Compact"/>
            </w:pPr>
            <w:r>
              <w:rPr>
                <w:lang w:val="pt-PT"/>
              </w:rPr>
              <w:t xml:space="preserve">Armazenamento/replicação</w:t>
            </w:r>
          </w:p>
        </w:tc>
        <w:tc>
          <w:tcPr/>
          <w:p>
            <w:pPr>
              <w:pStyle w:val="Compact"/>
            </w:pPr>
            <w:r>
              <w:rPr>
                <w:rStyle w:val="VerbatimChar"/>
                <w:lang w:val="pt-PT"/>
              </w:rPr>
              <w:t xml:space="preserve">[OBRIGATÓRIO – por ex. 30]</w:t>
            </w:r>
          </w:p>
        </w:tc>
        <w:tc>
          <w:tcPr/>
          <w:p>
            <w:pPr>
              <w:pStyle w:val="Compact"/>
            </w:pPr>
            <w:r>
              <w:rPr>
                <w:lang w:val="pt-PT"/>
              </w:rPr>
              <w:t xml:space="preserve">Replicação PostgreSQL e sincronização de armazenamento entre salas</w:t>
            </w:r>
          </w:p>
        </w:tc>
      </w:tr>
    </w:tbl>
    <w:p>
      <w:pPr>
        <w:pStyle w:val="BlockText"/>
      </w:pPr>
      <w:r>
        <w:rPr>
          <w:lang w:val="pt-PT"/>
        </w:rPr>
        <w:t xml:space="preserve">A VLAN de armazenamento/replicação </w:t>
      </w:r>
      <w:r>
        <w:rPr>
          <w:lang w:val="pt-PT"/>
        </w:rPr>
        <w:t xml:space="preserve">é </w:t>
      </w:r>
      <w:r>
        <w:rPr>
          <w:b/>
          <w:bCs/>
          <w:lang w:val="pt-PT"/>
        </w:rPr>
        <w:t xml:space="preserve">fornecida </w:t>
      </w:r>
      <w:r>
        <w:rPr>
          <w:lang w:val="pt-PT"/>
        </w:rPr>
        <w:t xml:space="preserve"/>
      </w:r>
      <w:r>
        <w:rPr>
          <w:lang w:val="pt-PT"/>
        </w:rPr>
        <w:t xml:space="preserve">para isolar e proteger o tráfego entre salas de alto volume. Caso contrário, a replicação poderá passar pela VLAN do servidor de aplicativos com filtragem — a ser arbitrada com o departamento de TI.</w:t>
      </w:r>
    </w:p>
    <w:bookmarkEnd w:id="77"/>
    <w:bookmarkStart w:id="78" w:name="X5c1fb499003a963cf6ccededc43617af997fd4c"/>
    <w:p>
      <w:pPr>
        <w:pStyle w:val="Heading3"/>
        <w:keepNext/>
        <w:keepLines/>
      </w:pPr>
      <w:r>
        <w:rPr>
          <w:color w:val="000000"/>
          <w:lang w:val="pt-PT"/>
        </w:rPr>
        <w:t xml:space="preserve">8.2 Plano de endereçamento IP típico (RFC 1918 — exemplo para substituir)</w:t>
      </w:r>
    </w:p>
    <w:p>
      <w:pPr>
        <w:pStyle w:val="BlockText"/>
      </w:pPr>
      <w:r>
        <w:rPr>
          <w:b/>
          <w:bCs/>
          <w:lang w:val="pt-PT"/>
        </w:rPr>
        <w:t xml:space="preserve">Os endereços abaixo são exemplos da RFC 1918 a serem substituídos integralmente pelo plano de endereçamento real do </w:t>
      </w:r>
      <w:r>
        <w:rPr>
          <w:lang w:val="pt-PT"/>
        </w:rPr>
        <w:t xml:space="preserve"/>
      </w:r>
      <w:r>
        <w:rPr>
          <w:lang w:val="pt-PT"/>
        </w:rPr>
        <w:t xml:space="preserve">Cliente. Têm apenas um valor estrutural ilustrativo.</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pt-PT"/>
              </w:rPr>
              <w:t xml:space="preserve">VLAN</w:t>
            </w:r>
          </w:p>
        </w:tc>
        <w:tc>
          <w:tcPr>
            <w:tcW w:type="dxa" w:w="2340"/>
            <w:tcMar>
              <w:left w:type="dxa" w:w="80"/>
              <w:right w:type="dxa" w:w="80"/>
            </w:tcMar>
          </w:tcPr>
          <w:p>
            <w:pPr>
              <w:pStyle w:val="Compact"/>
            </w:pPr>
            <w:r>
              <w:rPr>
                <w:sz w:val="19"/>
                <w:szCs w:val="19"/>
                <w:lang w:val="pt-PT"/>
              </w:rPr>
              <w:t xml:space="preserve">Sub-rede (exemplo)</w:t>
            </w:r>
          </w:p>
        </w:tc>
        <w:tc>
          <w:tcPr>
            <w:tcW w:type="dxa" w:w="2340"/>
            <w:tcMar>
              <w:left w:type="dxa" w:w="80"/>
              <w:right w:type="dxa" w:w="80"/>
            </w:tcMar>
          </w:tcPr>
          <w:p>
            <w:pPr>
              <w:pStyle w:val="Compact"/>
            </w:pPr>
            <w:r>
              <w:rPr>
                <w:sz w:val="19"/>
                <w:szCs w:val="19"/>
                <w:lang w:val="pt-PT"/>
              </w:rPr>
              <w:t xml:space="preserve">Gateway (exemplo)</w:t>
            </w:r>
          </w:p>
        </w:tc>
        <w:tc>
          <w:tcPr>
            <w:tcW w:type="dxa" w:w="2340"/>
            <w:tcMar>
              <w:left w:type="dxa" w:w="80"/>
              <w:right w:type="dxa" w:w="80"/>
            </w:tcMar>
          </w:tcPr>
          <w:p>
            <w:pPr>
              <w:pStyle w:val="Compact"/>
            </w:pPr>
            <w:r>
              <w:rPr>
                <w:sz w:val="19"/>
                <w:szCs w:val="19"/>
                <w:lang w:val="pt-PT"/>
              </w:rPr>
              <w:t xml:space="preserve">Anfitriões (exemplo)</w:t>
            </w:r>
          </w:p>
        </w:tc>
      </w:tr>
      <w:tr>
        <w:trPr>
          <w:cantSplit/>
        </w:trPr>
        <w:tc>
          <w:tcPr>
            <w:tcW w:type="dxa" w:w="2340"/>
            <w:tcMar>
              <w:left w:type="dxa" w:w="80"/>
              <w:right w:type="dxa" w:w="80"/>
            </w:tcMar>
          </w:tcPr>
          <w:p>
            <w:pPr>
              <w:pStyle w:val="Compact"/>
            </w:pPr>
            <w:r>
              <w:rPr>
                <w:sz w:val="19"/>
                <w:szCs w:val="19"/>
                <w:lang w:val="pt-PT"/>
              </w:rPr>
              <w:t xml:space="preserve">Servidores app Sala A</w:t>
            </w:r>
          </w:p>
        </w:tc>
        <w:tc>
          <w:tcPr>
            <w:tcW w:type="dxa" w:w="2340"/>
            <w:tcMar>
              <w:left w:type="dxa" w:w="80"/>
              <w:right w:type="dxa" w:w="80"/>
            </w:tcMar>
          </w:tcPr>
          <w:p>
            <w:pPr>
              <w:pStyle w:val="Compact"/>
            </w:pPr>
            <w:r>
              <w:rPr>
                <w:rStyle w:val="VerbatimChar"/>
                <w:sz w:val="19"/>
                <w:szCs w:val="19"/>
                <w:lang w:val="pt-PT"/>
              </w:rPr>
              <w:t xml:space="preserve">10.10.10.0/24</w:t>
            </w:r>
          </w:p>
        </w:tc>
        <w:tc>
          <w:tcPr>
            <w:tcW w:type="dxa" w:w="2340"/>
            <w:tcMar>
              <w:left w:type="dxa" w:w="80"/>
              <w:right w:type="dxa" w:w="80"/>
            </w:tcMar>
          </w:tcPr>
          <w:p>
            <w:pPr>
              <w:pStyle w:val="Compact"/>
            </w:pPr>
            <w:r>
              <w:rPr>
                <w:rStyle w:val="VerbatimChar"/>
                <w:sz w:val="19"/>
                <w:szCs w:val="19"/>
                <w:lang w:val="pt-PT"/>
              </w:rPr>
              <w:t xml:space="preserve">10.10.10.1</w:t>
            </w:r>
          </w:p>
        </w:tc>
        <w:tc>
          <w:tcPr>
            <w:tcW w:type="dxa" w:w="2340"/>
            <w:tcMar>
              <w:left w:type="dxa" w:w="80"/>
              <w:right w:type="dxa" w:w="80"/>
            </w:tcMar>
          </w:tcPr>
          <w:p>
            <w:pPr>
              <w:pStyle w:val="Compact"/>
            </w:pPr>
            <w:r>
              <w:rPr>
                <w:sz w:val="19"/>
                <w:szCs w:val="19"/>
                <w:lang w:val="pt-PT"/>
              </w:rPr>
              <w:t xml:space="preserve">app Sala </w:t>
            </w:r>
            <w:r>
              <w:rPr>
                <w:sz w:val="19"/>
                <w:szCs w:val="19"/>
                <w:lang w:val="pt-PT"/>
              </w:rPr>
              <w:t xml:space="preserve">A </w:t>
            </w:r>
            <w:r>
              <w:rPr>
                <w:rStyle w:val="VerbatimChar"/>
                <w:sz w:val="19"/>
                <w:szCs w:val="19"/>
                <w:lang w:val="pt-PT"/>
              </w:rPr>
              <w:t xml:space="preserve">10.10.10.11</w:t>
            </w:r>
            <w:r>
              <w:rPr>
                <w:sz w:val="19"/>
                <w:szCs w:val="19"/>
                <w:lang w:val="pt-PT"/>
              </w:rPr>
              <w:t xml:space="preserve">, GPU Sala </w:t>
            </w:r>
            <w:r>
              <w:rPr>
                <w:sz w:val="19"/>
                <w:szCs w:val="19"/>
                <w:lang w:val="pt-PT"/>
              </w:rPr>
              <w:t xml:space="preserve">A </w:t>
            </w:r>
            <w:r>
              <w:rPr>
                <w:rStyle w:val="VerbatimChar"/>
                <w:sz w:val="19"/>
                <w:szCs w:val="19"/>
                <w:lang w:val="pt-PT"/>
              </w:rPr>
              <w:t xml:space="preserve">10.10.10.12</w:t>
            </w:r>
            <w:r>
              <w:rPr>
                <w:sz w:val="19"/>
                <w:szCs w:val="19"/>
                <w:lang w:val="pt-PT"/>
              </w:rPr>
              <w:t xml:space="preserve">, VIP </w:t>
            </w:r>
            <w:r>
              <w:rPr>
                <w:sz w:val="19"/>
                <w:szCs w:val="19"/>
                <w:lang w:val="pt-PT"/>
              </w:rPr>
              <w:t xml:space="preserve"/>
            </w:r>
            <w:r>
              <w:rPr>
                <w:rStyle w:val="VerbatimChar"/>
                <w:sz w:val="19"/>
                <w:szCs w:val="19"/>
                <w:lang w:val="pt-PT"/>
              </w:rPr>
              <w:t xml:space="preserve">10.10.10.10</w:t>
            </w:r>
          </w:p>
        </w:tc>
      </w:tr>
      <w:tr>
        <w:trPr>
          <w:cantSplit/>
        </w:trPr>
        <w:tc>
          <w:tcPr>
            <w:tcW w:type="dxa" w:w="2340"/>
            <w:tcMar>
              <w:left w:type="dxa" w:w="80"/>
              <w:right w:type="dxa" w:w="80"/>
            </w:tcMar>
          </w:tcPr>
          <w:p>
            <w:pPr>
              <w:pStyle w:val="Compact"/>
            </w:pPr>
            <w:r>
              <w:rPr>
                <w:sz w:val="19"/>
                <w:szCs w:val="19"/>
                <w:lang w:val="pt-PT"/>
              </w:rPr>
              <w:t xml:space="preserve">Servidores app Sala B</w:t>
            </w:r>
          </w:p>
        </w:tc>
        <w:tc>
          <w:tcPr>
            <w:tcW w:type="dxa" w:w="2340"/>
            <w:tcMar>
              <w:left w:type="dxa" w:w="80"/>
              <w:right w:type="dxa" w:w="80"/>
            </w:tcMar>
          </w:tcPr>
          <w:p>
            <w:pPr>
              <w:pStyle w:val="Compact"/>
            </w:pPr>
            <w:r>
              <w:rPr>
                <w:rStyle w:val="VerbatimChar"/>
                <w:sz w:val="19"/>
                <w:szCs w:val="19"/>
                <w:lang w:val="pt-PT"/>
              </w:rPr>
              <w:t xml:space="preserve">10.10.11.0/24</w:t>
            </w:r>
          </w:p>
        </w:tc>
        <w:tc>
          <w:tcPr>
            <w:tcW w:type="dxa" w:w="2340"/>
            <w:tcMar>
              <w:left w:type="dxa" w:w="80"/>
              <w:right w:type="dxa" w:w="80"/>
            </w:tcMar>
          </w:tcPr>
          <w:p>
            <w:pPr>
              <w:pStyle w:val="Compact"/>
            </w:pPr>
            <w:r>
              <w:rPr>
                <w:rStyle w:val="VerbatimChar"/>
                <w:sz w:val="19"/>
                <w:szCs w:val="19"/>
                <w:lang w:val="pt-PT"/>
              </w:rPr>
              <w:t xml:space="preserve">10.10.11.1</w:t>
            </w:r>
          </w:p>
        </w:tc>
        <w:tc>
          <w:tcPr>
            <w:tcW w:type="dxa" w:w="2340"/>
            <w:tcMar>
              <w:left w:type="dxa" w:w="80"/>
              <w:right w:type="dxa" w:w="80"/>
            </w:tcMar>
          </w:tcPr>
          <w:p>
            <w:pPr>
              <w:pStyle w:val="Compact"/>
            </w:pPr>
            <w:r>
              <w:rPr>
                <w:sz w:val="19"/>
                <w:szCs w:val="19"/>
                <w:lang w:val="pt-PT"/>
              </w:rPr>
              <w:t xml:space="preserve">app Sala </w:t>
            </w:r>
            <w:r>
              <w:rPr>
                <w:sz w:val="19"/>
                <w:szCs w:val="19"/>
                <w:lang w:val="pt-PT"/>
              </w:rPr>
              <w:t xml:space="preserve">B </w:t>
            </w:r>
            <w:r>
              <w:rPr>
                <w:rStyle w:val="VerbatimChar"/>
                <w:sz w:val="19"/>
                <w:szCs w:val="19"/>
                <w:lang w:val="pt-PT"/>
              </w:rPr>
              <w:t xml:space="preserve">10.10.11.11</w:t>
            </w:r>
            <w:r>
              <w:rPr>
                <w:sz w:val="19"/>
                <w:szCs w:val="19"/>
                <w:lang w:val="pt-PT"/>
              </w:rPr>
              <w:t xml:space="preserve">, GPU Sala </w:t>
            </w:r>
            <w:r>
              <w:rPr>
                <w:sz w:val="19"/>
                <w:szCs w:val="19"/>
                <w:lang w:val="pt-PT"/>
              </w:rPr>
              <w:t xml:space="preserve">B </w:t>
            </w:r>
            <w:r>
              <w:rPr>
                <w:rStyle w:val="VerbatimChar"/>
                <w:sz w:val="19"/>
                <w:szCs w:val="19"/>
                <w:lang w:val="pt-PT"/>
              </w:rPr>
              <w:t xml:space="preserve">10.10.11.12</w:t>
            </w:r>
          </w:p>
        </w:tc>
      </w:tr>
      <w:tr>
        <w:trPr>
          <w:cantSplit/>
        </w:trPr>
        <w:tc>
          <w:tcPr>
            <w:tcW w:type="dxa" w:w="2340"/>
            <w:tcMar>
              <w:left w:type="dxa" w:w="80"/>
              <w:right w:type="dxa" w:w="80"/>
            </w:tcMar>
          </w:tcPr>
          <w:p>
            <w:pPr>
              <w:pStyle w:val="Compact"/>
            </w:pPr>
            <w:r>
              <w:rPr>
                <w:sz w:val="19"/>
                <w:szCs w:val="19"/>
                <w:lang w:val="pt-PT"/>
              </w:rPr>
              <w:t xml:space="preserve">Administração</w:t>
            </w:r>
          </w:p>
        </w:tc>
        <w:tc>
          <w:tcPr>
            <w:tcW w:type="dxa" w:w="2340"/>
            <w:tcMar>
              <w:left w:type="dxa" w:w="80"/>
              <w:right w:type="dxa" w:w="80"/>
            </w:tcMar>
          </w:tcPr>
          <w:p>
            <w:pPr>
              <w:pStyle w:val="Compact"/>
            </w:pPr>
            <w:r>
              <w:rPr>
                <w:rStyle w:val="VerbatimChar"/>
                <w:sz w:val="19"/>
                <w:szCs w:val="19"/>
                <w:lang w:val="pt-PT"/>
              </w:rPr>
              <w:t xml:space="preserve">10.10.20.0/24</w:t>
            </w:r>
          </w:p>
        </w:tc>
        <w:tc>
          <w:tcPr>
            <w:tcW w:type="dxa" w:w="2340"/>
            <w:tcMar>
              <w:left w:type="dxa" w:w="80"/>
              <w:right w:type="dxa" w:w="80"/>
            </w:tcMar>
          </w:tcPr>
          <w:p>
            <w:pPr>
              <w:pStyle w:val="Compact"/>
            </w:pPr>
            <w:r>
              <w:rPr>
                <w:rStyle w:val="VerbatimChar"/>
                <w:sz w:val="19"/>
                <w:szCs w:val="19"/>
                <w:lang w:val="pt-PT"/>
              </w:rPr>
              <w:t xml:space="preserve">10.10.20.1</w:t>
            </w:r>
          </w:p>
        </w:tc>
        <w:tc>
          <w:tcPr>
            <w:tcW w:type="dxa" w:w="2340"/>
            <w:tcMar>
              <w:left w:type="dxa" w:w="80"/>
              <w:right w:type="dxa" w:w="80"/>
            </w:tcMar>
          </w:tcPr>
          <w:p>
            <w:pPr>
              <w:pStyle w:val="Compact"/>
            </w:pPr>
            <w:r>
              <w:rPr>
                <w:sz w:val="19"/>
                <w:szCs w:val="19"/>
                <w:lang w:val="pt-PT"/>
              </w:rPr>
              <w:t xml:space="preserve">bastião </w:t>
            </w:r>
            <w:r>
              <w:rPr>
                <w:sz w:val="19"/>
                <w:szCs w:val="19"/>
                <w:lang w:val="pt-PT"/>
              </w:rPr>
              <w:t xml:space="preserve"/>
            </w:r>
            <w:r>
              <w:rPr>
                <w:rStyle w:val="VerbatimChar"/>
                <w:sz w:val="19"/>
                <w:szCs w:val="19"/>
                <w:lang w:val="pt-PT"/>
              </w:rPr>
              <w:t xml:space="preserve">10.10.20.5</w:t>
            </w:r>
            <w:r>
              <w:rPr>
                <w:sz w:val="19"/>
                <w:szCs w:val="19"/>
                <w:lang w:val="pt-PT"/>
              </w:rPr>
              <w:t xml:space="preserve">, IPMI app Sala </w:t>
            </w:r>
            <w:r>
              <w:rPr>
                <w:sz w:val="19"/>
                <w:szCs w:val="19"/>
                <w:lang w:val="pt-PT"/>
              </w:rPr>
              <w:t xml:space="preserve">A </w:t>
            </w:r>
            <w:r>
              <w:rPr>
                <w:rStyle w:val="VerbatimChar"/>
                <w:sz w:val="19"/>
                <w:szCs w:val="19"/>
                <w:lang w:val="pt-PT"/>
              </w:rPr>
              <w:t xml:space="preserve">10.10.20.11</w:t>
            </w:r>
            <w:r>
              <w:rPr>
                <w:sz w:val="19"/>
                <w:szCs w:val="19"/>
                <w:lang w:val="pt-PT"/>
              </w:rPr>
              <w:t xml:space="preserve">, IPMI app Sala </w:t>
            </w:r>
            <w:r>
              <w:rPr>
                <w:sz w:val="19"/>
                <w:szCs w:val="19"/>
                <w:lang w:val="pt-PT"/>
              </w:rPr>
              <w:t xml:space="preserve">B </w:t>
            </w:r>
            <w:r>
              <w:rPr>
                <w:rStyle w:val="VerbatimChar"/>
                <w:sz w:val="19"/>
                <w:szCs w:val="19"/>
                <w:lang w:val="pt-PT"/>
              </w:rPr>
              <w:t xml:space="preserve">10.10.20.21</w:t>
            </w:r>
          </w:p>
        </w:tc>
      </w:tr>
      <w:tr>
        <w:trPr>
          <w:cantSplit/>
        </w:trPr>
        <w:tc>
          <w:tcPr>
            <w:tcW w:type="dxa" w:w="2340"/>
            <w:tcMar>
              <w:left w:type="dxa" w:w="80"/>
              <w:right w:type="dxa" w:w="80"/>
            </w:tcMar>
          </w:tcPr>
          <w:p>
            <w:pPr>
              <w:pStyle w:val="Compact"/>
            </w:pPr>
            <w:r>
              <w:rPr>
                <w:sz w:val="19"/>
                <w:szCs w:val="19"/>
                <w:lang w:val="pt-PT"/>
              </w:rPr>
              <w:t xml:space="preserve">Armazenamento/replicação</w:t>
            </w:r>
          </w:p>
        </w:tc>
        <w:tc>
          <w:tcPr>
            <w:tcW w:type="dxa" w:w="2340"/>
            <w:tcMar>
              <w:left w:type="dxa" w:w="80"/>
              <w:right w:type="dxa" w:w="80"/>
            </w:tcMar>
          </w:tcPr>
          <w:p>
            <w:pPr>
              <w:pStyle w:val="Compact"/>
            </w:pPr>
            <w:r>
              <w:rPr>
                <w:rStyle w:val="VerbatimChar"/>
                <w:sz w:val="19"/>
                <w:szCs w:val="19"/>
                <w:lang w:val="pt-PT"/>
              </w:rPr>
              <w:t xml:space="preserve">10.10.30.0/24</w:t>
            </w:r>
          </w:p>
        </w:tc>
        <w:tc>
          <w:tcPr>
            <w:tcW w:type="dxa" w:w="2340"/>
            <w:tcMar>
              <w:left w:type="dxa" w:w="80"/>
              <w:right w:type="dxa" w:w="80"/>
            </w:tcMar>
          </w:tcPr>
          <w:p>
            <w:pPr>
              <w:pStyle w:val="Compact"/>
            </w:pPr>
            <w:r>
              <w:rPr>
                <w:rStyle w:val="VerbatimChar"/>
                <w:sz w:val="19"/>
                <w:szCs w:val="19"/>
                <w:lang w:val="pt-PT"/>
              </w:rPr>
              <w:t xml:space="preserve">10.10.30.1</w:t>
            </w:r>
          </w:p>
        </w:tc>
        <w:tc>
          <w:tcPr>
            <w:tcW w:type="dxa" w:w="2340"/>
            <w:tcMar>
              <w:left w:type="dxa" w:w="80"/>
              <w:right w:type="dxa" w:w="80"/>
            </w:tcMar>
          </w:tcPr>
          <w:p>
            <w:pPr>
              <w:pStyle w:val="Compact"/>
            </w:pPr>
            <w:r>
              <w:rPr>
                <w:sz w:val="19"/>
                <w:szCs w:val="19"/>
                <w:lang w:val="pt-PT"/>
              </w:rPr>
              <w:t xml:space="preserve">Sala de replicação </w:t>
            </w:r>
            <w:r>
              <w:rPr>
                <w:sz w:val="19"/>
                <w:szCs w:val="19"/>
                <w:lang w:val="pt-PT"/>
              </w:rPr>
              <w:t xml:space="preserve">A </w:t>
            </w:r>
            <w:r>
              <w:rPr>
                <w:rStyle w:val="VerbatimChar"/>
                <w:sz w:val="19"/>
                <w:szCs w:val="19"/>
                <w:lang w:val="pt-PT"/>
              </w:rPr>
              <w:t xml:space="preserve">10.10.30.11</w:t>
            </w:r>
            <w:r>
              <w:rPr>
                <w:sz w:val="19"/>
                <w:szCs w:val="19"/>
                <w:lang w:val="pt-PT"/>
              </w:rPr>
              <w:t xml:space="preserve">, Sala de replicação </w:t>
            </w:r>
            <w:r>
              <w:rPr>
                <w:sz w:val="19"/>
                <w:szCs w:val="19"/>
                <w:lang w:val="pt-PT"/>
              </w:rPr>
              <w:t xml:space="preserve">B </w:t>
            </w:r>
            <w:r>
              <w:rPr>
                <w:rStyle w:val="VerbatimChar"/>
                <w:sz w:val="19"/>
                <w:szCs w:val="19"/>
                <w:lang w:val="pt-PT"/>
              </w:rPr>
              <w:t xml:space="preserve">10.10.30.21</w:t>
            </w:r>
          </w:p>
        </w:tc>
      </w:tr>
    </w:tbl>
    <w:p>
      <w:pPr>
        <w:pStyle w:val="BodyText"/>
      </w:pPr>
      <w:r>
        <w:rPr>
          <w:rStyle w:val="VerbatimChar"/>
          <w:lang w:val="pt-PT"/>
        </w:rPr>
        <w:t xml:space="preserve">[A INFORMAR com o departamento de TI do Cliente: plano de endereçamento real, máscaras, gateways, VIP.]</w:t>
      </w:r>
    </w:p>
    <w:bookmarkEnd w:id="78"/>
    <w:bookmarkStart w:id="79" w:name="X77e2d06c5d74a4f0cc4a18280b3f3e710666af2"/>
    <w:p>
      <w:pPr>
        <w:pStyle w:val="Heading3"/>
        <w:keepNext/>
        <w:keepLines/>
      </w:pPr>
      <w:r>
        <w:rPr>
          <w:color w:val="000000"/>
          <w:lang w:val="pt-PT"/>
        </w:rPr>
        <w:t xml:space="preserve">8.3 Roteamento</w:t>
      </w:r>
    </w:p>
    <w:p>
      <w:pPr>
        <w:pStyle w:val="Compact"/>
        <w:numPr>
          <w:ilvl w:val="0"/>
          <w:numId w:val="1017"/>
        </w:numPr>
      </w:pPr>
      <w:r>
        <w:rPr>
          <w:lang w:val="pt-PT"/>
        </w:rPr>
        <w:t xml:space="preserve">O roteamento entre VLANs é fornecido pelo firewall/roteador do Cliente, com </w:t>
      </w:r>
      <w:r>
        <w:rPr>
          <w:lang w:val="pt-PT"/>
        </w:rPr>
        <w:t xml:space="preserve"/>
      </w:r>
      <w:r>
        <w:rPr>
          <w:b/>
          <w:bCs/>
          <w:lang w:val="pt-PT"/>
        </w:rPr>
        <w:t xml:space="preserve">filtragem explícita </w:t>
      </w:r>
      <w:r>
        <w:rPr>
          <w:lang w:val="pt-PT"/>
        </w:rPr>
        <w:t xml:space="preserve"/>
      </w:r>
      <w:r>
        <w:rPr>
          <w:lang w:val="pt-PT"/>
        </w:rPr>
        <w:t xml:space="preserve"/>
      </w:r>
      <w:r>
        <w:rPr>
          <w:lang w:val="pt-PT"/>
        </w:rPr>
        <w:t xml:space="preserve"/>
      </w:r>
      <w:r>
        <w:rPr>
          <w:i/>
          <w:iCs/>
          <w:lang w:val="pt-PT"/>
        </w:rPr>
        <w:t xml:space="preserve"/>
      </w:r>
      <w:r>
        <w:rPr>
          <w:lang w:val="pt-PT"/>
        </w:rPr>
        <w:t xml:space="preserve">(nenhuma-qualquer).</w:t>
      </w:r>
    </w:p>
    <w:p>
      <w:pPr>
        <w:pStyle w:val="Compact"/>
        <w:numPr>
          <w:ilvl w:val="0"/>
          <w:numId w:val="1017"/>
        </w:numPr>
      </w:pPr>
      <w:r>
        <w:rPr>
          <w:lang w:val="pt-PT"/>
        </w:rPr>
        <w:t xml:space="preserve">A </w:t>
      </w:r>
      <w:r>
        <w:rPr>
          <w:lang w:val="pt-PT"/>
        </w:rPr>
        <w:t xml:space="preserve"/>
      </w:r>
      <w:r>
        <w:rPr>
          <w:b/>
          <w:bCs/>
          <w:lang w:val="pt-PT"/>
        </w:rPr>
        <w:t xml:space="preserve">aplicação VIP </w:t>
      </w:r>
      <w:r>
        <w:rPr>
          <w:lang w:val="pt-PT"/>
        </w:rPr>
        <w:t xml:space="preserve"/>
      </w:r>
      <w:r>
        <w:rPr>
          <w:lang w:val="pt-PT"/>
        </w:rPr>
        <w:t xml:space="preserve">(endereço de serviço virtual) é transportada por um balanceador/firewall, ou por um mecanismo VIP entre salas, permitindo a comutação Sala A → Sala B (ver §13).</w:t>
      </w:r>
    </w:p>
    <w:p>
      <w:pPr>
        <w:pStyle w:val="Compact"/>
        <w:numPr>
          <w:ilvl w:val="0"/>
          <w:numId w:val="1017"/>
        </w:numPr>
      </w:pPr>
      <w:r>
        <w:rPr>
          <w:lang w:val="pt-PT"/>
        </w:rPr>
        <w:t xml:space="preserve">A resolução DNS interna aponta o nome do serviço (por exemplo, </w:t>
      </w:r>
      <w:r>
        <w:rPr>
          <w:lang w:val="pt-PT"/>
        </w:rPr>
        <w:t xml:space="preserve"/>
      </w:r>
      <w:r>
        <w:rPr>
          <w:rStyle w:val="VerbatimChar"/>
          <w:lang w:val="pt-PT"/>
        </w:rPr>
        <w:t xml:space="preserve">transcribia.interne.local</w:t>
      </w:r>
      <w:r>
        <w:rPr>
          <w:lang w:val="pt-PT"/>
        </w:rPr>
        <w:t xml:space="preserve"> </w:t>
      </w:r>
      <w:r>
        <w:rPr>
          <w:rStyle w:val="VerbatimChar"/>
          <w:lang w:val="pt-PT"/>
        </w:rPr>
        <w:t xml:space="preserve">[OBRIGATÓRIO]) </w:t>
      </w:r>
      <w:r>
        <w:rPr>
          <w:lang w:val="pt-PT"/>
        </w:rPr>
        <w:t xml:space="preserve">para o VIP ativo.</w:t>
      </w:r>
    </w:p>
    <w:bookmarkEnd w:id="79"/>
    <w:bookmarkStart w:id="80" w:name="X3360e84ec30c1d83be28937ed02fde6cf67fa55"/>
    <w:p>
      <w:pPr>
        <w:pStyle w:val="Heading3"/>
        <w:keepNext/>
        <w:keepLines/>
      </w:pPr>
      <w:r>
        <w:rPr>
          <w:color w:val="000000"/>
          <w:lang w:val="pt-PT"/>
        </w:rPr>
        <w:t xml:space="preserve">8.4 Firewall (princípios)</w:t>
      </w:r>
    </w:p>
    <w:p>
      <w:pPr>
        <w:pStyle w:val="Compact"/>
        <w:numPr>
          <w:ilvl w:val="0"/>
          <w:numId w:val="1018"/>
        </w:numPr>
      </w:pPr>
      <w:r>
        <w:rPr>
          <w:lang w:val="pt-PT"/>
        </w:rPr>
        <w:t xml:space="preserve">Política por predefinição: </w:t>
      </w:r>
      <w:r>
        <w:rPr>
          <w:lang w:val="pt-PT"/>
        </w:rPr>
        <w:t xml:space="preserve">negar </w:t>
      </w:r>
      <w:r>
        <w:rPr>
          <w:b/>
          <w:bCs/>
          <w:lang w:val="pt-PT"/>
        </w:rPr>
        <w:t xml:space="preserve">tudo (deny </w:t>
      </w:r>
      <w:r>
        <w:rPr>
          <w:lang w:val="pt-PT"/>
        </w:rPr>
        <w:t xml:space="preserve">all); permitir apenas os fluxos expressamente autorizados na matriz de fluxos (§12).</w:t>
      </w:r>
    </w:p>
    <w:p>
      <w:pPr>
        <w:pStyle w:val="Compact"/>
        <w:numPr>
          <w:ilvl w:val="0"/>
          <w:numId w:val="1018"/>
        </w:numPr>
      </w:pPr>
      <w:r>
        <w:rPr>
          <w:lang w:val="pt-PT"/>
        </w:rPr>
        <w:t xml:space="preserve">Somente o fluxo de utilizador → </w:t>
      </w:r>
      <w:r>
        <w:rPr>
          <w:lang w:val="pt-PT"/>
        </w:rPr>
        <w:t xml:space="preserve"/>
      </w:r>
      <w:r>
        <w:rPr>
          <w:b/>
          <w:bCs/>
          <w:lang w:val="pt-PT"/>
        </w:rPr>
        <w:t xml:space="preserve">VIP em </w:t>
      </w:r>
      <w:r>
        <w:rPr>
          <w:lang w:val="pt-PT"/>
        </w:rPr>
        <w:t xml:space="preserve"/>
      </w:r>
      <w:r>
        <w:rPr>
          <w:lang w:val="pt-PT"/>
        </w:rPr>
        <w:t xml:space="preserve">443/TCP está aberto na rede do escritório.</w:t>
      </w:r>
    </w:p>
    <w:p>
      <w:pPr>
        <w:pStyle w:val="Compact"/>
        <w:numPr>
          <w:ilvl w:val="0"/>
          <w:numId w:val="1018"/>
        </w:numPr>
      </w:pPr>
      <w:r>
        <w:rPr>
          <w:lang w:val="pt-PT"/>
        </w:rPr>
        <w:t xml:space="preserve">Os fluxos entre salas (replicação 5432, sincronização 22) são restritos aos endereços dos servidores em questão, na VLAN dedicada.</w:t>
      </w:r>
    </w:p>
    <w:p>
      <w:pPr>
        <w:pStyle w:val="Compact"/>
        <w:numPr>
          <w:ilvl w:val="0"/>
          <w:numId w:val="1018"/>
        </w:numPr>
      </w:pPr>
      <w:r>
        <w:rPr>
          <w:lang w:val="pt-PT"/>
        </w:rPr>
        <w:t xml:space="preserve">A administração (SSH 22) só é aberta na VLAN/bastião de administração.</w:t>
      </w:r>
    </w:p>
    <w:p>
      <w:pPr>
        <w:pStyle w:val="Compact"/>
        <w:numPr>
          <w:ilvl w:val="0"/>
          <w:numId w:val="1018"/>
        </w:numPr>
      </w:pPr>
      <w:r>
        <w:rPr>
          <w:lang w:val="pt-PT"/>
        </w:rPr>
        <w:t xml:space="preserve">Nenhum fluxo de saída de Internet autorizado em operação nominal (variante isolada).</w:t>
      </w:r>
    </w:p>
    <w:p>
      <w:r>
        <w:pict>
          <v:rect style="width:0;height:1.5pt" o:hralign="center" o:hrstd="t" o:hr="t"/>
        </w:pict>
      </w:r>
    </w:p>
    <w:bookmarkEnd w:id="80"/>
    <w:bookmarkEnd w:id="81"/>
    <w:bookmarkStart w:id="86" w:name="X7f5b6ae2ea8a94c816b7254ee160497b88dab1c"/>
    <w:p>
      <w:pPr>
        <w:pStyle w:val="Heading2"/>
        <w:keepNext/>
        <w:keepLines/>
      </w:pPr>
      <w:r>
        <w:rPr>
          <w:color w:val="000000"/>
          <w:lang w:val="pt-PT"/>
        </w:rPr>
        <w:t xml:space="preserve">9. Dimensionamento e escalabilidade</w:t>
      </w:r>
    </w:p>
    <w:bookmarkStart w:id="82" w:name="X587d76ebb016a959f374b6cdee34e4b27a4aa66"/>
    <w:p>
      <w:pPr>
        <w:pStyle w:val="Heading3"/>
        <w:keepNext/>
        <w:keepLines/>
      </w:pPr>
      <w:r>
        <w:rPr>
          <w:color w:val="000000"/>
          <w:lang w:val="pt-PT"/>
        </w:rPr>
        <w:t xml:space="preserve">9.1 Parâmetros de dimensionamento</w:t>
      </w:r>
    </w:p>
    <w:p>
      <w:pPr>
        <w:pStyle w:val="FirstParagraph"/>
      </w:pPr>
      <w:r>
        <w:rPr>
          <w:lang w:val="pt-PT"/>
        </w:rPr>
        <w:t xml:space="preserve">O dimensionamento depende principalmente de:</w:t>
      </w:r>
    </w:p>
    <w:p>
      <w:pPr>
        <w:pStyle w:val="Compact"/>
        <w:numPr>
          <w:ilvl w:val="0"/>
          <w:numId w:val="1019"/>
        </w:numPr>
      </w:pPr>
      <w:r>
        <w:rPr>
          <w:lang w:val="pt-PT"/>
        </w:rPr>
        <w:t xml:space="preserve">o </w:t>
      </w:r>
      <w:r>
        <w:rPr>
          <w:lang w:val="pt-PT"/>
        </w:rPr>
        <w:t xml:space="preserve"/>
      </w:r>
      <w:r>
        <w:rPr>
          <w:b/>
          <w:bCs/>
          <w:lang w:val="pt-PT"/>
        </w:rPr>
        <w:t xml:space="preserve">volume de áudio </w:t>
      </w:r>
      <w:r>
        <w:rPr>
          <w:lang w:val="pt-PT"/>
        </w:rPr>
        <w:t xml:space="preserve"/>
      </w:r>
      <w:r>
        <w:rPr>
          <w:lang w:val="pt-PT"/>
        </w:rPr>
        <w:t xml:space="preserve">depositado (horas/mês);</w:t>
      </w:r>
    </w:p>
    <w:p>
      <w:pPr>
        <w:pStyle w:val="Compact"/>
        <w:numPr>
          <w:ilvl w:val="0"/>
          <w:numId w:val="1019"/>
        </w:numPr>
      </w:pPr>
      <w:r>
        <w:rPr>
          <w:lang w:val="pt-PT"/>
        </w:rPr>
        <w:t xml:space="preserve">a </w:t>
      </w:r>
      <w:r>
        <w:rPr>
          <w:lang w:val="pt-PT"/>
        </w:rPr>
        <w:t xml:space="preserve"/>
      </w:r>
      <w:r>
        <w:rPr>
          <w:b/>
          <w:bCs/>
          <w:lang w:val="pt-PT"/>
        </w:rPr>
        <w:t xml:space="preserve">duração </w:t>
      </w:r>
      <w:r>
        <w:rPr>
          <w:lang w:val="pt-PT"/>
        </w:rPr>
        <w:t xml:space="preserve">média </w:t>
      </w:r>
      <w:r>
        <w:rPr>
          <w:lang w:val="pt-PT"/>
        </w:rPr>
        <w:t xml:space="preserve">das gravações e seu </w:t>
      </w:r>
      <w:r>
        <w:rPr>
          <w:lang w:val="pt-PT"/>
        </w:rPr>
        <w:t xml:space="preserve"/>
      </w:r>
      <w:r>
        <w:rPr>
          <w:b/>
          <w:bCs/>
          <w:lang w:val="pt-PT"/>
        </w:rPr>
        <w:t xml:space="preserve"/>
      </w:r>
      <w:r>
        <w:rPr>
          <w:lang w:val="pt-PT"/>
        </w:rPr>
        <w:t xml:space="preserve"/>
      </w:r>
      <w:r>
        <w:rPr>
          <w:lang w:val="pt-PT"/>
        </w:rPr>
        <w:t xml:space="preserve">formato;</w:t>
      </w:r>
    </w:p>
    <w:p>
      <w:pPr>
        <w:pStyle w:val="Compact"/>
        <w:numPr>
          <w:ilvl w:val="0"/>
          <w:numId w:val="1019"/>
        </w:numPr>
      </w:pPr>
      <w:r>
        <w:rPr>
          <w:lang w:val="pt-PT"/>
        </w:rPr>
        <w:t xml:space="preserve">o </w:t>
      </w:r>
      <w:r>
        <w:rPr>
          <w:lang w:val="pt-PT"/>
        </w:rPr>
        <w:t xml:space="preserve"/>
      </w:r>
      <w:r>
        <w:rPr>
          <w:b/>
          <w:bCs/>
          <w:lang w:val="pt-PT"/>
        </w:rPr>
        <w:t xml:space="preserve">número de utilizadores </w:t>
      </w:r>
      <w:r>
        <w:rPr>
          <w:lang w:val="pt-PT"/>
        </w:rPr>
        <w:t xml:space="preserve"/>
      </w:r>
      <w:r>
        <w:rPr>
          <w:lang w:val="pt-PT"/>
        </w:rPr>
        <w:t xml:space="preserve">simultâneos;</w:t>
      </w:r>
    </w:p>
    <w:p>
      <w:pPr>
        <w:pStyle w:val="Compact"/>
        <w:numPr>
          <w:ilvl w:val="0"/>
          <w:numId w:val="1019"/>
        </w:numPr>
      </w:pPr>
      <w:r>
        <w:rPr>
          <w:lang w:val="pt-PT"/>
        </w:rPr>
        <w:t xml:space="preserve">o </w:t>
      </w:r>
      <w:r>
        <w:rPr>
          <w:lang w:val="pt-PT"/>
        </w:rPr>
        <w:t xml:space="preserve"/>
      </w:r>
      <w:r>
        <w:rPr>
          <w:b/>
          <w:bCs/>
          <w:lang w:val="pt-PT"/>
        </w:rPr>
        <w:t xml:space="preserve">uso de funções de IA </w:t>
      </w:r>
      <w:r>
        <w:rPr>
          <w:lang w:val="pt-PT"/>
        </w:rPr>
        <w:t xml:space="preserve"/>
      </w:r>
      <w:r>
        <w:rPr>
          <w:lang w:val="pt-PT"/>
        </w:rPr>
        <w:t xml:space="preserve">(gerações LLM locais, com uso intensivo de GPU);</w:t>
      </w:r>
    </w:p>
    <w:p>
      <w:pPr>
        <w:pStyle w:val="Compact"/>
        <w:numPr>
          <w:ilvl w:val="0"/>
          <w:numId w:val="1019"/>
        </w:numPr>
      </w:pPr>
      <w:r>
        <w:rPr>
          <w:lang w:val="pt-PT"/>
        </w:rPr>
        <w:t xml:space="preserve">retenção </w:t>
      </w:r>
      <w:r>
        <w:rPr>
          <w:lang w:val="pt-PT"/>
        </w:rPr>
        <w:t xml:space="preserve"/>
      </w:r>
      <w:r>
        <w:rPr>
          <w:b/>
          <w:bCs/>
          <w:lang w:val="pt-PT"/>
        </w:rPr>
        <w:t xml:space="preserve">de </w:t>
      </w:r>
      <w:r>
        <w:rPr>
          <w:lang w:val="pt-PT"/>
        </w:rPr>
        <w:t xml:space="preserve"/>
      </w:r>
      <w:r>
        <w:rPr>
          <w:lang w:val="pt-PT"/>
        </w:rPr>
        <w:t xml:space="preserve">dados (período de retenção configurado pela organização).</w:t>
      </w:r>
    </w:p>
    <w:bookmarkEnd w:id="82"/>
    <w:bookmarkStart w:id="83" w:name="X10c94a9fe3c8048be4314565f0959ee3430feaa"/>
    <w:p>
      <w:pPr>
        <w:pStyle w:val="Heading3"/>
        <w:keepNext/>
        <w:keepLines/>
      </w:pPr>
      <w:r>
        <w:rPr>
          <w:color w:val="000000"/>
          <w:lang w:val="pt-PT"/>
        </w:rPr>
        <w:t xml:space="preserve">9.2 Volumetria de áudio (ordem de grandeza)</w:t>
      </w:r>
    </w:p>
    <w:p>
      <w:pPr>
        <w:pStyle w:val="FirstParagraph"/>
      </w:pPr>
      <w:r>
        <w:rPr>
          <w:lang w:val="pt-PT"/>
        </w:rPr>
        <w:t xml:space="preserve">Uma gravação de áudio compactado normalmente tem de 30 a 60 MB por hora; descompactado (wav), várias centenas de MB por hora. A transcrição JSON associada pode atingir vários MB para uma sessão longa (≈ 16 MB brutos para uma sessão de 5 horas, compactada de 5 a 8× na rede).</w:t>
      </w:r>
    </w:p>
    <w:p>
      <w:pPr>
        <w:pStyle w:val="BodyText"/>
      </w:pPr>
      <w:r>
        <w:rPr>
          <w:rStyle w:val="VerbatimChar"/>
          <w:lang w:val="pt-PT"/>
        </w:rPr>
        <w:t xml:space="preserve">[A SER CONCLUÍDO: Volume alvo do cliente — número de sessões/mês, duração média, número de organizações internas, retenção desejada] </w:t>
      </w:r>
      <w:r>
        <w:rPr>
          <w:lang w:val="pt-PT"/>
        </w:rPr>
        <w:t xml:space="preserve"/>
      </w:r>
      <w:r>
        <w:rPr>
          <w:lang w:val="pt-PT"/>
        </w:rPr>
        <w:t xml:space="preserve">→ permite calcular a capacidade de produção e armazenamento de backup.</w:t>
      </w:r>
    </w:p>
    <w:bookmarkEnd w:id="83"/>
    <w:bookmarkStart w:id="84" w:name="Xaaa8fe7054a96536e45f0818241992e1a73efe0"/>
    <w:p>
      <w:pPr>
        <w:pStyle w:val="Heading3"/>
        <w:keepNext/>
        <w:keepLines/>
      </w:pPr>
      <w:r>
        <w:rPr>
          <w:color w:val="000000"/>
          <w:lang w:val="pt-PT"/>
        </w:rPr>
        <w:t xml:space="preserve">9.3 Estratégias de Escalabilidade</w:t>
      </w:r>
    </w:p>
    <w:p>
      <w:pPr>
        <w:pStyle w:val="Compact"/>
        <w:numPr>
          <w:ilvl w:val="0"/>
          <w:numId w:val="1020"/>
        </w:numPr>
      </w:pPr>
      <w:r>
        <w:rPr>
          <w:b/>
          <w:bCs/>
          <w:lang w:val="pt-PT"/>
        </w:rPr>
        <w:t xml:space="preserve">Escala vertical: </w:t>
      </w:r>
      <w:r>
        <w:rPr>
          <w:lang w:val="pt-PT"/>
        </w:rPr>
        <w:t xml:space="preserve"/>
      </w:r>
      <w:r>
        <w:rPr>
          <w:lang w:val="pt-PT"/>
        </w:rPr>
        <w:t xml:space="preserve">aumento de CPU/RAM/NVMe do servidor de aplicação; aumento de VRAM/GPU do servidor de transcrição.</w:t>
      </w:r>
    </w:p>
    <w:p>
      <w:pPr>
        <w:pStyle w:val="Compact"/>
        <w:numPr>
          <w:ilvl w:val="0"/>
          <w:numId w:val="1020"/>
        </w:numPr>
      </w:pPr>
      <w:r>
        <w:rPr>
          <w:b/>
          <w:bCs/>
          <w:lang w:val="pt-PT"/>
        </w:rPr>
        <w:t xml:space="preserve">Adicionando trabalhadores: </w:t>
      </w:r>
      <w:r>
        <w:rPr>
          <w:lang w:val="pt-PT"/>
        </w:rPr>
        <w:t xml:space="preserve"/>
      </w:r>
      <w:r>
        <w:rPr>
          <w:lang w:val="pt-PT"/>
        </w:rPr>
        <w:t xml:space="preserve">a carga de processamento assíncrono (transcrição downstream, exportações, IA) é distribuída entre trabalhadores da fila; podemos aumentar o número de trabalhadores de fila, </w:t>
      </w:r>
      <w:r>
        <w:rPr>
          <w:lang w:val="pt-PT"/>
        </w:rPr>
        <w:t xml:space="preserve"/>
      </w:r>
      <w:r>
        <w:rPr>
          <w:rStyle w:val="VerbatimChar"/>
          <w:lang w:val="pt-PT"/>
        </w:rPr>
        <w:t xml:space="preserve">queue</w:t>
      </w:r>
      <w:r>
        <w:rPr>
          <w:lang w:val="pt-PT"/>
        </w:rPr>
        <w:t xml:space="preserve">-ai, </w:t>
      </w:r>
      <w:r>
        <w:rPr>
          <w:lang w:val="pt-PT"/>
        </w:rPr>
        <w:t xml:space="preserve"/>
      </w:r>
      <w:r>
        <w:rPr>
          <w:rStyle w:val="VerbatimChar"/>
          <w:lang w:val="pt-PT"/>
        </w:rPr>
        <w:t xml:space="preserve"/>
      </w:r>
      <w:r>
        <w:rPr>
          <w:lang w:val="pt-PT"/>
        </w:rPr>
        <w:t xml:space="preserve"/>
      </w:r>
      <w:r>
        <w:rPr>
          <w:lang w:val="pt-PT"/>
        </w:rPr>
        <w:t xml:space="preserve"/>
      </w:r>
      <w:r>
        <w:rPr>
          <w:rStyle w:val="VerbatimChar"/>
          <w:lang w:val="pt-PT"/>
        </w:rPr>
        <w:t xml:space="preserve">queue-media</w:t>
      </w:r>
      <w:r>
        <w:rPr>
          <w:lang w:val="pt-PT"/>
        </w:rPr>
        <w:t xml:space="preserve"> </w:t>
      </w:r>
      <w:r>
        <w:rPr>
          <w:lang w:val="pt-PT"/>
        </w:rPr>
        <w:t xml:space="preserve">e adicionar </w:t>
      </w:r>
      <w:r>
        <w:rPr>
          <w:lang w:val="pt-PT"/>
        </w:rPr>
        <w:t xml:space="preserve">um </w:t>
      </w:r>
      <w:r>
        <w:rPr>
          <w:b/>
          <w:bCs/>
          <w:lang w:val="pt-PT"/>
        </w:rPr>
        <w:t xml:space="preserve">segundo servidor </w:t>
      </w:r>
      <w:r>
        <w:rPr>
          <w:lang w:val="pt-PT"/>
        </w:rPr>
        <w:t xml:space="preserve"/>
      </w:r>
      <w:r>
        <w:rPr>
          <w:lang w:val="pt-PT"/>
        </w:rPr>
        <w:t xml:space="preserve">GPU para paralelizar a transcrição e a inferência LLM.</w:t>
      </w:r>
    </w:p>
    <w:p>
      <w:pPr>
        <w:pStyle w:val="Compact"/>
        <w:numPr>
          <w:ilvl w:val="0"/>
          <w:numId w:val="1020"/>
        </w:numPr>
      </w:pPr>
      <w:r>
        <w:rPr>
          <w:b/>
          <w:bCs/>
          <w:lang w:val="pt-PT"/>
        </w:rPr>
        <w:t xml:space="preserve">Separação de funções: </w:t>
      </w:r>
      <w:r>
        <w:rPr>
          <w:lang w:val="pt-PT"/>
        </w:rPr>
        <w:t xml:space="preserve"/>
      </w:r>
      <w:r>
        <w:rPr>
          <w:lang w:val="pt-PT"/>
        </w:rPr>
        <w:t xml:space="preserve">sob carga pesada, o base de dados PostgreSQL e/ou o servidor GPU podem ser deportados para hosts dedicados.</w:t>
      </w:r>
    </w:p>
    <w:bookmarkEnd w:id="84"/>
    <w:bookmarkStart w:id="85" w:name="X10f5dc04961af76c43caa91cfd2da2122a2f5db"/>
    <w:p>
      <w:pPr>
        <w:pStyle w:val="Heading3"/>
        <w:keepNext/>
        <w:keepLines/>
      </w:pPr>
      <w:r>
        <w:rPr>
          <w:color w:val="000000"/>
          <w:lang w:val="pt-PT"/>
        </w:rPr>
        <w:t xml:space="preserve">9.4 Restrições vinculadas à replicação entre salas</w:t>
      </w:r>
    </w:p>
    <w:p>
      <w:pPr>
        <w:pStyle w:val="FirstParagraph"/>
      </w:pPr>
      <w:r>
        <w:rPr>
          <w:lang w:val="pt-PT"/>
        </w:rPr>
        <w:t xml:space="preserve">A replicação do PostgreSQL de streaming assíncrono e a sincronização de armazenamento requerem uma conexão suficiente da Sala A ↔ Sala B:</w:t>
      </w:r>
    </w:p>
    <w:p>
      <w:pPr>
        <w:pStyle w:val="Compact"/>
        <w:numPr>
          <w:ilvl w:val="0"/>
          <w:numId w:val="1021"/>
        </w:numPr>
      </w:pPr>
      <w:r>
        <w:rPr>
          <w:lang w:val="pt-PT"/>
        </w:rPr>
        <w:t xml:space="preserve">largura de banda dimensionada para produção de gravação (PostgreSQL WAL + novos ficheiros de áudio);</w:t>
      </w:r>
    </w:p>
    <w:p>
      <w:pPr>
        <w:pStyle w:val="Compact"/>
        <w:numPr>
          <w:ilvl w:val="0"/>
          <w:numId w:val="1021"/>
        </w:numPr>
      </w:pPr>
      <w:r>
        <w:rPr>
          <w:lang w:val="pt-PT"/>
        </w:rPr>
        <w:t xml:space="preserve">latência controlada para limitar o atraso de replicação (atraso </w:t>
      </w:r>
      <w:r>
        <w:rPr>
          <w:i/>
          <w:iCs/>
          <w:lang w:val="pt-PT"/>
        </w:rPr>
        <w:t xml:space="preserve">de replicação) </w:t>
      </w:r>
      <w:r>
        <w:rPr>
          <w:lang w:val="pt-PT"/>
        </w:rPr>
        <w:t xml:space="preserve">e, portanto, o RPO efetivo.</w:t>
      </w:r>
    </w:p>
    <w:p>
      <w:pPr>
        <w:pStyle w:val="FirstParagraph"/>
      </w:pPr>
      <w:r>
        <w:rPr>
          <w:rStyle w:val="VerbatimChar"/>
          <w:lang w:val="pt-PT"/>
        </w:rPr>
        <w:t xml:space="preserve">[A SER INFORMADO ao departamento de TI: características do link entre salas (taxa de transferência, latência, redundância).]</w:t>
      </w:r>
    </w:p>
    <w:p>
      <w:r>
        <w:pict>
          <v:rect style="width:0;height:1.5pt" o:hralign="center" o:hrstd="t" o:hr="t"/>
        </w:pict>
      </w:r>
    </w:p>
    <w:bookmarkEnd w:id="85"/>
    <w:bookmarkEnd w:id="86"/>
    <w:bookmarkStart w:id="89" w:name="X5e2ae69aac9030c768b72ec5e62d481fe86dbae"/>
    <w:p>
      <w:pPr>
        <w:pStyle w:val="Heading2"/>
        <w:keepNext/>
        <w:keepLines/>
      </w:pPr>
      <w:r>
        <w:rPr>
          <w:color w:val="000000"/>
          <w:lang w:val="pt-PT"/>
        </w:rPr>
        <w:t xml:space="preserve">10. Planos de endereçamento IP e VLAN (tabelas típicas)</w:t>
      </w:r>
    </w:p>
    <w:bookmarkStart w:id="87" w:name="X4cfeb3bc4e46120ac45e33dfda91788d42bb49e"/>
    <w:p>
      <w:pPr>
        <w:pStyle w:val="Heading3"/>
        <w:keepNext/>
        <w:keepLines/>
      </w:pPr>
      <w:r>
        <w:rPr>
          <w:color w:val="000000"/>
          <w:lang w:val="pt-PT"/>
        </w:rPr>
        <w:t xml:space="preserve">10.1 Tabela VLAN (a ser preenchida)</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pt-PT"/>
              </w:rPr>
              <w:t xml:space="preserve">Número VLAN</w:t>
            </w:r>
          </w:p>
        </w:tc>
        <w:tc>
          <w:tcPr>
            <w:tcW w:type="dxa" w:w="1560"/>
            <w:tcMar>
              <w:left w:type="dxa" w:w="80"/>
              <w:right w:type="dxa" w:w="80"/>
            </w:tcMar>
          </w:tcPr>
          <w:p>
            <w:pPr>
              <w:pStyle w:val="Compact"/>
            </w:pPr>
            <w:r>
              <w:rPr>
                <w:sz w:val="19"/>
                <w:szCs w:val="19"/>
                <w:lang w:val="pt-PT"/>
              </w:rPr>
              <w:t xml:space="preserve">Nome</w:t>
            </w:r>
          </w:p>
        </w:tc>
        <w:tc>
          <w:tcPr>
            <w:tcW w:type="dxa" w:w="1560"/>
            <w:tcMar>
              <w:left w:type="dxa" w:w="80"/>
              <w:right w:type="dxa" w:w="80"/>
            </w:tcMar>
          </w:tcPr>
          <w:p>
            <w:pPr>
              <w:pStyle w:val="Compact"/>
            </w:pPr>
            <w:r>
              <w:rPr>
                <w:sz w:val="19"/>
                <w:szCs w:val="19"/>
                <w:lang w:val="pt-PT"/>
              </w:rPr>
              <w:t xml:space="preserve">Sub-rede</w:t>
            </w:r>
          </w:p>
        </w:tc>
        <w:tc>
          <w:tcPr>
            <w:tcW w:type="dxa" w:w="1560"/>
            <w:tcMar>
              <w:left w:type="dxa" w:w="80"/>
              <w:right w:type="dxa" w:w="80"/>
            </w:tcMar>
          </w:tcPr>
          <w:p>
            <w:pPr>
              <w:pStyle w:val="Compact"/>
            </w:pPr>
            <w:r>
              <w:rPr>
                <w:sz w:val="19"/>
                <w:szCs w:val="19"/>
                <w:lang w:val="pt-PT"/>
              </w:rPr>
              <w:t xml:space="preserve">Portal</w:t>
            </w:r>
          </w:p>
        </w:tc>
        <w:tc>
          <w:tcPr>
            <w:tcW w:type="dxa" w:w="1560"/>
            <w:tcMar>
              <w:left w:type="dxa" w:w="80"/>
              <w:right w:type="dxa" w:w="80"/>
            </w:tcMar>
          </w:tcPr>
          <w:p>
            <w:pPr>
              <w:pStyle w:val="Compact"/>
            </w:pPr>
            <w:r>
              <w:rPr>
                <w:sz w:val="19"/>
                <w:szCs w:val="19"/>
                <w:lang w:val="pt-PT"/>
              </w:rPr>
              <w:t xml:space="preserve">Sala(s)</w:t>
            </w:r>
          </w:p>
        </w:tc>
        <w:tc>
          <w:tcPr>
            <w:tcW w:type="dxa" w:w="1560"/>
            <w:tcMar>
              <w:left w:type="dxa" w:w="80"/>
              <w:right w:type="dxa" w:w="80"/>
            </w:tcMar>
          </w:tcPr>
          <w:p>
            <w:pPr>
              <w:pStyle w:val="Compact"/>
            </w:pPr>
            <w:r>
              <w:rPr>
                <w:sz w:val="19"/>
                <w:szCs w:val="19"/>
                <w:lang w:val="pt-PT"/>
              </w:rPr>
              <w:t xml:space="preserve">Descrição</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Servidores de aplicativos Sala A</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Sala A</w:t>
            </w:r>
          </w:p>
        </w:tc>
        <w:tc>
          <w:tcPr>
            <w:tcW w:type="dxa" w:w="1560"/>
            <w:tcMar>
              <w:left w:type="dxa" w:w="80"/>
              <w:right w:type="dxa" w:w="80"/>
            </w:tcMar>
          </w:tcPr>
          <w:p>
            <w:pPr>
              <w:pStyle w:val="Compact"/>
            </w:pPr>
            <w:r>
              <w:rPr>
                <w:sz w:val="19"/>
                <w:szCs w:val="19"/>
                <w:lang w:val="pt-PT"/>
              </w:rPr>
              <w:t xml:space="preserve">Stack app + GPU ativo</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Servidores de aplicativos Sala B</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Quarto B</w:t>
            </w:r>
          </w:p>
        </w:tc>
        <w:tc>
          <w:tcPr>
            <w:tcW w:type="dxa" w:w="1560"/>
            <w:tcMar>
              <w:left w:type="dxa" w:w="80"/>
              <w:right w:type="dxa" w:w="80"/>
            </w:tcMar>
          </w:tcPr>
          <w:p>
            <w:pPr>
              <w:pStyle w:val="Compact"/>
            </w:pPr>
            <w:r>
              <w:rPr>
                <w:sz w:val="19"/>
                <w:szCs w:val="19"/>
                <w:lang w:val="pt-PT"/>
              </w:rPr>
              <w:t xml:space="preserve">Stack app + GPU de reserva</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Administração</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Quarto A+Quarto B</w:t>
            </w:r>
          </w:p>
        </w:tc>
        <w:tc>
          <w:tcPr>
            <w:tcW w:type="dxa" w:w="1560"/>
            <w:tcMar>
              <w:left w:type="dxa" w:w="80"/>
              <w:right w:type="dxa" w:w="80"/>
            </w:tcMar>
          </w:tcPr>
          <w:p>
            <w:pPr>
              <w:pStyle w:val="Compact"/>
            </w:pPr>
            <w:r>
              <w:rPr>
                <w:sz w:val="19"/>
                <w:szCs w:val="19"/>
                <w:lang w:val="pt-PT"/>
              </w:rPr>
              <w:t xml:space="preserve">Fora de banda, SSH, monitorização</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Armazenamento/replicação</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Quarto A+Quarto B</w:t>
            </w:r>
          </w:p>
        </w:tc>
        <w:tc>
          <w:tcPr>
            <w:tcW w:type="dxa" w:w="1560"/>
            <w:tcMar>
              <w:left w:type="dxa" w:w="80"/>
              <w:right w:type="dxa" w:w="80"/>
            </w:tcMar>
          </w:tcPr>
          <w:p>
            <w:pPr>
              <w:pStyle w:val="Compact"/>
            </w:pPr>
            <w:r>
              <w:rPr>
                <w:sz w:val="19"/>
                <w:szCs w:val="19"/>
                <w:lang w:val="pt-PT"/>
              </w:rPr>
              <w:t xml:space="preserve">Replicação BDD + sincronização de armazenamento</w:t>
            </w:r>
          </w:p>
        </w:tc>
      </w:tr>
    </w:tbl>
    <w:bookmarkEnd w:id="87"/>
    <w:bookmarkStart w:id="88" w:name="Xfc6f6b95ded0ce567b3f5941dcb59864b84d585"/>
    <w:p>
      <w:pPr>
        <w:pStyle w:val="Heading3"/>
        <w:keepNext/>
        <w:keepLines/>
      </w:pPr>
      <w:r>
        <w:rPr>
          <w:color w:val="000000"/>
          <w:lang w:val="pt-PT"/>
        </w:rPr>
        <w:t xml:space="preserve">10.2 Tabela de endereçamento de host (a ser preenchida)</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pt-PT"/>
              </w:rPr>
              <w:t xml:space="preserve">Anfitrião</w:t>
            </w:r>
          </w:p>
        </w:tc>
        <w:tc>
          <w:tcPr>
            <w:tcW w:type="dxa" w:w="1560"/>
            <w:tcMar>
              <w:left w:type="dxa" w:w="80"/>
              <w:right w:type="dxa" w:w="80"/>
            </w:tcMar>
          </w:tcPr>
          <w:p>
            <w:pPr>
              <w:pStyle w:val="Compact"/>
            </w:pPr>
            <w:r>
              <w:rPr>
                <w:sz w:val="19"/>
                <w:szCs w:val="19"/>
                <w:lang w:val="pt-PT"/>
              </w:rPr>
              <w:t xml:space="preserve">Função</w:t>
            </w:r>
          </w:p>
        </w:tc>
        <w:tc>
          <w:tcPr>
            <w:tcW w:type="dxa" w:w="1560"/>
            <w:tcMar>
              <w:left w:type="dxa" w:w="80"/>
              <w:right w:type="dxa" w:w="80"/>
            </w:tcMar>
          </w:tcPr>
          <w:p>
            <w:pPr>
              <w:pStyle w:val="Compact"/>
            </w:pPr>
            <w:r>
              <w:rPr>
                <w:sz w:val="19"/>
                <w:szCs w:val="19"/>
                <w:lang w:val="pt-PT"/>
              </w:rPr>
              <w:t xml:space="preserve">VLAN</w:t>
            </w:r>
          </w:p>
        </w:tc>
        <w:tc>
          <w:tcPr>
            <w:tcW w:type="dxa" w:w="1560"/>
            <w:tcMar>
              <w:left w:type="dxa" w:w="80"/>
              <w:right w:type="dxa" w:w="80"/>
            </w:tcMar>
          </w:tcPr>
          <w:p>
            <w:pPr>
              <w:pStyle w:val="Compact"/>
            </w:pPr>
            <w:r>
              <w:rPr>
                <w:sz w:val="19"/>
                <w:szCs w:val="19"/>
                <w:lang w:val="pt-PT"/>
              </w:rPr>
              <w:t xml:space="preserve">Endereço IP</w:t>
            </w:r>
          </w:p>
        </w:tc>
        <w:tc>
          <w:tcPr>
            <w:tcW w:type="dxa" w:w="1560"/>
            <w:tcMar>
              <w:left w:type="dxa" w:w="80"/>
              <w:right w:type="dxa" w:w="80"/>
            </w:tcMar>
          </w:tcPr>
          <w:p>
            <w:pPr>
              <w:pStyle w:val="Compact"/>
            </w:pPr>
            <w:r>
              <w:rPr>
                <w:sz w:val="19"/>
                <w:szCs w:val="19"/>
                <w:lang w:val="pt-PT"/>
              </w:rPr>
              <w:t xml:space="preserve">Quarto</w:t>
            </w:r>
          </w:p>
        </w:tc>
        <w:tc>
          <w:tcPr>
            <w:tcW w:type="dxa" w:w="1560"/>
            <w:tcMar>
              <w:left w:type="dxa" w:w="80"/>
              <w:right w:type="dxa" w:w="80"/>
            </w:tcMar>
          </w:tcPr>
          <w:p>
            <w:pPr>
              <w:pStyle w:val="Compact"/>
            </w:pPr>
            <w:r>
              <w:rPr>
                <w:sz w:val="19"/>
                <w:szCs w:val="19"/>
                <w:lang w:val="pt-PT"/>
              </w:rPr>
              <w:t xml:space="preserve">Bastidor</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Servidor app (ativo)</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Sala A</w:t>
            </w:r>
          </w:p>
        </w:tc>
        <w:tc>
          <w:tcPr>
            <w:tcW w:type="dxa" w:w="1560"/>
            <w:tcMar>
              <w:left w:type="dxa" w:w="80"/>
              <w:right w:type="dxa" w:w="80"/>
            </w:tcMar>
          </w:tcPr>
          <w:p>
            <w:pPr>
              <w:pStyle w:val="Compact"/>
            </w:pPr>
            <w:r>
              <w:rPr>
                <w:rStyle w:val="VerbatimChar"/>
                <w:sz w:val="19"/>
                <w:szCs w:val="19"/>
                <w:lang w:val="pt-PT"/>
              </w:rPr>
              <w:t xml:space="preserve">[…]</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Servidor GPU (ativo)</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Sala A</w:t>
            </w:r>
          </w:p>
        </w:tc>
        <w:tc>
          <w:tcPr>
            <w:tcW w:type="dxa" w:w="1560"/>
            <w:tcMar>
              <w:left w:type="dxa" w:w="80"/>
              <w:right w:type="dxa" w:w="80"/>
            </w:tcMar>
          </w:tcPr>
          <w:p>
            <w:pPr>
              <w:pStyle w:val="Compact"/>
            </w:pPr>
            <w:r>
              <w:rPr>
                <w:rStyle w:val="VerbatimChar"/>
                <w:sz w:val="19"/>
                <w:szCs w:val="19"/>
                <w:lang w:val="pt-PT"/>
              </w:rPr>
              <w:t xml:space="preserve">[…]</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Servidor app (reserva)</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Quarto B</w:t>
            </w:r>
          </w:p>
        </w:tc>
        <w:tc>
          <w:tcPr>
            <w:tcW w:type="dxa" w:w="1560"/>
            <w:tcMar>
              <w:left w:type="dxa" w:w="80"/>
              <w:right w:type="dxa" w:w="80"/>
            </w:tcMar>
          </w:tcPr>
          <w:p>
            <w:pPr>
              <w:pStyle w:val="Compact"/>
            </w:pPr>
            <w:r>
              <w:rPr>
                <w:rStyle w:val="VerbatimChar"/>
                <w:sz w:val="19"/>
                <w:szCs w:val="19"/>
                <w:lang w:val="pt-PT"/>
              </w:rPr>
              <w:t xml:space="preserve">[…]</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Servidor GPU (backup)</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Quarto B</w:t>
            </w:r>
          </w:p>
        </w:tc>
        <w:tc>
          <w:tcPr>
            <w:tcW w:type="dxa" w:w="1560"/>
            <w:tcMar>
              <w:left w:type="dxa" w:w="80"/>
              <w:right w:type="dxa" w:w="80"/>
            </w:tcMar>
          </w:tcPr>
          <w:p>
            <w:pPr>
              <w:pStyle w:val="Compact"/>
            </w:pPr>
            <w:r>
              <w:rPr>
                <w:rStyle w:val="VerbatimChar"/>
                <w:sz w:val="19"/>
                <w:szCs w:val="19"/>
                <w:lang w:val="pt-PT"/>
              </w:rPr>
              <w:t xml:space="preserve">[…]</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Aplicação VIP</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(virtual)</w:t>
            </w:r>
          </w:p>
        </w:tc>
        <w:tc>
          <w:tcPr>
            <w:tcW w:type="dxa" w:w="1560"/>
            <w:tcMar>
              <w:left w:type="dxa" w:w="80"/>
              <w:right w:type="dxa" w:w="80"/>
            </w:tcMar>
          </w:tcPr>
          <w:p>
            <w:pPr>
              <w:pStyle w:val="Compact"/>
            </w:pPr>
            <w:r>
              <w:rPr>
                <w:sz w:val="19"/>
                <w:szCs w:val="19"/>
                <w:lang w:val="pt-PT"/>
              </w:rPr>
              <w:t xml:space="preserve">—</w:t>
            </w:r>
          </w:p>
        </w:tc>
      </w:tr>
      <w:tr>
        <w:trPr>
          <w:cantSplit/>
        </w:trPr>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sz w:val="19"/>
                <w:szCs w:val="19"/>
                <w:lang w:val="pt-PT"/>
              </w:rPr>
              <w:t xml:space="preserve">Fortaleza da administração</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c>
          <w:tcPr>
            <w:tcW w:type="dxa" w:w="1560"/>
            <w:tcMar>
              <w:left w:type="dxa" w:w="80"/>
              <w:right w:type="dxa" w:w="80"/>
            </w:tcMar>
          </w:tcPr>
          <w:p>
            <w:pPr>
              <w:pStyle w:val="Compact"/>
            </w:pPr>
            <w:r>
              <w:rPr>
                <w:rStyle w:val="VerbatimChar"/>
                <w:sz w:val="19"/>
                <w:szCs w:val="19"/>
                <w:lang w:val="pt-PT"/>
              </w:rPr>
              <w:t xml:space="preserve">[…]</w:t>
            </w:r>
          </w:p>
        </w:tc>
      </w:tr>
    </w:tbl>
    <w:p>
      <w:pPr>
        <w:pStyle w:val="BodyText"/>
      </w:pPr>
      <w:r>
        <w:rPr>
          <w:rStyle w:val="VerbatimChar"/>
          <w:lang w:val="pt-PT"/>
        </w:rPr>
        <w:t xml:space="preserve">[A INFORMAR ao departamento de TI do Cliente.]</w:t>
      </w:r>
    </w:p>
    <w:p>
      <w:r>
        <w:pict>
          <v:rect style="width:0;height:1.5pt" o:hralign="center" o:hrstd="t" o:hr="t"/>
        </w:pict>
      </w:r>
    </w:p>
    <w:bookmarkEnd w:id="88"/>
    <w:bookmarkEnd w:id="89"/>
    <w:bookmarkStart w:id="95" w:name="X4a0922f6085a41fbbda97f6c7422de956f2bc94"/>
    <w:p>
      <w:pPr>
        <w:pStyle w:val="Heading2"/>
        <w:keepNext/>
        <w:keepLines/>
      </w:pPr>
      <w:r>
        <w:rPr>
          <w:color w:val="000000"/>
          <w:lang w:val="pt-PT"/>
        </w:rPr>
        <w:t xml:space="preserve">11. Itens de configuração específicos</w:t>
      </w:r>
    </w:p>
    <w:bookmarkStart w:id="90" w:name="Xe1d723a4cba3550873291676b2d063f86718f10"/>
    <w:p>
      <w:pPr>
        <w:pStyle w:val="Heading3"/>
        <w:keepNext/>
        <w:keepLines/>
      </w:pPr>
      <w:r>
        <w:rPr>
          <w:color w:val="000000"/>
          <w:lang w:val="pt-PT"/>
        </w:rPr>
        <w:t xml:space="preserve">11.1 Fortalecendo o sistema operacional</w:t>
      </w:r>
    </w:p>
    <w:p>
      <w:pPr>
        <w:pStyle w:val="Compact"/>
        <w:numPr>
          <w:ilvl w:val="0"/>
          <w:numId w:val="1022"/>
        </w:numPr>
      </w:pPr>
      <w:r>
        <w:rPr>
          <w:lang w:val="pt-PT"/>
        </w:rPr>
        <w:t xml:space="preserve">Acesso SSH </w:t>
      </w:r>
      <w:r>
        <w:rPr>
          <w:lang w:val="pt-PT"/>
        </w:rPr>
        <w:t xml:space="preserve"/>
      </w:r>
      <w:r>
        <w:rPr>
          <w:b/>
          <w:bCs/>
          <w:lang w:val="pt-PT"/>
        </w:rPr>
        <w:t xml:space="preserve">somente por chave </w:t>
      </w:r>
      <w:r>
        <w:rPr>
          <w:lang w:val="pt-PT"/>
        </w:rPr>
        <w:t xml:space="preserve"/>
      </w:r>
      <w:r>
        <w:rPr>
          <w:lang w:val="pt-PT"/>
        </w:rPr>
        <w:t xml:space="preserve">(</w:t>
      </w:r>
      <w:r>
        <w:rPr>
          <w:rStyle w:val="VerbatimChar"/>
          <w:lang w:val="pt-PT"/>
        </w:rPr>
        <w:t xml:space="preserve">PasswordAuthentication no</w:t>
      </w:r>
      <w:r>
        <w:rPr>
          <w:lang w:val="pt-PT"/>
        </w:rPr>
        <w:t xml:space="preserve">, </w:t>
      </w:r>
      <w:r>
        <w:rPr>
          <w:lang w:val="pt-PT"/>
        </w:rPr>
        <w:t xml:space="preserve"/>
      </w:r>
      <w:r>
        <w:rPr>
          <w:rStyle w:val="VerbatimChar"/>
          <w:lang w:val="pt-PT"/>
        </w:rPr>
        <w:t xml:space="preserve">PermitRootLogin prohibit-password</w:t>
      </w:r>
      <w:r>
        <w:rPr>
          <w:lang w:val="pt-PT"/>
        </w:rPr>
        <w:t xml:space="preserve">).</w:t>
      </w:r>
    </w:p>
    <w:p>
      <w:pPr>
        <w:pStyle w:val="Compact"/>
        <w:numPr>
          <w:ilvl w:val="0"/>
          <w:numId w:val="1022"/>
        </w:numPr>
      </w:pPr>
      <w:r>
        <w:rPr>
          <w:lang w:val="pt-PT"/>
        </w:rPr>
        <w:t xml:space="preserve">Firewall do host (nftables/ufw): política de </w:t>
      </w:r>
      <w:r>
        <w:rPr>
          <w:lang w:val="pt-PT"/>
        </w:rPr>
        <w:t xml:space="preserve"/>
      </w:r>
      <w:r>
        <w:rPr>
          <w:i/>
          <w:iCs/>
          <w:lang w:val="pt-PT"/>
        </w:rPr>
        <w:t xml:space="preserve">negação de entrada, </w:t>
      </w:r>
      <w:r>
        <w:rPr>
          <w:lang w:val="pt-PT"/>
        </w:rPr>
        <w:t xml:space="preserve">abertura explícita em conformidade com a matriz de fluxo (§12).</w:t>
      </w:r>
    </w:p>
    <w:p>
      <w:pPr>
        <w:pStyle w:val="Compact"/>
        <w:numPr>
          <w:ilvl w:val="0"/>
          <w:numId w:val="1022"/>
        </w:numPr>
      </w:pPr>
      <w:r>
        <w:rPr>
          <w:rStyle w:val="VerbatimChar"/>
          <w:lang w:val="pt-PT"/>
        </w:rPr>
        <w:t xml:space="preserve">fail2ban</w:t>
      </w:r>
      <w:r>
        <w:rPr>
          <w:lang w:val="pt-PT"/>
        </w:rPr>
        <w:t xml:space="preserve"> </w:t>
      </w:r>
      <w:r>
        <w:rPr>
          <w:lang w:val="pt-PT"/>
        </w:rPr>
        <w:t xml:space="preserve">no serviço SSH.</w:t>
      </w:r>
    </w:p>
    <w:p>
      <w:pPr>
        <w:pStyle w:val="Compact"/>
        <w:numPr>
          <w:ilvl w:val="0"/>
          <w:numId w:val="1022"/>
        </w:numPr>
      </w:pPr>
      <w:r>
        <w:rPr>
          <w:lang w:val="pt-PT"/>
        </w:rPr>
        <w:t xml:space="preserve">Atualizações de segurança controladas (ver variante isolada §11.5).</w:t>
      </w:r>
    </w:p>
    <w:p>
      <w:pPr>
        <w:pStyle w:val="Compact"/>
        <w:numPr>
          <w:ilvl w:val="0"/>
          <w:numId w:val="1022"/>
        </w:numPr>
      </w:pPr>
      <w:r>
        <w:rPr>
          <w:lang w:val="pt-PT"/>
        </w:rPr>
        <w:t xml:space="preserve">Contas nominativas, </w:t>
      </w:r>
      <w:r>
        <w:rPr>
          <w:lang w:val="pt-PT"/>
        </w:rPr>
        <w:t xml:space="preserve"/>
      </w:r>
      <w:r>
        <w:rPr>
          <w:rStyle w:val="VerbatimChar"/>
          <w:lang w:val="pt-PT"/>
        </w:rPr>
        <w:t xml:space="preserve">sudo</w:t>
      </w:r>
      <w:r>
        <w:rPr>
          <w:lang w:val="pt-PT"/>
        </w:rPr>
        <w:t xml:space="preserve"> </w:t>
      </w:r>
      <w:r>
        <w:rPr>
          <w:lang w:val="pt-PT"/>
        </w:rPr>
        <w:t xml:space="preserve">rastreadas, sem contas compartilhadas.</w:t>
      </w:r>
    </w:p>
    <w:p>
      <w:pPr>
        <w:pStyle w:val="Compact"/>
        <w:numPr>
          <w:ilvl w:val="0"/>
          <w:numId w:val="1022"/>
        </w:numPr>
      </w:pPr>
      <w:r>
        <w:rPr>
          <w:lang w:val="pt-PT"/>
        </w:rPr>
        <w:t xml:space="preserve">Carimbo de data/hora NTP sincronizado (fonte interna do cliente).</w:t>
      </w:r>
    </w:p>
    <w:bookmarkEnd w:id="90"/>
    <w:bookmarkStart w:id="91" w:name="Xac68925d11c351668b02cbb21bc74ba1f310756"/>
    <w:p>
      <w:pPr>
        <w:pStyle w:val="Heading3"/>
        <w:keepNext/>
        <w:keepLines/>
      </w:pPr>
      <w:r>
        <w:rPr>
          <w:color w:val="000000"/>
          <w:lang w:val="pt-PT"/>
        </w:rPr>
        <w:t xml:space="preserve">11.2 Endurecimento do Docker</w:t>
      </w:r>
    </w:p>
    <w:p>
      <w:pPr>
        <w:pStyle w:val="Compact"/>
        <w:numPr>
          <w:ilvl w:val="0"/>
          <w:numId w:val="1023"/>
        </w:numPr>
      </w:pPr>
      <w:r>
        <w:rPr>
          <w:rStyle w:val="VerbatimChar"/>
          <w:lang w:val="pt-PT"/>
        </w:rPr>
        <w:t xml:space="preserve">no-new-privileges:true</w:t>
      </w:r>
      <w:r>
        <w:rPr>
          <w:lang w:val="pt-PT"/>
        </w:rPr>
        <w:t xml:space="preserve"> </w:t>
      </w:r>
      <w:r>
        <w:rPr>
          <w:lang w:val="pt-PT"/>
        </w:rPr>
        <w:t xml:space="preserve">em todos os serviços; </w:t>
      </w:r>
      <w:r>
        <w:rPr>
          <w:lang w:val="pt-PT"/>
        </w:rPr>
        <w:t xml:space="preserve"/>
      </w:r>
      <w:r>
        <w:rPr>
          <w:rStyle w:val="VerbatimChar"/>
          <w:lang w:val="pt-PT"/>
        </w:rPr>
        <w:t xml:space="preserve">cap_drop: ALL</w:t>
      </w:r>
      <w:r>
        <w:rPr>
          <w:lang w:val="pt-PT"/>
        </w:rPr>
        <w:t xml:space="preserve"> </w:t>
      </w:r>
      <w:r>
        <w:rPr>
          <w:lang w:val="pt-PT"/>
        </w:rPr>
        <w:t xml:space="preserve">com adição mínima de recursos necessários (nginx: </w:t>
      </w:r>
      <w:r>
        <w:rPr>
          <w:lang w:val="pt-PT"/>
        </w:rPr>
        <w:t xml:space="preserve"/>
      </w:r>
      <w:r>
        <w:rPr>
          <w:rStyle w:val="VerbatimChar"/>
          <w:lang w:val="pt-PT"/>
        </w:rPr>
        <w:t xml:space="preserve">NET_BIND_SERVICE</w:t>
      </w:r>
      <w:r>
        <w:rPr>
          <w:lang w:val="pt-PT"/>
        </w:rPr>
        <w:t xml:space="preserve">, </w:t>
      </w:r>
      <w:r>
        <w:rPr>
          <w:lang w:val="pt-PT"/>
        </w:rPr>
        <w:t xml:space="preserve"/>
      </w:r>
      <w:r>
        <w:rPr>
          <w:rStyle w:val="VerbatimChar"/>
          <w:lang w:val="pt-PT"/>
        </w:rPr>
        <w:t xml:space="preserve">CHOWN</w:t>
      </w:r>
      <w:r>
        <w:rPr>
          <w:lang w:val="pt-PT"/>
        </w:rPr>
        <w:t xml:space="preserve">, </w:t>
      </w:r>
      <w:r>
        <w:rPr>
          <w:lang w:val="pt-PT"/>
        </w:rPr>
        <w:t xml:space="preserve"/>
      </w:r>
      <w:r>
        <w:rPr>
          <w:rStyle w:val="VerbatimChar"/>
          <w:lang w:val="pt-PT"/>
        </w:rPr>
        <w:t xml:space="preserve">SETUID</w:t>
      </w:r>
      <w:r>
        <w:rPr>
          <w:lang w:val="pt-PT"/>
        </w:rPr>
        <w:t xml:space="preserve">, </w:t>
      </w:r>
      <w:r>
        <w:rPr>
          <w:lang w:val="pt-PT"/>
        </w:rPr>
        <w:t xml:space="preserve"/>
      </w:r>
      <w:r>
        <w:rPr>
          <w:rStyle w:val="VerbatimChar"/>
          <w:lang w:val="pt-PT"/>
        </w:rPr>
        <w:t xml:space="preserve">SETGID</w:t>
      </w:r>
      <w:r>
        <w:rPr>
          <w:lang w:val="pt-PT"/>
        </w:rPr>
        <w:t xml:space="preserve">).</w:t>
      </w:r>
    </w:p>
    <w:p>
      <w:pPr>
        <w:pStyle w:val="Compact"/>
        <w:numPr>
          <w:ilvl w:val="0"/>
          <w:numId w:val="1023"/>
        </w:numPr>
      </w:pPr>
      <w:r>
        <w:rPr>
          <w:lang w:val="pt-PT"/>
        </w:rPr>
        <w:t xml:space="preserve">Montagens somente leitura para código de aplicativo e volumes não modificáveis.</w:t>
      </w:r>
    </w:p>
    <w:p>
      <w:pPr>
        <w:pStyle w:val="Compact"/>
        <w:numPr>
          <w:ilvl w:val="0"/>
          <w:numId w:val="1023"/>
        </w:numPr>
      </w:pPr>
      <w:r>
        <w:rPr>
          <w:lang w:val="pt-PT"/>
        </w:rPr>
        <w:t xml:space="preserve">Nenhum anúncio de porta além do host, exceto o ponto de entrada (443/80 via proxy reverso); PostgreSQL e Redis vinculados apenas </w:t>
      </w:r>
      <w:r>
        <w:rPr>
          <w:lang w:val="pt-PT"/>
        </w:rPr>
        <w:t xml:space="preserve">a </w:t>
      </w:r>
      <w:r>
        <w:rPr>
          <w:rStyle w:val="VerbatimChar"/>
          <w:lang w:val="pt-PT"/>
        </w:rPr>
        <w:t xml:space="preserve">127.0.0.1</w:t>
      </w:r>
      <w:r>
        <w:rPr>
          <w:lang w:val="pt-PT"/>
        </w:rPr>
        <w:t xml:space="preserve">.</w:t>
      </w:r>
      <w:r>
        <w:rPr>
          <w:lang w:val="pt-PT"/>
        </w:rPr>
        <w:t xml:space="preserve"/>
      </w:r>
    </w:p>
    <w:p>
      <w:pPr>
        <w:pStyle w:val="Compact"/>
        <w:numPr>
          <w:ilvl w:val="0"/>
          <w:numId w:val="1023"/>
        </w:numPr>
      </w:pPr>
      <w:r>
        <w:rPr>
          <w:lang w:val="pt-PT"/>
        </w:rPr>
        <w:t xml:space="preserve">Limites de recursos (memória/CPU) por serviço.</w:t>
      </w:r>
    </w:p>
    <w:p>
      <w:pPr>
        <w:pStyle w:val="Compact"/>
        <w:numPr>
          <w:ilvl w:val="0"/>
          <w:numId w:val="1023"/>
        </w:numPr>
      </w:pPr>
      <w:r>
        <w:rPr>
          <w:lang w:val="pt-PT"/>
        </w:rPr>
        <w:t xml:space="preserve">Imagens fixadas em versões específicas; registo local num ambiente isolado (ver §11.5).</w:t>
      </w:r>
    </w:p>
    <w:bookmarkEnd w:id="91"/>
    <w:bookmarkStart w:id="92" w:name="X151ad10dfd4046a73081176a8feb83d63ac4dc8"/>
    <w:p>
      <w:pPr>
        <w:pStyle w:val="Heading3"/>
        <w:keepNext/>
        <w:keepLines/>
      </w:pPr>
      <w:r>
        <w:rPr>
          <w:color w:val="000000"/>
          <w:lang w:val="pt-PT"/>
        </w:rPr>
        <w:t xml:space="preserve">11.3 TLS interno</w:t>
      </w:r>
    </w:p>
    <w:p>
      <w:pPr>
        <w:pStyle w:val="Compact"/>
        <w:numPr>
          <w:ilvl w:val="0"/>
          <w:numId w:val="1024"/>
        </w:numPr>
      </w:pPr>
      <w:r>
        <w:rPr>
          <w:lang w:val="pt-PT"/>
        </w:rPr>
        <w:t xml:space="preserve">Terminação TLS do utilizador upstream (firewall/LB ou proxy reverso do Cliente) com certificado emitido </w:t>
      </w:r>
      <w:r>
        <w:rPr>
          <w:b/>
          <w:bCs/>
          <w:lang w:val="pt-PT"/>
        </w:rPr>
        <w:t xml:space="preserve">pela autoridade de certificação interna do </w:t>
      </w:r>
      <w:r>
        <w:rPr>
          <w:lang w:val="pt-PT"/>
        </w:rPr>
        <w:t xml:space="preserve"/>
      </w:r>
      <w:r>
        <w:rPr>
          <w:rStyle w:val="VerbatimChar"/>
          <w:lang w:val="pt-PT"/>
        </w:rPr>
        <w:t xml:space="preserve">Cliente [ATENÇÃO: PKI interno/procedimento de </w:t>
      </w:r>
      <w:r>
        <w:rPr>
          <w:lang w:val="pt-PT"/>
        </w:rPr>
        <w:t xml:space="preserve">emissão].</w:t>
      </w:r>
    </w:p>
    <w:p>
      <w:pPr>
        <w:pStyle w:val="Compact"/>
        <w:numPr>
          <w:ilvl w:val="0"/>
          <w:numId w:val="1024"/>
        </w:numPr>
      </w:pPr>
      <w:r>
        <w:rPr>
          <w:lang w:val="pt-PT"/>
        </w:rPr>
        <w:t xml:space="preserve">TLS ≥ 1.2, conjuntos fortes, HSTS habilitado, redirecionamento 80 → 443.</w:t>
      </w:r>
    </w:p>
    <w:p>
      <w:pPr>
        <w:pStyle w:val="Compact"/>
        <w:numPr>
          <w:ilvl w:val="0"/>
          <w:numId w:val="1024"/>
        </w:numPr>
      </w:pPr>
      <w:r>
        <w:rPr>
          <w:lang w:val="pt-PT"/>
        </w:rPr>
        <w:t xml:space="preserve">Replicação PostgreSQL e sincronização de armazenamento: cifragem de canal recomendada (TLS PostgreSQL / SSH) — consulte §11.4.</w:t>
      </w:r>
    </w:p>
    <w:bookmarkEnd w:id="92"/>
    <w:bookmarkStart w:id="93" w:name="Xdf21371f3818623846b5340828f7140fddcef46"/>
    <w:p>
      <w:pPr>
        <w:pStyle w:val="Heading3"/>
        <w:keepNext/>
        <w:keepLines/>
      </w:pPr>
      <w:r>
        <w:rPr>
          <w:color w:val="000000"/>
          <w:lang w:val="pt-PT"/>
        </w:rPr>
        <w:t xml:space="preserve">11.4 Contas de serviço e segredos</w:t>
      </w:r>
    </w:p>
    <w:p>
      <w:pPr>
        <w:pStyle w:val="Compact"/>
        <w:numPr>
          <w:ilvl w:val="0"/>
          <w:numId w:val="1025"/>
        </w:numPr>
      </w:pPr>
      <w:r>
        <w:rPr>
          <w:lang w:val="pt-PT"/>
        </w:rPr>
        <w:t xml:space="preserve">Contas de serviço dedicadas e menos privilegiadas para: replicação PostgreSQL (função de replicação), sincronização de armazenamento (conta SSH restrita), servidor GPU (token API de aplicativo dedicado).</w:t>
      </w:r>
    </w:p>
    <w:p>
      <w:pPr>
        <w:pStyle w:val="Compact"/>
        <w:numPr>
          <w:ilvl w:val="0"/>
          <w:numId w:val="1025"/>
        </w:numPr>
      </w:pPr>
      <w:r>
        <w:rPr>
          <w:lang w:val="pt-PT"/>
        </w:rPr>
        <w:t xml:space="preserve">Segredos (senhas DB/Redis, chaves) armazenados fora do código, em ficheiros </w:t>
      </w:r>
      <w:r>
        <w:rPr>
          <w:lang w:val="pt-PT"/>
        </w:rPr>
        <w:t xml:space="preserve"/>
      </w:r>
      <w:r>
        <w:rPr>
          <w:rStyle w:val="VerbatimChar"/>
          <w:lang w:val="pt-PT"/>
        </w:rPr>
        <w:t xml:space="preserve">.env</w:t>
      </w:r>
      <w:r>
        <w:rPr>
          <w:lang w:val="pt-PT"/>
        </w:rPr>
        <w:t xml:space="preserve"> </w:t>
      </w:r>
      <w:r>
        <w:rPr>
          <w:lang w:val="pt-PT"/>
        </w:rPr>
        <w:t xml:space="preserve">protegidos (direitos restritos) ou mesmo em um cofre </w:t>
      </w:r>
      <w:r>
        <w:rPr>
          <w:lang w:val="pt-PT"/>
        </w:rPr>
        <w:t xml:space="preserve"/>
      </w:r>
      <w:r>
        <w:rPr>
          <w:rStyle w:val="VerbatimChar"/>
          <w:lang w:val="pt-PT"/>
        </w:rPr>
        <w:t xml:space="preserve">[A SER CONCLUÍDO: Cofre de segredos do cliente, se </w:t>
      </w:r>
      <w:r>
        <w:rPr>
          <w:lang w:val="pt-PT"/>
        </w:rPr>
        <w:t xml:space="preserve">disponível].</w:t>
      </w:r>
    </w:p>
    <w:p>
      <w:pPr>
        <w:pStyle w:val="Compact"/>
        <w:numPr>
          <w:ilvl w:val="0"/>
          <w:numId w:val="1025"/>
        </w:numPr>
      </w:pPr>
      <w:r>
        <w:rPr>
          <w:lang w:val="pt-PT"/>
        </w:rPr>
        <w:t xml:space="preserve">Chaves de cifragem para backups (</w:t>
      </w:r>
      <w:r>
        <w:rPr>
          <w:rStyle w:val="VerbatimChar"/>
          <w:lang w:val="pt-PT"/>
        </w:rPr>
        <w:t xml:space="preserve">age</w:t>
      </w:r>
      <w:r>
        <w:rPr>
          <w:lang w:val="pt-PT"/>
        </w:rPr>
        <w:t xml:space="preserve">) mantidos e armazenados pelo Cliente, fora dos servidores de backup.</w:t>
      </w:r>
    </w:p>
    <w:bookmarkEnd w:id="93"/>
    <w:bookmarkStart w:id="94" w:name="X0a02393e565cb0483e9903f5bfd1636aecea05e"/>
    <w:p>
      <w:pPr>
        <w:pStyle w:val="Heading3"/>
        <w:keepNext/>
        <w:keepLines/>
      </w:pPr>
      <w:r>
        <w:rPr>
          <w:color w:val="000000"/>
          <w:lang w:val="pt-PT"/>
        </w:rPr>
        <w:t xml:space="preserve">11.5 Variante isolada — atualizações offline</w:t>
      </w:r>
    </w:p>
    <w:p>
      <w:pPr>
        <w:pStyle w:val="FirstParagraph"/>
      </w:pPr>
      <w:r>
        <w:rPr>
          <w:lang w:val="pt-PT"/>
        </w:rPr>
        <w:t xml:space="preserve">Em ambiente isolado (sem Internet):</w:t>
      </w:r>
    </w:p>
    <w:p>
      <w:pPr>
        <w:pStyle w:val="Compact"/>
        <w:numPr>
          <w:ilvl w:val="0"/>
          <w:numId w:val="1026"/>
        </w:numPr>
      </w:pPr>
      <w:r>
        <w:rPr>
          <w:b/>
          <w:bCs/>
          <w:lang w:val="pt-PT"/>
        </w:rPr>
        <w:t xml:space="preserve">Imagens Docker e pacotes de sistema: </w:t>
      </w:r>
      <w:r>
        <w:rPr>
          <w:lang w:val="pt-PT"/>
        </w:rPr>
        <w:t xml:space="preserve"/>
      </w:r>
      <w:r>
        <w:rPr>
          <w:lang w:val="pt-PT"/>
        </w:rPr>
        <w:t xml:space="preserve">provisionados por meio de </w:t>
      </w:r>
      <w:r>
        <w:rPr>
          <w:lang w:val="pt-PT"/>
        </w:rPr>
        <w:t xml:space="preserve"/>
      </w:r>
      <w:r>
        <w:rPr>
          <w:b/>
          <w:bCs/>
          <w:lang w:val="pt-PT"/>
        </w:rPr>
        <w:t xml:space="preserve">um repositório local/registo </w:t>
      </w:r>
      <w:r>
        <w:rPr>
          <w:lang w:val="pt-PT"/>
        </w:rPr>
        <w:t xml:space="preserve">interno </w:t>
      </w:r>
      <w:r>
        <w:rPr>
          <w:lang w:val="pt-PT"/>
        </w:rPr>
        <w:t xml:space="preserve">alimentado por uma estação retransmissora controlada ou por mídia controlada. Nenhuma recuperação direta da Internet na produção.</w:t>
      </w:r>
    </w:p>
    <w:p>
      <w:pPr>
        <w:pStyle w:val="Compact"/>
        <w:numPr>
          <w:ilvl w:val="0"/>
          <w:numId w:val="1026"/>
        </w:numPr>
      </w:pPr>
      <w:r>
        <w:rPr>
          <w:b/>
          <w:bCs/>
          <w:lang w:val="pt-PT"/>
        </w:rPr>
        <w:t xml:space="preserve">Assinaturas antivírus ClamAV (freshclam): </w:t>
      </w:r>
      <w:r>
        <w:rPr>
          <w:lang w:val="pt-PT"/>
        </w:rPr>
        <w:t xml:space="preserve"/>
      </w:r>
      <w:r>
        <w:rPr>
          <w:lang w:val="pt-PT"/>
        </w:rPr>
        <w:t xml:space="preserve">atualização offline </w:t>
      </w:r>
      <w:r>
        <w:rPr>
          <w:lang w:val="pt-PT"/>
        </w:rPr>
        <w:t xml:space="preserve">— </w:t>
      </w:r>
      <w:r>
        <w:rPr>
          <w:b/>
          <w:bCs/>
          <w:lang w:val="pt-PT"/>
        </w:rPr>
        <w:t xml:space="preserve">recuperação </w:t>
      </w:r>
      <w:r>
        <w:rPr>
          <w:lang w:val="pt-PT"/>
        </w:rPr>
        <w:t xml:space="preserve"/>
      </w:r>
      <w:r>
        <w:rPr>
          <w:lang w:val="pt-PT"/>
        </w:rPr>
        <w:t xml:space="preserve">de base de dados em uma estação de trabalho conectada, verificação de integridade, transferência para o servidor — </w:t>
      </w:r>
      <w:r>
        <w:rPr>
          <w:lang w:val="pt-PT"/>
        </w:rPr>
        <w:t xml:space="preserve"/>
      </w:r>
      <w:r>
        <w:rPr>
          <w:rStyle w:val="VerbatimChar"/>
          <w:lang w:val="pt-PT"/>
        </w:rPr>
        <w:t xml:space="preserve">[procedimento a ser definido com o </w:t>
      </w:r>
      <w:r>
        <w:rPr>
          <w:lang w:val="pt-PT"/>
        </w:rPr>
        <w:t xml:space="preserve">departamento </w:t>
      </w:r>
      <w:r>
        <w:rPr>
          <w:lang w:val="pt-PT"/>
        </w:rPr>
        <w:t xml:space="preserve">de TI] (ver arquivo operacional, folha EXPL-13).</w:t>
      </w:r>
    </w:p>
    <w:p>
      <w:pPr>
        <w:pStyle w:val="Compact"/>
        <w:numPr>
          <w:ilvl w:val="0"/>
          <w:numId w:val="1026"/>
        </w:numPr>
      </w:pPr>
      <w:r>
        <w:rPr>
          <w:b/>
          <w:bCs/>
          <w:lang w:val="pt-PT"/>
        </w:rPr>
        <w:t xml:space="preserve">Modelos LLM (pesos abertos Qwen 3.6 / Mistral servidos por vLLM) e modelos de transcrição: </w:t>
      </w:r>
      <w:r>
        <w:rPr>
          <w:lang w:val="pt-PT"/>
        </w:rPr>
        <w:t xml:space="preserve"/>
      </w:r>
      <w:r>
        <w:rPr>
          <w:lang w:val="pt-PT"/>
        </w:rPr>
        <w:t xml:space="preserve">carregados uma vez durante a implementação; atualizações por ciclo controlado.</w:t>
      </w:r>
    </w:p>
    <w:p>
      <w:r>
        <w:pict>
          <v:rect style="width:0;height:1.5pt" o:hralign="center" o:hrstd="t" o:hr="t"/>
        </w:pict>
      </w:r>
    </w:p>
    <w:bookmarkEnd w:id="94"/>
    <w:bookmarkEnd w:id="95"/>
    <w:bookmarkStart w:id="101" w:name="X133c33c11e206e16c3d6fbc74b773656070b317"/>
    <w:p>
      <w:pPr>
        <w:pStyle w:val="Heading2"/>
        <w:keepNext/>
        <w:keepLines/>
      </w:pPr>
      <w:r>
        <w:rPr>
          <w:color w:val="000000"/>
          <w:lang w:val="pt-PT"/>
        </w:rPr>
        <w:t xml:space="preserve">12. Matrizes de fluxo para portas TCP/UDP</w:t>
      </w:r>
    </w:p>
    <w:p>
      <w:pPr>
        <w:pStyle w:val="BlockText"/>
      </w:pPr>
      <w:r>
        <w:rPr>
          <w:b/>
          <w:bCs/>
          <w:lang w:val="pt-PT"/>
        </w:rPr>
        <w:t xml:space="preserve">Matriz a ser transferida para o modelo do Cliente, se for fornecido. </w:t>
      </w:r>
      <w:r>
        <w:rPr>
          <w:lang w:val="pt-PT"/>
        </w:rPr>
        <w:t xml:space="preserve"/>
      </w:r>
      <w:r>
        <w:rPr>
          <w:lang w:val="pt-PT"/>
        </w:rPr>
        <w:t xml:space="preserve">Ele descreve todos os fluxos de solução. Numa </w:t>
      </w:r>
      <w:r>
        <w:rPr>
          <w:lang w:val="pt-PT"/>
        </w:rPr>
        <w:t xml:space="preserve"/>
      </w:r>
      <w:r>
        <w:rPr>
          <w:b/>
          <w:bCs/>
          <w:lang w:val="pt-PT"/>
        </w:rPr>
        <w:t xml:space="preserve">variante isolada, </w:t>
      </w:r>
      <w:r>
        <w:rPr>
          <w:lang w:val="pt-PT"/>
        </w:rPr>
        <w:t xml:space="preserve">nenhum fluxo de saída da Internet é necessário na operação nominal.</w:t>
      </w:r>
    </w:p>
    <w:bookmarkStart w:id="96" w:name="X807c2da8f4aa150b03c40b830cee190f5d64bf2"/>
    <w:p>
      <w:pPr>
        <w:sectPr>
          <w:type w:val="nextPage"/>
          <w:footnotePr>
            <w:numRestart w:val="eachSect"/>
          </w:footnotePr>
        </w:sectPr>
      </w:pPr>
    </w:p>
    <w:p>
      <w:pPr>
        <w:pStyle w:val="Heading3"/>
        <w:keepNext/>
        <w:keepLines/>
      </w:pPr>
      <w:r>
        <w:rPr>
          <w:color w:val="000000"/>
          <w:lang w:val="pt-PT"/>
        </w:rPr>
        <w:t xml:space="preserve">12.1 Fluxos internos de aplicativos (dentro de um site)</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Fonte</w:t>
            </w:r>
          </w:p>
        </w:tc>
        <w:tc>
          <w:tcPr>
            <w:tcW w:type="dxa" w:w="1620"/>
            <w:tcMar>
              <w:left w:type="dxa" w:w="80"/>
              <w:right w:type="dxa" w:w="80"/>
            </w:tcMar>
          </w:tcPr>
          <w:p>
            <w:pPr>
              <w:pStyle w:val="Compact"/>
            </w:pPr>
            <w:r>
              <w:rPr>
                <w:sz w:val="19"/>
                <w:szCs w:val="19"/>
                <w:lang w:val="pt-PT"/>
              </w:rPr>
              <w:t xml:space="preserve">Destino</w:t>
            </w:r>
          </w:p>
        </w:tc>
        <w:tc>
          <w:tcPr>
            <w:tcW w:type="dxa" w:w="1620"/>
            <w:tcMar>
              <w:left w:type="dxa" w:w="80"/>
              <w:right w:type="dxa" w:w="80"/>
            </w:tcMar>
          </w:tcPr>
          <w:p>
            <w:pPr>
              <w:pStyle w:val="Compact"/>
            </w:pPr>
            <w:r>
              <w:rPr>
                <w:sz w:val="19"/>
                <w:szCs w:val="19"/>
                <w:lang w:val="pt-PT"/>
              </w:rPr>
              <w:t xml:space="preserve">Protocolo</w:t>
            </w:r>
          </w:p>
        </w:tc>
        <w:tc>
          <w:tcPr>
            <w:tcW w:type="dxa" w:w="1620"/>
            <w:tcMar>
              <w:left w:type="dxa" w:w="80"/>
              <w:right w:type="dxa" w:w="80"/>
            </w:tcMar>
          </w:tcPr>
          <w:p>
            <w:pPr>
              <w:pStyle w:val="Compact"/>
            </w:pPr>
            <w:r>
              <w:rPr>
                <w:sz w:val="19"/>
                <w:szCs w:val="19"/>
                <w:lang w:val="pt-PT"/>
              </w:rPr>
              <w:t xml:space="preserve">Porta</w:t>
            </w:r>
          </w:p>
        </w:tc>
        <w:tc>
          <w:tcPr>
            <w:tcW w:type="dxa" w:w="1620"/>
            <w:tcMar>
              <w:left w:type="dxa" w:w="80"/>
              <w:right w:type="dxa" w:w="80"/>
            </w:tcMar>
          </w:tcPr>
          <w:p>
            <w:pPr>
              <w:pStyle w:val="Compact"/>
            </w:pPr>
            <w:r>
              <w:rPr>
                <w:sz w:val="19"/>
                <w:szCs w:val="19"/>
                <w:lang w:val="pt-PT"/>
              </w:rPr>
              <w:t xml:space="preserve">Sentido</w:t>
            </w:r>
          </w:p>
        </w:tc>
        <w:tc>
          <w:tcPr>
            <w:tcW w:type="dxa" w:w="1620"/>
            <w:tcMar>
              <w:left w:type="dxa" w:w="80"/>
              <w:right w:type="dxa" w:w="80"/>
            </w:tcMar>
          </w:tcPr>
          <w:p>
            <w:pPr>
              <w:pStyle w:val="Compact"/>
            </w:pPr>
            <w:r>
              <w:rPr>
                <w:sz w:val="19"/>
                <w:szCs w:val="19"/>
                <w:lang w:val="pt-PT"/>
              </w:rPr>
              <w:t xml:space="preserve">Cifragem</w:t>
            </w:r>
          </w:p>
        </w:tc>
        <w:tc>
          <w:tcPr>
            <w:tcW w:type="dxa" w:w="1620"/>
            <w:tcMar>
              <w:left w:type="dxa" w:w="80"/>
              <w:right w:type="dxa" w:w="80"/>
            </w:tcMar>
          </w:tcPr>
          <w:p>
            <w:pPr>
              <w:pStyle w:val="Compact"/>
            </w:pPr>
            <w:r>
              <w:rPr>
                <w:sz w:val="19"/>
                <w:szCs w:val="19"/>
                <w:lang w:val="pt-PT"/>
              </w:rPr>
              <w:t xml:space="preserve">Justificativa</w:t>
            </w:r>
          </w:p>
        </w:tc>
      </w:tr>
      <w:tr>
        <w:trPr>
          <w:cantSplit/>
        </w:trPr>
        <w:tc>
          <w:tcPr>
            <w:tcW w:type="dxa" w:w="1620"/>
            <w:tcMar>
              <w:left w:type="dxa" w:w="80"/>
              <w:right w:type="dxa" w:w="80"/>
            </w:tcMar>
          </w:tcPr>
          <w:p>
            <w:pPr>
              <w:pStyle w:val="Compact"/>
            </w:pPr>
            <w:r>
              <w:rPr>
                <w:sz w:val="19"/>
                <w:szCs w:val="19"/>
                <w:lang w:val="pt-PT"/>
              </w:rPr>
              <w:t xml:space="preserve">F01</w:t>
            </w:r>
          </w:p>
        </w:tc>
        <w:tc>
          <w:tcPr>
            <w:tcW w:type="dxa" w:w="1620"/>
            <w:tcMar>
              <w:left w:type="dxa" w:w="80"/>
              <w:right w:type="dxa" w:w="80"/>
            </w:tcMar>
          </w:tcPr>
          <w:p>
            <w:pPr>
              <w:pStyle w:val="Compact"/>
            </w:pPr>
            <w:r>
              <w:rPr>
                <w:sz w:val="19"/>
                <w:szCs w:val="19"/>
                <w:lang w:val="pt-PT"/>
              </w:rPr>
              <w:t xml:space="preserve">Estações de utilizador</w:t>
            </w:r>
          </w:p>
        </w:tc>
        <w:tc>
          <w:tcPr>
            <w:tcW w:type="dxa" w:w="1620"/>
            <w:tcMar>
              <w:left w:type="dxa" w:w="80"/>
              <w:right w:type="dxa" w:w="80"/>
            </w:tcMar>
          </w:tcPr>
          <w:p>
            <w:pPr>
              <w:pStyle w:val="Compact"/>
            </w:pPr>
            <w:r>
              <w:rPr>
                <w:sz w:val="19"/>
                <w:szCs w:val="19"/>
                <w:lang w:val="pt-PT"/>
              </w:rPr>
              <w:t xml:space="preserve">Aplicativo VIP (nginx)</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443</w:t>
            </w:r>
          </w:p>
        </w:tc>
        <w:tc>
          <w:tcPr>
            <w:tcW w:type="dxa" w:w="1620"/>
            <w:tcMar>
              <w:left w:type="dxa" w:w="80"/>
              <w:right w:type="dxa" w:w="80"/>
            </w:tcMar>
          </w:tcPr>
          <w:p>
            <w:pPr>
              <w:pStyle w:val="Compact"/>
            </w:pPr>
            <w:r>
              <w:rPr>
                <w:sz w:val="19"/>
                <w:szCs w:val="19"/>
                <w:lang w:val="pt-PT"/>
              </w:rPr>
              <w:t xml:space="preserve">Entrada</w:t>
            </w:r>
          </w:p>
        </w:tc>
        <w:tc>
          <w:tcPr>
            <w:tcW w:type="dxa" w:w="1620"/>
            <w:tcMar>
              <w:left w:type="dxa" w:w="80"/>
              <w:right w:type="dxa" w:w="80"/>
            </w:tcMar>
          </w:tcPr>
          <w:p>
            <w:pPr>
              <w:pStyle w:val="Compact"/>
            </w:pPr>
            <w:r>
              <w:rPr>
                <w:sz w:val="19"/>
                <w:szCs w:val="19"/>
                <w:lang w:val="pt-PT"/>
              </w:rPr>
              <w:t xml:space="preserve">TLS ≥ 1.2</w:t>
            </w:r>
          </w:p>
        </w:tc>
        <w:tc>
          <w:tcPr>
            <w:tcW w:type="dxa" w:w="1620"/>
            <w:tcMar>
              <w:left w:type="dxa" w:w="80"/>
              <w:right w:type="dxa" w:w="80"/>
            </w:tcMar>
          </w:tcPr>
          <w:p>
            <w:pPr>
              <w:pStyle w:val="Compact"/>
            </w:pPr>
            <w:r>
              <w:rPr>
                <w:sz w:val="19"/>
                <w:szCs w:val="19"/>
                <w:lang w:val="pt-PT"/>
              </w:rPr>
              <w:t xml:space="preserve">Acesso HTTPS ao aplicativo</w:t>
            </w:r>
          </w:p>
        </w:tc>
      </w:tr>
      <w:tr>
        <w:trPr>
          <w:cantSplit/>
        </w:trPr>
        <w:tc>
          <w:tcPr>
            <w:tcW w:type="dxa" w:w="1620"/>
            <w:tcMar>
              <w:left w:type="dxa" w:w="80"/>
              <w:right w:type="dxa" w:w="80"/>
            </w:tcMar>
          </w:tcPr>
          <w:p>
            <w:pPr>
              <w:pStyle w:val="Compact"/>
            </w:pPr>
            <w:r>
              <w:rPr>
                <w:sz w:val="19"/>
                <w:szCs w:val="19"/>
                <w:lang w:val="pt-PT"/>
              </w:rPr>
              <w:t xml:space="preserve">F02</w:t>
            </w:r>
          </w:p>
        </w:tc>
        <w:tc>
          <w:tcPr>
            <w:tcW w:type="dxa" w:w="1620"/>
            <w:tcMar>
              <w:left w:type="dxa" w:w="80"/>
              <w:right w:type="dxa" w:w="80"/>
            </w:tcMar>
          </w:tcPr>
          <w:p>
            <w:pPr>
              <w:pStyle w:val="Compact"/>
            </w:pPr>
            <w:r>
              <w:rPr>
                <w:sz w:val="19"/>
                <w:szCs w:val="19"/>
                <w:lang w:val="pt-PT"/>
              </w:rPr>
              <w:t xml:space="preserve">Estações de utilizador</w:t>
            </w:r>
          </w:p>
        </w:tc>
        <w:tc>
          <w:tcPr>
            <w:tcW w:type="dxa" w:w="1620"/>
            <w:tcMar>
              <w:left w:type="dxa" w:w="80"/>
              <w:right w:type="dxa" w:w="80"/>
            </w:tcMar>
          </w:tcPr>
          <w:p>
            <w:pPr>
              <w:pStyle w:val="Compact"/>
            </w:pPr>
            <w:r>
              <w:rPr>
                <w:sz w:val="19"/>
                <w:szCs w:val="19"/>
                <w:lang w:val="pt-PT"/>
              </w:rPr>
              <w:t xml:space="preserve">Aplicativo VIP (nginx)</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80</w:t>
            </w:r>
          </w:p>
        </w:tc>
        <w:tc>
          <w:tcPr>
            <w:tcW w:type="dxa" w:w="1620"/>
            <w:tcMar>
              <w:left w:type="dxa" w:w="80"/>
              <w:right w:type="dxa" w:w="80"/>
            </w:tcMar>
          </w:tcPr>
          <w:p>
            <w:pPr>
              <w:pStyle w:val="Compact"/>
            </w:pPr>
            <w:r>
              <w:rPr>
                <w:sz w:val="19"/>
                <w:szCs w:val="19"/>
                <w:lang w:val="pt-PT"/>
              </w:rPr>
              <w:t xml:space="preserve">Entrada</w:t>
            </w:r>
          </w:p>
        </w:tc>
        <w:tc>
          <w:tcPr>
            <w:tcW w:type="dxa" w:w="1620"/>
            <w:tcMar>
              <w:left w:type="dxa" w:w="80"/>
              <w:right w:type="dxa" w:w="80"/>
            </w:tcMar>
          </w:tcPr>
          <w:p>
            <w:pPr>
              <w:pStyle w:val="Compact"/>
            </w:pPr>
            <w:r>
              <w:rPr>
                <w:sz w:val="19"/>
                <w:szCs w:val="19"/>
                <w:lang w:val="pt-PT"/>
              </w:rPr>
              <w:t xml:space="preserve">Redirecionado → 443</w:t>
            </w:r>
          </w:p>
        </w:tc>
        <w:tc>
          <w:tcPr>
            <w:tcW w:type="dxa" w:w="1620"/>
            <w:tcMar>
              <w:left w:type="dxa" w:w="80"/>
              <w:right w:type="dxa" w:w="80"/>
            </w:tcMar>
          </w:tcPr>
          <w:p>
            <w:pPr>
              <w:pStyle w:val="Compact"/>
            </w:pPr>
            <w:r>
              <w:rPr>
                <w:sz w:val="19"/>
                <w:szCs w:val="19"/>
                <w:lang w:val="pt-PT"/>
              </w:rPr>
              <w:t xml:space="preserve">Redirecionamento HTTP para HTTPS</w:t>
            </w:r>
          </w:p>
        </w:tc>
      </w:tr>
      <w:tr>
        <w:trPr>
          <w:cantSplit/>
        </w:trPr>
        <w:tc>
          <w:tcPr>
            <w:tcW w:type="dxa" w:w="1620"/>
            <w:tcMar>
              <w:left w:type="dxa" w:w="80"/>
              <w:right w:type="dxa" w:w="80"/>
            </w:tcMar>
          </w:tcPr>
          <w:p>
            <w:pPr>
              <w:pStyle w:val="Compact"/>
            </w:pPr>
            <w:r>
              <w:rPr>
                <w:sz w:val="19"/>
                <w:szCs w:val="19"/>
                <w:lang w:val="pt-PT"/>
              </w:rPr>
              <w:t xml:space="preserve">F03</w:t>
            </w:r>
          </w:p>
        </w:tc>
        <w:tc>
          <w:tcPr>
            <w:tcW w:type="dxa" w:w="1620"/>
            <w:tcMar>
              <w:left w:type="dxa" w:w="80"/>
              <w:right w:type="dxa" w:w="80"/>
            </w:tcMar>
          </w:tcPr>
          <w:p>
            <w:pPr>
              <w:pStyle w:val="Compact"/>
            </w:pPr>
            <w:r>
              <w:rPr>
                <w:sz w:val="19"/>
                <w:szCs w:val="19"/>
                <w:lang w:val="pt-PT"/>
              </w:rPr>
              <w:t xml:space="preserve">nginx</w:t>
            </w:r>
          </w:p>
        </w:tc>
        <w:tc>
          <w:tcPr>
            <w:tcW w:type="dxa" w:w="1620"/>
            <w:tcMar>
              <w:left w:type="dxa" w:w="80"/>
              <w:right w:type="dxa" w:w="80"/>
            </w:tcMar>
          </w:tcPr>
          <w:p>
            <w:pPr>
              <w:pStyle w:val="Compact"/>
            </w:pPr>
            <w:r>
              <w:rPr>
                <w:sz w:val="19"/>
                <w:szCs w:val="19"/>
                <w:lang w:val="pt-PT"/>
              </w:rPr>
              <w:t xml:space="preserve">app (PHP-FPM)</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9000</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Rede de contêineres</w:t>
            </w:r>
          </w:p>
        </w:tc>
        <w:tc>
          <w:tcPr>
            <w:tcW w:type="dxa" w:w="1620"/>
            <w:tcMar>
              <w:left w:type="dxa" w:w="80"/>
              <w:right w:type="dxa" w:w="80"/>
            </w:tcMar>
          </w:tcPr>
          <w:p>
            <w:pPr>
              <w:pStyle w:val="Compact"/>
            </w:pPr>
            <w:r>
              <w:rPr>
                <w:sz w:val="19"/>
                <w:szCs w:val="19"/>
                <w:lang w:val="pt-PT"/>
              </w:rPr>
              <w:t xml:space="preserve">FastCGI — Processamento API/Laravel</w:t>
            </w:r>
          </w:p>
        </w:tc>
      </w:tr>
      <w:tr>
        <w:trPr>
          <w:cantSplit/>
        </w:trPr>
        <w:tc>
          <w:tcPr>
            <w:tcW w:type="dxa" w:w="1620"/>
            <w:tcMar>
              <w:left w:type="dxa" w:w="80"/>
              <w:right w:type="dxa" w:w="80"/>
            </w:tcMar>
          </w:tcPr>
          <w:p>
            <w:pPr>
              <w:pStyle w:val="Compact"/>
            </w:pPr>
            <w:r>
              <w:rPr>
                <w:sz w:val="19"/>
                <w:szCs w:val="19"/>
                <w:lang w:val="pt-PT"/>
              </w:rPr>
              <w:t xml:space="preserve">F04</w:t>
            </w:r>
          </w:p>
        </w:tc>
        <w:tc>
          <w:tcPr>
            <w:tcW w:type="dxa" w:w="1620"/>
            <w:tcMar>
              <w:left w:type="dxa" w:w="80"/>
              <w:right w:type="dxa" w:w="80"/>
            </w:tcMar>
          </w:tcPr>
          <w:p>
            <w:pPr>
              <w:pStyle w:val="Compact"/>
            </w:pPr>
            <w:r>
              <w:rPr>
                <w:sz w:val="19"/>
                <w:szCs w:val="19"/>
                <w:lang w:val="pt-PT"/>
              </w:rPr>
              <w:t xml:space="preserve">nginx</w:t>
            </w:r>
          </w:p>
        </w:tc>
        <w:tc>
          <w:tcPr>
            <w:tcW w:type="dxa" w:w="1620"/>
            <w:tcMar>
              <w:left w:type="dxa" w:w="80"/>
              <w:right w:type="dxa" w:w="80"/>
            </w:tcMar>
          </w:tcPr>
          <w:p>
            <w:pPr>
              <w:pStyle w:val="Compact"/>
            </w:pPr>
            <w:r>
              <w:rPr>
                <w:sz w:val="19"/>
                <w:szCs w:val="19"/>
                <w:lang w:val="pt-PT"/>
              </w:rPr>
              <w:t xml:space="preserve">frontend</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5173</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Rede de contêineres</w:t>
            </w:r>
          </w:p>
        </w:tc>
        <w:tc>
          <w:tcPr>
            <w:tcW w:type="dxa" w:w="1620"/>
            <w:tcMar>
              <w:left w:type="dxa" w:w="80"/>
              <w:right w:type="dxa" w:w="80"/>
            </w:tcMar>
          </w:tcPr>
          <w:p>
            <w:pPr>
              <w:pStyle w:val="Compact"/>
            </w:pPr>
            <w:r>
              <w:rPr>
                <w:sz w:val="19"/>
                <w:szCs w:val="19"/>
                <w:lang w:val="pt-PT"/>
              </w:rPr>
              <w:t xml:space="preserve">Serviço de interface React (SPA)</w:t>
            </w:r>
          </w:p>
        </w:tc>
      </w:tr>
      <w:tr>
        <w:trPr>
          <w:cantSplit/>
        </w:trPr>
        <w:tc>
          <w:tcPr>
            <w:tcW w:type="dxa" w:w="1620"/>
            <w:tcMar>
              <w:left w:type="dxa" w:w="80"/>
              <w:right w:type="dxa" w:w="80"/>
            </w:tcMar>
          </w:tcPr>
          <w:p>
            <w:pPr>
              <w:pStyle w:val="Compact"/>
            </w:pPr>
            <w:r>
              <w:rPr>
                <w:sz w:val="19"/>
                <w:szCs w:val="19"/>
                <w:lang w:val="pt-PT"/>
              </w:rPr>
              <w:t xml:space="preserve">F05</w:t>
            </w:r>
          </w:p>
        </w:tc>
        <w:tc>
          <w:tcPr>
            <w:tcW w:type="dxa" w:w="1620"/>
            <w:tcMar>
              <w:left w:type="dxa" w:w="80"/>
              <w:right w:type="dxa" w:w="80"/>
            </w:tcMar>
          </w:tcPr>
          <w:p>
            <w:pPr>
              <w:pStyle w:val="Compact"/>
            </w:pPr>
            <w:r>
              <w:rPr>
                <w:sz w:val="19"/>
                <w:szCs w:val="19"/>
                <w:lang w:val="pt-PT"/>
              </w:rPr>
              <w:t xml:space="preserve">nginx</w:t>
            </w:r>
          </w:p>
        </w:tc>
        <w:tc>
          <w:tcPr>
            <w:tcW w:type="dxa" w:w="1620"/>
            <w:tcMar>
              <w:left w:type="dxa" w:w="80"/>
              <w:right w:type="dxa" w:w="80"/>
            </w:tcMar>
          </w:tcPr>
          <w:p>
            <w:pPr>
              <w:pStyle w:val="Compact"/>
            </w:pPr>
            <w:r>
              <w:rPr>
                <w:sz w:val="19"/>
                <w:szCs w:val="19"/>
                <w:lang w:val="pt-PT"/>
              </w:rPr>
              <w:t xml:space="preserve">reverb</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8080</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Rede de contêineres</w:t>
            </w:r>
          </w:p>
        </w:tc>
        <w:tc>
          <w:tcPr>
            <w:tcW w:type="dxa" w:w="1620"/>
            <w:tcMar>
              <w:left w:type="dxa" w:w="80"/>
              <w:right w:type="dxa" w:w="80"/>
            </w:tcMar>
          </w:tcPr>
          <w:p>
            <w:pPr>
              <w:pStyle w:val="Compact"/>
            </w:pPr>
            <w:r>
              <w:rPr>
                <w:sz w:val="19"/>
                <w:szCs w:val="19"/>
                <w:lang w:val="pt-PT"/>
              </w:rPr>
              <w:t xml:space="preserve">WebSocket em tempo real (</w:t>
            </w:r>
            <w:r>
              <w:rPr>
                <w:rStyle w:val="VerbatimChar"/>
                <w:sz w:val="19"/>
                <w:szCs w:val="19"/>
                <w:lang w:val="pt-PT"/>
              </w:rPr>
              <w:t xml:space="preserve">/reverb/</w:t>
            </w:r>
            <w:r>
              <w:rPr>
                <w:sz w:val="19"/>
                <w:szCs w:val="19"/>
                <w:lang w:val="pt-PT"/>
              </w:rPr>
              <w:t xml:space="preserve">)</w:t>
            </w:r>
          </w:p>
        </w:tc>
      </w:tr>
      <w:tr>
        <w:trPr>
          <w:cantSplit/>
        </w:trPr>
        <w:tc>
          <w:tcPr>
            <w:tcW w:type="dxa" w:w="1620"/>
            <w:tcMar>
              <w:left w:type="dxa" w:w="80"/>
              <w:right w:type="dxa" w:w="80"/>
            </w:tcMar>
          </w:tcPr>
          <w:p>
            <w:pPr>
              <w:pStyle w:val="Compact"/>
            </w:pPr>
            <w:r>
              <w:rPr>
                <w:sz w:val="19"/>
                <w:szCs w:val="19"/>
                <w:lang w:val="pt-PT"/>
              </w:rPr>
              <w:t xml:space="preserve">F06</w:t>
            </w:r>
          </w:p>
        </w:tc>
        <w:tc>
          <w:tcPr>
            <w:tcW w:type="dxa" w:w="1620"/>
            <w:tcMar>
              <w:left w:type="dxa" w:w="80"/>
              <w:right w:type="dxa" w:w="80"/>
            </w:tcMar>
          </w:tcPr>
          <w:p>
            <w:pPr>
              <w:pStyle w:val="Compact"/>
            </w:pPr>
            <w:r>
              <w:rPr>
                <w:sz w:val="19"/>
                <w:szCs w:val="19"/>
                <w:lang w:val="pt-PT"/>
              </w:rPr>
              <w:t xml:space="preserve">app / queue / scheduler</w:t>
            </w:r>
          </w:p>
        </w:tc>
        <w:tc>
          <w:tcPr>
            <w:tcW w:type="dxa" w:w="1620"/>
            <w:tcMar>
              <w:left w:type="dxa" w:w="80"/>
              <w:right w:type="dxa" w:w="80"/>
            </w:tcMar>
          </w:tcPr>
          <w:p>
            <w:pPr>
              <w:pStyle w:val="Compact"/>
            </w:pPr>
            <w:r>
              <w:rPr>
                <w:sz w:val="19"/>
                <w:szCs w:val="19"/>
                <w:lang w:val="pt-PT"/>
              </w:rPr>
              <w:t xml:space="preserve">postgres</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5432</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Rede de contêineres (127.0.0.1)</w:t>
            </w:r>
          </w:p>
        </w:tc>
        <w:tc>
          <w:tcPr>
            <w:tcW w:type="dxa" w:w="1620"/>
            <w:tcMar>
              <w:left w:type="dxa" w:w="80"/>
              <w:right w:type="dxa" w:w="80"/>
            </w:tcMar>
          </w:tcPr>
          <w:p>
            <w:pPr>
              <w:pStyle w:val="Compact"/>
            </w:pPr>
            <w:r>
              <w:rPr>
                <w:sz w:val="19"/>
                <w:szCs w:val="19"/>
                <w:lang w:val="pt-PT"/>
              </w:rPr>
              <w:t xml:space="preserve">Acesso ao base de dados</w:t>
            </w:r>
          </w:p>
        </w:tc>
      </w:tr>
      <w:tr>
        <w:trPr>
          <w:cantSplit/>
        </w:trPr>
        <w:tc>
          <w:tcPr>
            <w:tcW w:type="dxa" w:w="1620"/>
            <w:tcMar>
              <w:left w:type="dxa" w:w="80"/>
              <w:right w:type="dxa" w:w="80"/>
            </w:tcMar>
          </w:tcPr>
          <w:p>
            <w:pPr>
              <w:pStyle w:val="Compact"/>
            </w:pPr>
            <w:r>
              <w:rPr>
                <w:sz w:val="19"/>
                <w:szCs w:val="19"/>
                <w:lang w:val="pt-PT"/>
              </w:rPr>
              <w:t xml:space="preserve">F07</w:t>
            </w:r>
          </w:p>
        </w:tc>
        <w:tc>
          <w:tcPr>
            <w:tcW w:type="dxa" w:w="1620"/>
            <w:tcMar>
              <w:left w:type="dxa" w:w="80"/>
              <w:right w:type="dxa" w:w="80"/>
            </w:tcMar>
          </w:tcPr>
          <w:p>
            <w:pPr>
              <w:pStyle w:val="Compact"/>
            </w:pPr>
            <w:r>
              <w:rPr>
                <w:sz w:val="19"/>
                <w:szCs w:val="19"/>
                <w:lang w:val="pt-PT"/>
              </w:rPr>
              <w:t xml:space="preserve">app / queue / scheduler</w:t>
            </w:r>
          </w:p>
        </w:tc>
        <w:tc>
          <w:tcPr>
            <w:tcW w:type="dxa" w:w="1620"/>
            <w:tcMar>
              <w:left w:type="dxa" w:w="80"/>
              <w:right w:type="dxa" w:w="80"/>
            </w:tcMar>
          </w:tcPr>
          <w:p>
            <w:pPr>
              <w:pStyle w:val="Compact"/>
            </w:pPr>
            <w:r>
              <w:rPr>
                <w:sz w:val="19"/>
                <w:szCs w:val="19"/>
                <w:lang w:val="pt-PT"/>
              </w:rPr>
              <w:t xml:space="preserve">redis</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6379</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Rede de contêineres (127.0.0.1)</w:t>
            </w:r>
          </w:p>
        </w:tc>
        <w:tc>
          <w:tcPr>
            <w:tcW w:type="dxa" w:w="1620"/>
            <w:tcMar>
              <w:left w:type="dxa" w:w="80"/>
              <w:right w:type="dxa" w:w="80"/>
            </w:tcMar>
          </w:tcPr>
          <w:p>
            <w:pPr>
              <w:pStyle w:val="Compact"/>
            </w:pPr>
            <w:r>
              <w:rPr>
                <w:sz w:val="19"/>
                <w:szCs w:val="19"/>
                <w:lang w:val="pt-PT"/>
              </w:rPr>
              <w:t xml:space="preserve">Cache, sessões, filas</w:t>
            </w:r>
          </w:p>
        </w:tc>
      </w:tr>
      <w:tr>
        <w:trPr>
          <w:cantSplit/>
        </w:trPr>
        <w:tc>
          <w:tcPr>
            <w:tcW w:type="dxa" w:w="1620"/>
            <w:tcMar>
              <w:left w:type="dxa" w:w="80"/>
              <w:right w:type="dxa" w:w="80"/>
            </w:tcMar>
          </w:tcPr>
          <w:p>
            <w:pPr>
              <w:pStyle w:val="Compact"/>
            </w:pPr>
            <w:r>
              <w:rPr>
                <w:sz w:val="19"/>
                <w:szCs w:val="19"/>
                <w:lang w:val="pt-PT"/>
              </w:rPr>
              <w:t xml:space="preserve">F08</w:t>
            </w:r>
          </w:p>
        </w:tc>
        <w:tc>
          <w:tcPr>
            <w:tcW w:type="dxa" w:w="1620"/>
            <w:tcMar>
              <w:left w:type="dxa" w:w="80"/>
              <w:right w:type="dxa" w:w="80"/>
            </w:tcMar>
          </w:tcPr>
          <w:p>
            <w:pPr>
              <w:pStyle w:val="Compact"/>
            </w:pPr>
            <w:r>
              <w:rPr>
                <w:sz w:val="19"/>
                <w:szCs w:val="19"/>
                <w:lang w:val="pt-PT"/>
              </w:rPr>
              <w:t xml:space="preserve">app</w:t>
            </w:r>
          </w:p>
        </w:tc>
        <w:tc>
          <w:tcPr>
            <w:tcW w:type="dxa" w:w="1620"/>
            <w:tcMar>
              <w:left w:type="dxa" w:w="80"/>
              <w:right w:type="dxa" w:w="80"/>
            </w:tcMar>
          </w:tcPr>
          <w:p>
            <w:pPr>
              <w:pStyle w:val="Compact"/>
            </w:pPr>
            <w:r>
              <w:rPr>
                <w:sz w:val="19"/>
                <w:szCs w:val="19"/>
                <w:lang w:val="pt-PT"/>
              </w:rPr>
              <w:t xml:space="preserve">clamav</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3310</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Rede de contêineres</w:t>
            </w:r>
          </w:p>
        </w:tc>
        <w:tc>
          <w:tcPr>
            <w:tcW w:type="dxa" w:w="1620"/>
            <w:tcMar>
              <w:left w:type="dxa" w:w="80"/>
              <w:right w:type="dxa" w:w="80"/>
            </w:tcMar>
          </w:tcPr>
          <w:p>
            <w:pPr>
              <w:pStyle w:val="Compact"/>
            </w:pPr>
            <w:r>
              <w:rPr>
                <w:sz w:val="19"/>
                <w:szCs w:val="19"/>
                <w:lang w:val="pt-PT"/>
              </w:rPr>
              <w:t xml:space="preserve">Análise antivírus de uploads</w:t>
            </w:r>
          </w:p>
        </w:tc>
      </w:tr>
    </w:tbl>
    <w:bookmarkEnd w:id="96"/>
    <w:bookmarkStart w:id="97" w:name="Xf39a4f114f4d2eff44ecb1a6d97d797e19503dc"/>
    <w:p>
      <w:pPr>
        <w:pStyle w:val="Heading3"/>
        <w:keepNext/>
        <w:keepLines/>
      </w:pPr>
      <w:r>
        <w:rPr>
          <w:color w:val="000000"/>
          <w:lang w:val="pt-PT"/>
        </w:rPr>
        <w:t xml:space="preserve">12.2 Fluxo de transcrição e IA (dentro de um site — variante isolada)</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Fonte</w:t>
            </w:r>
          </w:p>
        </w:tc>
        <w:tc>
          <w:tcPr>
            <w:tcW w:type="dxa" w:w="1620"/>
            <w:tcMar>
              <w:left w:type="dxa" w:w="80"/>
              <w:right w:type="dxa" w:w="80"/>
            </w:tcMar>
          </w:tcPr>
          <w:p>
            <w:pPr>
              <w:pStyle w:val="Compact"/>
            </w:pPr>
            <w:r>
              <w:rPr>
                <w:sz w:val="19"/>
                <w:szCs w:val="19"/>
                <w:lang w:val="pt-PT"/>
              </w:rPr>
              <w:t xml:space="preserve">Destino</w:t>
            </w:r>
          </w:p>
        </w:tc>
        <w:tc>
          <w:tcPr>
            <w:tcW w:type="dxa" w:w="1620"/>
            <w:tcMar>
              <w:left w:type="dxa" w:w="80"/>
              <w:right w:type="dxa" w:w="80"/>
            </w:tcMar>
          </w:tcPr>
          <w:p>
            <w:pPr>
              <w:pStyle w:val="Compact"/>
            </w:pPr>
            <w:r>
              <w:rPr>
                <w:sz w:val="19"/>
                <w:szCs w:val="19"/>
                <w:lang w:val="pt-PT"/>
              </w:rPr>
              <w:t xml:space="preserve">Protocolo</w:t>
            </w:r>
          </w:p>
        </w:tc>
        <w:tc>
          <w:tcPr>
            <w:tcW w:type="dxa" w:w="1620"/>
            <w:tcMar>
              <w:left w:type="dxa" w:w="80"/>
              <w:right w:type="dxa" w:w="80"/>
            </w:tcMar>
          </w:tcPr>
          <w:p>
            <w:pPr>
              <w:pStyle w:val="Compact"/>
            </w:pPr>
            <w:r>
              <w:rPr>
                <w:sz w:val="19"/>
                <w:szCs w:val="19"/>
                <w:lang w:val="pt-PT"/>
              </w:rPr>
              <w:t xml:space="preserve">Porta</w:t>
            </w:r>
          </w:p>
        </w:tc>
        <w:tc>
          <w:tcPr>
            <w:tcW w:type="dxa" w:w="1620"/>
            <w:tcMar>
              <w:left w:type="dxa" w:w="80"/>
              <w:right w:type="dxa" w:w="80"/>
            </w:tcMar>
          </w:tcPr>
          <w:p>
            <w:pPr>
              <w:pStyle w:val="Compact"/>
            </w:pPr>
            <w:r>
              <w:rPr>
                <w:sz w:val="19"/>
                <w:szCs w:val="19"/>
                <w:lang w:val="pt-PT"/>
              </w:rPr>
              <w:t xml:space="preserve">Sentido</w:t>
            </w:r>
          </w:p>
        </w:tc>
        <w:tc>
          <w:tcPr>
            <w:tcW w:type="dxa" w:w="1620"/>
            <w:tcMar>
              <w:left w:type="dxa" w:w="80"/>
              <w:right w:type="dxa" w:w="80"/>
            </w:tcMar>
          </w:tcPr>
          <w:p>
            <w:pPr>
              <w:pStyle w:val="Compact"/>
            </w:pPr>
            <w:r>
              <w:rPr>
                <w:sz w:val="19"/>
                <w:szCs w:val="19"/>
                <w:lang w:val="pt-PT"/>
              </w:rPr>
              <w:t xml:space="preserve">Cifragem</w:t>
            </w:r>
          </w:p>
        </w:tc>
        <w:tc>
          <w:tcPr>
            <w:tcW w:type="dxa" w:w="1620"/>
            <w:tcMar>
              <w:left w:type="dxa" w:w="80"/>
              <w:right w:type="dxa" w:w="80"/>
            </w:tcMar>
          </w:tcPr>
          <w:p>
            <w:pPr>
              <w:pStyle w:val="Compact"/>
            </w:pPr>
            <w:r>
              <w:rPr>
                <w:sz w:val="19"/>
                <w:szCs w:val="19"/>
                <w:lang w:val="pt-PT"/>
              </w:rPr>
              <w:t xml:space="preserve">Justificativa</w:t>
            </w:r>
          </w:p>
        </w:tc>
      </w:tr>
      <w:tr>
        <w:trPr>
          <w:cantSplit/>
        </w:trPr>
        <w:tc>
          <w:tcPr>
            <w:tcW w:type="dxa" w:w="1620"/>
            <w:tcMar>
              <w:left w:type="dxa" w:w="80"/>
              <w:right w:type="dxa" w:w="80"/>
            </w:tcMar>
          </w:tcPr>
          <w:p>
            <w:pPr>
              <w:pStyle w:val="Compact"/>
            </w:pPr>
            <w:r>
              <w:rPr>
                <w:sz w:val="19"/>
                <w:szCs w:val="19"/>
                <w:lang w:val="pt-PT"/>
              </w:rPr>
              <w:t xml:space="preserve">F09</w:t>
            </w:r>
          </w:p>
        </w:tc>
        <w:tc>
          <w:tcPr>
            <w:tcW w:type="dxa" w:w="1620"/>
            <w:tcMar>
              <w:left w:type="dxa" w:w="80"/>
              <w:right w:type="dxa" w:w="80"/>
            </w:tcMar>
          </w:tcPr>
          <w:p>
            <w:pPr>
              <w:pStyle w:val="Compact"/>
            </w:pPr>
            <w:r>
              <w:rPr>
                <w:sz w:val="19"/>
                <w:szCs w:val="19"/>
                <w:lang w:val="pt-PT"/>
              </w:rPr>
              <w:t xml:space="preserve">Servidor GPU (trabalhador de transcrição)</w:t>
            </w:r>
          </w:p>
        </w:tc>
        <w:tc>
          <w:tcPr>
            <w:tcW w:type="dxa" w:w="1620"/>
            <w:tcMar>
              <w:left w:type="dxa" w:w="80"/>
              <w:right w:type="dxa" w:w="80"/>
            </w:tcMar>
          </w:tcPr>
          <w:p>
            <w:pPr>
              <w:pStyle w:val="Compact"/>
            </w:pPr>
            <w:r>
              <w:rPr>
                <w:sz w:val="19"/>
                <w:szCs w:val="19"/>
                <w:lang w:val="pt-PT"/>
              </w:rPr>
              <w:t xml:space="preserve">API app (VIP/nginx)</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443</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TLS + token</w:t>
            </w:r>
          </w:p>
        </w:tc>
        <w:tc>
          <w:tcPr>
            <w:tcW w:type="dxa" w:w="1620"/>
            <w:tcMar>
              <w:left w:type="dxa" w:w="80"/>
              <w:right w:type="dxa" w:w="80"/>
            </w:tcMar>
          </w:tcPr>
          <w:p>
            <w:pPr>
              <w:pStyle w:val="Compact"/>
            </w:pPr>
            <w:r>
              <w:rPr>
                <w:sz w:val="19"/>
                <w:szCs w:val="19"/>
                <w:lang w:val="pt-PT"/>
              </w:rPr>
              <w:t xml:space="preserve">Enquete </w:t>
            </w:r>
            <w:r>
              <w:rPr>
                <w:sz w:val="19"/>
                <w:szCs w:val="19"/>
                <w:lang w:val="pt-PT"/>
              </w:rPr>
              <w:t xml:space="preserve"/>
            </w:r>
            <w:r>
              <w:rPr>
                <w:rStyle w:val="VerbatimChar"/>
                <w:sz w:val="19"/>
                <w:szCs w:val="19"/>
                <w:lang w:val="pt-PT"/>
              </w:rPr>
              <w:t xml:space="preserve">GET /api/files/pending</w:t>
            </w:r>
            <w:r>
              <w:rPr>
                <w:sz w:val="19"/>
                <w:szCs w:val="19"/>
                <w:lang w:val="pt-PT"/>
              </w:rPr>
              <w:t xml:space="preserve">, </w:t>
            </w:r>
            <w:r>
              <w:rPr>
                <w:sz w:val="19"/>
                <w:szCs w:val="19"/>
                <w:lang w:val="pt-PT"/>
              </w:rPr>
              <w:t xml:space="preserve"/>
            </w:r>
            <w:r>
              <w:rPr>
                <w:rStyle w:val="VerbatimChar"/>
                <w:sz w:val="19"/>
                <w:szCs w:val="19"/>
                <w:lang w:val="pt-PT"/>
              </w:rPr>
              <w:t xml:space="preserve">POST …/progress</w:t>
            </w:r>
            <w:r>
              <w:rPr>
                <w:sz w:val="19"/>
                <w:szCs w:val="19"/>
                <w:lang w:val="pt-PT"/>
              </w:rPr>
              <w:t xml:space="preserve">, </w:t>
            </w:r>
            <w:r>
              <w:rPr>
                <w:sz w:val="19"/>
                <w:szCs w:val="19"/>
                <w:lang w:val="pt-PT"/>
              </w:rPr>
              <w:t xml:space="preserve"/>
            </w:r>
            <w:r>
              <w:rPr>
                <w:rStyle w:val="VerbatimChar"/>
                <w:sz w:val="19"/>
                <w:szCs w:val="19"/>
                <w:lang w:val="pt-PT"/>
              </w:rPr>
              <w:t xml:space="preserve">POST …/complete</w:t>
            </w:r>
          </w:p>
        </w:tc>
      </w:tr>
      <w:tr>
        <w:trPr>
          <w:cantSplit/>
        </w:trPr>
        <w:tc>
          <w:tcPr>
            <w:tcW w:type="dxa" w:w="1620"/>
            <w:tcMar>
              <w:left w:type="dxa" w:w="80"/>
              <w:right w:type="dxa" w:w="80"/>
            </w:tcMar>
          </w:tcPr>
          <w:p>
            <w:pPr>
              <w:pStyle w:val="Compact"/>
            </w:pPr>
            <w:r>
              <w:rPr>
                <w:sz w:val="19"/>
                <w:szCs w:val="19"/>
                <w:lang w:val="pt-PT"/>
              </w:rPr>
              <w:t xml:space="preserve">F10</w:t>
            </w:r>
          </w:p>
        </w:tc>
        <w:tc>
          <w:tcPr>
            <w:tcW w:type="dxa" w:w="1620"/>
            <w:tcMar>
              <w:left w:type="dxa" w:w="80"/>
              <w:right w:type="dxa" w:w="80"/>
            </w:tcMar>
          </w:tcPr>
          <w:p>
            <w:pPr>
              <w:pStyle w:val="Compact"/>
            </w:pPr>
            <w:r>
              <w:rPr>
                <w:sz w:val="19"/>
                <w:szCs w:val="19"/>
                <w:lang w:val="pt-PT"/>
              </w:rPr>
              <w:t xml:space="preserve">app / queue-ai</w:t>
            </w:r>
          </w:p>
        </w:tc>
        <w:tc>
          <w:tcPr>
            <w:tcW w:type="dxa" w:w="1620"/>
            <w:tcMar>
              <w:left w:type="dxa" w:w="80"/>
              <w:right w:type="dxa" w:w="80"/>
            </w:tcMar>
          </w:tcPr>
          <w:p>
            <w:pPr>
              <w:pStyle w:val="Compact"/>
            </w:pPr>
            <w:r>
              <w:rPr>
                <w:sz w:val="19"/>
                <w:szCs w:val="19"/>
                <w:lang w:val="pt-PT"/>
              </w:rPr>
              <w:t xml:space="preserve">LLM local — servidor vLLM (Qwen 3.6/Mistral)</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rStyle w:val="VerbatimChar"/>
                <w:sz w:val="19"/>
                <w:szCs w:val="19"/>
                <w:lang w:val="pt-PT"/>
              </w:rPr>
              <w:t xml:space="preserve">8000</w:t>
            </w:r>
            <w:r>
              <w:rPr>
                <w:sz w:val="19"/>
                <w:szCs w:val="19"/>
                <w:lang w:val="pt-PT"/>
              </w:rPr>
              <w:t xml:space="preserve"> </w:t>
            </w:r>
            <w:r>
              <w:rPr>
                <w:sz w:val="19"/>
                <w:szCs w:val="19"/>
                <w:lang w:val="pt-PT"/>
              </w:rPr>
              <w:t xml:space="preserve">(vLLM) </w:t>
            </w:r>
            <w:r>
              <w:rPr>
                <w:sz w:val="19"/>
                <w:szCs w:val="19"/>
                <w:lang w:val="pt-PT"/>
              </w:rPr>
              <w:t xml:space="preserve">[a </w:t>
            </w:r>
            <w:r>
              <w:rPr>
                <w:rStyle w:val="VerbatimChar"/>
                <w:sz w:val="19"/>
                <w:szCs w:val="19"/>
                <w:lang w:val="pt-PT"/>
              </w:rPr>
              <w:t xml:space="preserve">ser confirmado]</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Rede interna/TLS interno</w:t>
            </w:r>
          </w:p>
        </w:tc>
        <w:tc>
          <w:tcPr>
            <w:tcW w:type="dxa" w:w="1620"/>
            <w:tcMar>
              <w:left w:type="dxa" w:w="80"/>
              <w:right w:type="dxa" w:w="80"/>
            </w:tcMar>
          </w:tcPr>
          <w:p>
            <w:pPr>
              <w:pStyle w:val="Compact"/>
            </w:pPr>
            <w:r>
              <w:rPr>
                <w:sz w:val="19"/>
                <w:szCs w:val="19"/>
                <w:lang w:val="pt-PT"/>
              </w:rPr>
              <w:t xml:space="preserve">Consultas de inferência de IA (correção, resumo, PV, capítulos) no modelo de pesos abertos auto-hospedado</w:t>
            </w:r>
          </w:p>
        </w:tc>
      </w:tr>
    </w:tbl>
    <w:bookmarkEnd w:id="97"/>
    <w:bookmarkStart w:id="98" w:name="X47717dece4e1c1fa2e6162e90766d7f392f9b06"/>
    <w:p>
      <w:pPr>
        <w:pStyle w:val="Heading3"/>
        <w:keepNext/>
        <w:keepLines/>
      </w:pPr>
      <w:r>
        <w:rPr>
          <w:color w:val="000000"/>
          <w:lang w:val="pt-PT"/>
        </w:rPr>
        <w:t xml:space="preserve">12.3 Fluxo entre salas (Sala A ↔ Sala B)</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Fonte</w:t>
            </w:r>
          </w:p>
        </w:tc>
        <w:tc>
          <w:tcPr>
            <w:tcW w:type="dxa" w:w="1620"/>
            <w:tcMar>
              <w:left w:type="dxa" w:w="80"/>
              <w:right w:type="dxa" w:w="80"/>
            </w:tcMar>
          </w:tcPr>
          <w:p>
            <w:pPr>
              <w:pStyle w:val="Compact"/>
            </w:pPr>
            <w:r>
              <w:rPr>
                <w:sz w:val="19"/>
                <w:szCs w:val="19"/>
                <w:lang w:val="pt-PT"/>
              </w:rPr>
              <w:t xml:space="preserve">Destino</w:t>
            </w:r>
          </w:p>
        </w:tc>
        <w:tc>
          <w:tcPr>
            <w:tcW w:type="dxa" w:w="1620"/>
            <w:tcMar>
              <w:left w:type="dxa" w:w="80"/>
              <w:right w:type="dxa" w:w="80"/>
            </w:tcMar>
          </w:tcPr>
          <w:p>
            <w:pPr>
              <w:pStyle w:val="Compact"/>
            </w:pPr>
            <w:r>
              <w:rPr>
                <w:sz w:val="19"/>
                <w:szCs w:val="19"/>
                <w:lang w:val="pt-PT"/>
              </w:rPr>
              <w:t xml:space="preserve">Protocolo</w:t>
            </w:r>
          </w:p>
        </w:tc>
        <w:tc>
          <w:tcPr>
            <w:tcW w:type="dxa" w:w="1620"/>
            <w:tcMar>
              <w:left w:type="dxa" w:w="80"/>
              <w:right w:type="dxa" w:w="80"/>
            </w:tcMar>
          </w:tcPr>
          <w:p>
            <w:pPr>
              <w:pStyle w:val="Compact"/>
            </w:pPr>
            <w:r>
              <w:rPr>
                <w:sz w:val="19"/>
                <w:szCs w:val="19"/>
                <w:lang w:val="pt-PT"/>
              </w:rPr>
              <w:t xml:space="preserve">Porta</w:t>
            </w:r>
          </w:p>
        </w:tc>
        <w:tc>
          <w:tcPr>
            <w:tcW w:type="dxa" w:w="1620"/>
            <w:tcMar>
              <w:left w:type="dxa" w:w="80"/>
              <w:right w:type="dxa" w:w="80"/>
            </w:tcMar>
          </w:tcPr>
          <w:p>
            <w:pPr>
              <w:pStyle w:val="Compact"/>
            </w:pPr>
            <w:r>
              <w:rPr>
                <w:sz w:val="19"/>
                <w:szCs w:val="19"/>
                <w:lang w:val="pt-PT"/>
              </w:rPr>
              <w:t xml:space="preserve">Sentido</w:t>
            </w:r>
          </w:p>
        </w:tc>
        <w:tc>
          <w:tcPr>
            <w:tcW w:type="dxa" w:w="1620"/>
            <w:tcMar>
              <w:left w:type="dxa" w:w="80"/>
              <w:right w:type="dxa" w:w="80"/>
            </w:tcMar>
          </w:tcPr>
          <w:p>
            <w:pPr>
              <w:pStyle w:val="Compact"/>
            </w:pPr>
            <w:r>
              <w:rPr>
                <w:sz w:val="19"/>
                <w:szCs w:val="19"/>
                <w:lang w:val="pt-PT"/>
              </w:rPr>
              <w:t xml:space="preserve">Cifragem</w:t>
            </w:r>
          </w:p>
        </w:tc>
        <w:tc>
          <w:tcPr>
            <w:tcW w:type="dxa" w:w="1620"/>
            <w:tcMar>
              <w:left w:type="dxa" w:w="80"/>
              <w:right w:type="dxa" w:w="80"/>
            </w:tcMar>
          </w:tcPr>
          <w:p>
            <w:pPr>
              <w:pStyle w:val="Compact"/>
            </w:pPr>
            <w:r>
              <w:rPr>
                <w:sz w:val="19"/>
                <w:szCs w:val="19"/>
                <w:lang w:val="pt-PT"/>
              </w:rPr>
              <w:t xml:space="preserve">Justificativa</w:t>
            </w:r>
          </w:p>
        </w:tc>
      </w:tr>
      <w:tr>
        <w:trPr>
          <w:cantSplit/>
        </w:trPr>
        <w:tc>
          <w:tcPr>
            <w:tcW w:type="dxa" w:w="1620"/>
            <w:tcMar>
              <w:left w:type="dxa" w:w="80"/>
              <w:right w:type="dxa" w:w="80"/>
            </w:tcMar>
          </w:tcPr>
          <w:p>
            <w:pPr>
              <w:pStyle w:val="Compact"/>
            </w:pPr>
            <w:r>
              <w:rPr>
                <w:sz w:val="19"/>
                <w:szCs w:val="19"/>
                <w:lang w:val="pt-PT"/>
              </w:rPr>
              <w:t xml:space="preserve">F11</w:t>
            </w:r>
          </w:p>
        </w:tc>
        <w:tc>
          <w:tcPr>
            <w:tcW w:type="dxa" w:w="1620"/>
            <w:tcMar>
              <w:left w:type="dxa" w:w="80"/>
              <w:right w:type="dxa" w:w="80"/>
            </w:tcMar>
          </w:tcPr>
          <w:p>
            <w:pPr>
              <w:pStyle w:val="Compact"/>
            </w:pPr>
            <w:r>
              <w:rPr>
                <w:sz w:val="19"/>
                <w:szCs w:val="19"/>
                <w:lang w:val="pt-PT"/>
              </w:rPr>
              <w:t xml:space="preserve">postgres Sala A (primário)</w:t>
            </w:r>
          </w:p>
        </w:tc>
        <w:tc>
          <w:tcPr>
            <w:tcW w:type="dxa" w:w="1620"/>
            <w:tcMar>
              <w:left w:type="dxa" w:w="80"/>
              <w:right w:type="dxa" w:w="80"/>
            </w:tcMar>
          </w:tcPr>
          <w:p>
            <w:pPr>
              <w:pStyle w:val="Compact"/>
            </w:pPr>
            <w:r>
              <w:rPr>
                <w:sz w:val="19"/>
                <w:szCs w:val="19"/>
                <w:lang w:val="pt-PT"/>
              </w:rPr>
              <w:t xml:space="preserve">postgres Sala B (standby)</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5432</w:t>
            </w:r>
          </w:p>
        </w:tc>
        <w:tc>
          <w:tcPr>
            <w:tcW w:type="dxa" w:w="1620"/>
            <w:tcMar>
              <w:left w:type="dxa" w:w="80"/>
              <w:right w:type="dxa" w:w="80"/>
            </w:tcMar>
          </w:tcPr>
          <w:p>
            <w:pPr>
              <w:pStyle w:val="Compact"/>
            </w:pPr>
            <w:r>
              <w:rPr>
                <w:sz w:val="19"/>
                <w:szCs w:val="19"/>
                <w:lang w:val="pt-PT"/>
              </w:rPr>
              <w:t xml:space="preserve">Sala A → Sala B</w:t>
            </w:r>
          </w:p>
        </w:tc>
        <w:tc>
          <w:tcPr>
            <w:tcW w:type="dxa" w:w="1620"/>
            <w:tcMar>
              <w:left w:type="dxa" w:w="80"/>
              <w:right w:type="dxa" w:w="80"/>
            </w:tcMar>
          </w:tcPr>
          <w:p>
            <w:pPr>
              <w:pStyle w:val="Compact"/>
            </w:pPr>
            <w:r>
              <w:rPr>
                <w:sz w:val="19"/>
                <w:szCs w:val="19"/>
                <w:lang w:val="pt-PT"/>
              </w:rPr>
              <w:t xml:space="preserve">TLS PostgreSQL recomendado</w:t>
            </w:r>
          </w:p>
        </w:tc>
        <w:tc>
          <w:tcPr>
            <w:tcW w:type="dxa" w:w="1620"/>
            <w:tcMar>
              <w:left w:type="dxa" w:w="80"/>
              <w:right w:type="dxa" w:w="80"/>
            </w:tcMar>
          </w:tcPr>
          <w:p>
            <w:pPr>
              <w:pStyle w:val="Compact"/>
            </w:pPr>
            <w:r>
              <w:rPr>
                <w:sz w:val="19"/>
                <w:szCs w:val="19"/>
                <w:lang w:val="pt-PT"/>
              </w:rPr>
              <w:t xml:space="preserve">Replicação de streaming assíncrono</w:t>
            </w:r>
          </w:p>
        </w:tc>
      </w:tr>
      <w:tr>
        <w:trPr>
          <w:cantSplit/>
        </w:trPr>
        <w:tc>
          <w:tcPr>
            <w:tcW w:type="dxa" w:w="1620"/>
            <w:tcMar>
              <w:left w:type="dxa" w:w="80"/>
              <w:right w:type="dxa" w:w="80"/>
            </w:tcMar>
          </w:tcPr>
          <w:p>
            <w:pPr>
              <w:pStyle w:val="Compact"/>
            </w:pPr>
            <w:r>
              <w:rPr>
                <w:sz w:val="19"/>
                <w:szCs w:val="19"/>
                <w:lang w:val="pt-PT"/>
              </w:rPr>
              <w:t xml:space="preserve">F12</w:t>
            </w:r>
          </w:p>
        </w:tc>
        <w:tc>
          <w:tcPr>
            <w:tcW w:type="dxa" w:w="1620"/>
            <w:tcMar>
              <w:left w:type="dxa" w:w="80"/>
              <w:right w:type="dxa" w:w="80"/>
            </w:tcMar>
          </w:tcPr>
          <w:p>
            <w:pPr>
              <w:pStyle w:val="Compact"/>
            </w:pPr>
            <w:r>
              <w:rPr>
                <w:sz w:val="19"/>
                <w:szCs w:val="19"/>
                <w:lang w:val="pt-PT"/>
              </w:rPr>
              <w:t xml:space="preserve">Servidor app Sala A</w:t>
            </w:r>
          </w:p>
        </w:tc>
        <w:tc>
          <w:tcPr>
            <w:tcW w:type="dxa" w:w="1620"/>
            <w:tcMar>
              <w:left w:type="dxa" w:w="80"/>
              <w:right w:type="dxa" w:w="80"/>
            </w:tcMar>
          </w:tcPr>
          <w:p>
            <w:pPr>
              <w:pStyle w:val="Compact"/>
            </w:pPr>
            <w:r>
              <w:rPr>
                <w:sz w:val="19"/>
                <w:szCs w:val="19"/>
                <w:lang w:val="pt-PT"/>
              </w:rPr>
              <w:t xml:space="preserve">Servidor app Sala B</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22</w:t>
            </w:r>
          </w:p>
        </w:tc>
        <w:tc>
          <w:tcPr>
            <w:tcW w:type="dxa" w:w="1620"/>
            <w:tcMar>
              <w:left w:type="dxa" w:w="80"/>
              <w:right w:type="dxa" w:w="80"/>
            </w:tcMar>
          </w:tcPr>
          <w:p>
            <w:pPr>
              <w:pStyle w:val="Compact"/>
            </w:pPr>
            <w:r>
              <w:rPr>
                <w:sz w:val="19"/>
                <w:szCs w:val="19"/>
                <w:lang w:val="pt-PT"/>
              </w:rPr>
              <w:t xml:space="preserve">Sala A → Sala B</w:t>
            </w:r>
          </w:p>
        </w:tc>
        <w:tc>
          <w:tcPr>
            <w:tcW w:type="dxa" w:w="1620"/>
            <w:tcMar>
              <w:left w:type="dxa" w:w="80"/>
              <w:right w:type="dxa" w:w="80"/>
            </w:tcMar>
          </w:tcPr>
          <w:p>
            <w:pPr>
              <w:pStyle w:val="Compact"/>
            </w:pPr>
            <w:r>
              <w:rPr>
                <w:sz w:val="19"/>
                <w:szCs w:val="19"/>
                <w:lang w:val="pt-PT"/>
              </w:rPr>
              <w:t xml:space="preserve">SSH</w:t>
            </w:r>
          </w:p>
        </w:tc>
        <w:tc>
          <w:tcPr>
            <w:tcW w:type="dxa" w:w="1620"/>
            <w:tcMar>
              <w:left w:type="dxa" w:w="80"/>
              <w:right w:type="dxa" w:w="80"/>
            </w:tcMar>
          </w:tcPr>
          <w:p>
            <w:pPr>
              <w:pStyle w:val="Compact"/>
            </w:pPr>
            <w:r>
              <w:rPr>
                <w:sz w:val="19"/>
                <w:szCs w:val="19"/>
                <w:lang w:val="pt-PT"/>
              </w:rPr>
              <w:t xml:space="preserve">Sincronizando volumes de armazenamento (rsync por SSH)</w:t>
            </w:r>
          </w:p>
        </w:tc>
      </w:tr>
    </w:tbl>
    <w:bookmarkEnd w:id="98"/>
    <w:bookmarkStart w:id="99" w:name="X56d9a997fe5c771385e80f7b515033c5a513e42"/>
    <w:p>
      <w:pPr>
        <w:pStyle w:val="Heading3"/>
        <w:keepNext/>
        <w:keepLines/>
      </w:pPr>
      <w:r>
        <w:rPr>
          <w:color w:val="000000"/>
          <w:lang w:val="pt-PT"/>
        </w:rPr>
        <w:t xml:space="preserve">12.4 Fluxo de administração e supervisão</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Fonte</w:t>
            </w:r>
          </w:p>
        </w:tc>
        <w:tc>
          <w:tcPr>
            <w:tcW w:type="dxa" w:w="1620"/>
            <w:tcMar>
              <w:left w:type="dxa" w:w="80"/>
              <w:right w:type="dxa" w:w="80"/>
            </w:tcMar>
          </w:tcPr>
          <w:p>
            <w:pPr>
              <w:pStyle w:val="Compact"/>
            </w:pPr>
            <w:r>
              <w:rPr>
                <w:sz w:val="19"/>
                <w:szCs w:val="19"/>
                <w:lang w:val="pt-PT"/>
              </w:rPr>
              <w:t xml:space="preserve">Destino</w:t>
            </w:r>
          </w:p>
        </w:tc>
        <w:tc>
          <w:tcPr>
            <w:tcW w:type="dxa" w:w="1620"/>
            <w:tcMar>
              <w:left w:type="dxa" w:w="80"/>
              <w:right w:type="dxa" w:w="80"/>
            </w:tcMar>
          </w:tcPr>
          <w:p>
            <w:pPr>
              <w:pStyle w:val="Compact"/>
            </w:pPr>
            <w:r>
              <w:rPr>
                <w:sz w:val="19"/>
                <w:szCs w:val="19"/>
                <w:lang w:val="pt-PT"/>
              </w:rPr>
              <w:t xml:space="preserve">Protocolo</w:t>
            </w:r>
          </w:p>
        </w:tc>
        <w:tc>
          <w:tcPr>
            <w:tcW w:type="dxa" w:w="1620"/>
            <w:tcMar>
              <w:left w:type="dxa" w:w="80"/>
              <w:right w:type="dxa" w:w="80"/>
            </w:tcMar>
          </w:tcPr>
          <w:p>
            <w:pPr>
              <w:pStyle w:val="Compact"/>
            </w:pPr>
            <w:r>
              <w:rPr>
                <w:sz w:val="19"/>
                <w:szCs w:val="19"/>
                <w:lang w:val="pt-PT"/>
              </w:rPr>
              <w:t xml:space="preserve">Porta</w:t>
            </w:r>
          </w:p>
        </w:tc>
        <w:tc>
          <w:tcPr>
            <w:tcW w:type="dxa" w:w="1620"/>
            <w:tcMar>
              <w:left w:type="dxa" w:w="80"/>
              <w:right w:type="dxa" w:w="80"/>
            </w:tcMar>
          </w:tcPr>
          <w:p>
            <w:pPr>
              <w:pStyle w:val="Compact"/>
            </w:pPr>
            <w:r>
              <w:rPr>
                <w:sz w:val="19"/>
                <w:szCs w:val="19"/>
                <w:lang w:val="pt-PT"/>
              </w:rPr>
              <w:t xml:space="preserve">Sentido</w:t>
            </w:r>
          </w:p>
        </w:tc>
        <w:tc>
          <w:tcPr>
            <w:tcW w:type="dxa" w:w="1620"/>
            <w:tcMar>
              <w:left w:type="dxa" w:w="80"/>
              <w:right w:type="dxa" w:w="80"/>
            </w:tcMar>
          </w:tcPr>
          <w:p>
            <w:pPr>
              <w:pStyle w:val="Compact"/>
            </w:pPr>
            <w:r>
              <w:rPr>
                <w:sz w:val="19"/>
                <w:szCs w:val="19"/>
                <w:lang w:val="pt-PT"/>
              </w:rPr>
              <w:t xml:space="preserve">Cifragem</w:t>
            </w:r>
          </w:p>
        </w:tc>
        <w:tc>
          <w:tcPr>
            <w:tcW w:type="dxa" w:w="1620"/>
            <w:tcMar>
              <w:left w:type="dxa" w:w="80"/>
              <w:right w:type="dxa" w:w="80"/>
            </w:tcMar>
          </w:tcPr>
          <w:p>
            <w:pPr>
              <w:pStyle w:val="Compact"/>
            </w:pPr>
            <w:r>
              <w:rPr>
                <w:sz w:val="19"/>
                <w:szCs w:val="19"/>
                <w:lang w:val="pt-PT"/>
              </w:rPr>
              <w:t xml:space="preserve">Justificativa</w:t>
            </w:r>
          </w:p>
        </w:tc>
      </w:tr>
      <w:tr>
        <w:trPr>
          <w:cantSplit/>
        </w:trPr>
        <w:tc>
          <w:tcPr>
            <w:tcW w:type="dxa" w:w="1620"/>
            <w:tcMar>
              <w:left w:type="dxa" w:w="80"/>
              <w:right w:type="dxa" w:w="80"/>
            </w:tcMar>
          </w:tcPr>
          <w:p>
            <w:pPr>
              <w:pStyle w:val="Compact"/>
            </w:pPr>
            <w:r>
              <w:rPr>
                <w:sz w:val="19"/>
                <w:szCs w:val="19"/>
                <w:lang w:val="pt-PT"/>
              </w:rPr>
              <w:t xml:space="preserve">F13</w:t>
            </w:r>
          </w:p>
        </w:tc>
        <w:tc>
          <w:tcPr>
            <w:tcW w:type="dxa" w:w="1620"/>
            <w:tcMar>
              <w:left w:type="dxa" w:w="80"/>
              <w:right w:type="dxa" w:w="80"/>
            </w:tcMar>
          </w:tcPr>
          <w:p>
            <w:pPr>
              <w:pStyle w:val="Compact"/>
            </w:pPr>
            <w:r>
              <w:rPr>
                <w:sz w:val="19"/>
                <w:szCs w:val="19"/>
                <w:lang w:val="pt-PT"/>
              </w:rPr>
              <w:t xml:space="preserve">Bastião/administrador VLAN</w:t>
            </w:r>
          </w:p>
        </w:tc>
        <w:tc>
          <w:tcPr>
            <w:tcW w:type="dxa" w:w="1620"/>
            <w:tcMar>
              <w:left w:type="dxa" w:w="80"/>
              <w:right w:type="dxa" w:w="80"/>
            </w:tcMar>
          </w:tcPr>
          <w:p>
            <w:pPr>
              <w:pStyle w:val="Compact"/>
            </w:pPr>
            <w:r>
              <w:rPr>
                <w:sz w:val="19"/>
                <w:szCs w:val="19"/>
                <w:lang w:val="pt-PT"/>
              </w:rPr>
              <w:t xml:space="preserve">Servidores (Sala A + Sala B)</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sz w:val="19"/>
                <w:szCs w:val="19"/>
                <w:lang w:val="pt-PT"/>
              </w:rPr>
              <w:t xml:space="preserve">22</w:t>
            </w:r>
          </w:p>
        </w:tc>
        <w:tc>
          <w:tcPr>
            <w:tcW w:type="dxa" w:w="1620"/>
            <w:tcMar>
              <w:left w:type="dxa" w:w="80"/>
              <w:right w:type="dxa" w:w="80"/>
            </w:tcMar>
          </w:tcPr>
          <w:p>
            <w:pPr>
              <w:pStyle w:val="Compact"/>
            </w:pPr>
            <w:r>
              <w:rPr>
                <w:sz w:val="19"/>
                <w:szCs w:val="19"/>
                <w:lang w:val="pt-PT"/>
              </w:rPr>
              <w:t xml:space="preserve">Entrada (administrador)</w:t>
            </w:r>
          </w:p>
        </w:tc>
        <w:tc>
          <w:tcPr>
            <w:tcW w:type="dxa" w:w="1620"/>
            <w:tcMar>
              <w:left w:type="dxa" w:w="80"/>
              <w:right w:type="dxa" w:w="80"/>
            </w:tcMar>
          </w:tcPr>
          <w:p>
            <w:pPr>
              <w:pStyle w:val="Compact"/>
            </w:pPr>
            <w:r>
              <w:rPr>
                <w:sz w:val="19"/>
                <w:szCs w:val="19"/>
                <w:lang w:val="pt-PT"/>
              </w:rPr>
              <w:t xml:space="preserve">SSH (chave)</w:t>
            </w:r>
          </w:p>
        </w:tc>
        <w:tc>
          <w:tcPr>
            <w:tcW w:type="dxa" w:w="1620"/>
            <w:tcMar>
              <w:left w:type="dxa" w:w="80"/>
              <w:right w:type="dxa" w:w="80"/>
            </w:tcMar>
          </w:tcPr>
          <w:p>
            <w:pPr>
              <w:pStyle w:val="Compact"/>
            </w:pPr>
            <w:r>
              <w:rPr>
                <w:sz w:val="19"/>
                <w:szCs w:val="19"/>
                <w:lang w:val="pt-PT"/>
              </w:rPr>
              <w:t xml:space="preserve">Administração do sistema</w:t>
            </w:r>
          </w:p>
        </w:tc>
      </w:tr>
      <w:tr>
        <w:trPr>
          <w:cantSplit/>
        </w:trPr>
        <w:tc>
          <w:tcPr>
            <w:tcW w:type="dxa" w:w="1620"/>
            <w:tcMar>
              <w:left w:type="dxa" w:w="80"/>
              <w:right w:type="dxa" w:w="80"/>
            </w:tcMar>
          </w:tcPr>
          <w:p>
            <w:pPr>
              <w:pStyle w:val="Compact"/>
            </w:pPr>
            <w:r>
              <w:rPr>
                <w:sz w:val="19"/>
                <w:szCs w:val="19"/>
                <w:lang w:val="pt-PT"/>
              </w:rPr>
              <w:t xml:space="preserve">F14</w:t>
            </w:r>
          </w:p>
        </w:tc>
        <w:tc>
          <w:tcPr>
            <w:tcW w:type="dxa" w:w="1620"/>
            <w:tcMar>
              <w:left w:type="dxa" w:w="80"/>
              <w:right w:type="dxa" w:w="80"/>
            </w:tcMar>
          </w:tcPr>
          <w:p>
            <w:pPr>
              <w:pStyle w:val="Compact"/>
            </w:pPr>
            <w:r>
              <w:rPr>
                <w:sz w:val="19"/>
                <w:szCs w:val="19"/>
                <w:lang w:val="pt-PT"/>
              </w:rPr>
              <w:t xml:space="preserve">Supervisor</w:t>
            </w:r>
          </w:p>
        </w:tc>
        <w:tc>
          <w:tcPr>
            <w:tcW w:type="dxa" w:w="1620"/>
            <w:tcMar>
              <w:left w:type="dxa" w:w="80"/>
              <w:right w:type="dxa" w:w="80"/>
            </w:tcMar>
          </w:tcPr>
          <w:p>
            <w:pPr>
              <w:pStyle w:val="Compact"/>
            </w:pPr>
            <w:r>
              <w:rPr>
                <w:sz w:val="19"/>
                <w:szCs w:val="19"/>
                <w:lang w:val="pt-PT"/>
              </w:rPr>
              <w:t xml:space="preserve">Servidores/serviços</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rStyle w:val="VerbatimChar"/>
                <w:sz w:val="19"/>
                <w:szCs w:val="19"/>
                <w:lang w:val="pt-PT"/>
              </w:rPr>
              <w:t xml:space="preserve">[OBRIGATÓRIO – por ex. 9100/9090]</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De acordo com a ferramenta</w:t>
            </w:r>
          </w:p>
        </w:tc>
        <w:tc>
          <w:tcPr>
            <w:tcW w:type="dxa" w:w="1620"/>
            <w:tcMar>
              <w:left w:type="dxa" w:w="80"/>
              <w:right w:type="dxa" w:w="80"/>
            </w:tcMar>
          </w:tcPr>
          <w:p>
            <w:pPr>
              <w:pStyle w:val="Compact"/>
            </w:pPr>
            <w:r>
              <w:rPr>
                <w:sz w:val="19"/>
                <w:szCs w:val="19"/>
                <w:lang w:val="pt-PT"/>
              </w:rPr>
              <w:t xml:space="preserve">Supervisão (métricas, sondagens de saúde)</w:t>
            </w:r>
          </w:p>
        </w:tc>
      </w:tr>
      <w:tr>
        <w:trPr>
          <w:cantSplit/>
        </w:trPr>
        <w:tc>
          <w:tcPr>
            <w:tcW w:type="dxa" w:w="1620"/>
            <w:tcMar>
              <w:left w:type="dxa" w:w="80"/>
              <w:right w:type="dxa" w:w="80"/>
            </w:tcMar>
          </w:tcPr>
          <w:p>
            <w:pPr>
              <w:pStyle w:val="Compact"/>
            </w:pPr>
            <w:r>
              <w:rPr>
                <w:sz w:val="19"/>
                <w:szCs w:val="19"/>
                <w:lang w:val="pt-PT"/>
              </w:rPr>
              <w:t xml:space="preserve">F15</w:t>
            </w:r>
          </w:p>
        </w:tc>
        <w:tc>
          <w:tcPr>
            <w:tcW w:type="dxa" w:w="1620"/>
            <w:tcMar>
              <w:left w:type="dxa" w:w="80"/>
              <w:right w:type="dxa" w:w="80"/>
            </w:tcMar>
          </w:tcPr>
          <w:p>
            <w:pPr>
              <w:pStyle w:val="Compact"/>
            </w:pPr>
            <w:r>
              <w:rPr>
                <w:sz w:val="19"/>
                <w:szCs w:val="19"/>
                <w:lang w:val="pt-PT"/>
              </w:rPr>
              <w:t xml:space="preserve">Servidores</w:t>
            </w:r>
          </w:p>
        </w:tc>
        <w:tc>
          <w:tcPr>
            <w:tcW w:type="dxa" w:w="1620"/>
            <w:tcMar>
              <w:left w:type="dxa" w:w="80"/>
              <w:right w:type="dxa" w:w="80"/>
            </w:tcMar>
          </w:tcPr>
          <w:p>
            <w:pPr>
              <w:pStyle w:val="Compact"/>
            </w:pPr>
            <w:r>
              <w:rPr>
                <w:sz w:val="19"/>
                <w:szCs w:val="19"/>
                <w:lang w:val="pt-PT"/>
              </w:rPr>
              <w:t xml:space="preserve">Servidor NTP interno</w:t>
            </w:r>
          </w:p>
        </w:tc>
        <w:tc>
          <w:tcPr>
            <w:tcW w:type="dxa" w:w="1620"/>
            <w:tcMar>
              <w:left w:type="dxa" w:w="80"/>
              <w:right w:type="dxa" w:w="80"/>
            </w:tcMar>
          </w:tcPr>
          <w:p>
            <w:pPr>
              <w:pStyle w:val="Compact"/>
            </w:pPr>
            <w:r>
              <w:rPr>
                <w:sz w:val="19"/>
                <w:szCs w:val="19"/>
                <w:lang w:val="pt-PT"/>
              </w:rPr>
              <w:t xml:space="preserve">UDP</w:t>
            </w:r>
          </w:p>
        </w:tc>
        <w:tc>
          <w:tcPr>
            <w:tcW w:type="dxa" w:w="1620"/>
            <w:tcMar>
              <w:left w:type="dxa" w:w="80"/>
              <w:right w:type="dxa" w:w="80"/>
            </w:tcMar>
          </w:tcPr>
          <w:p>
            <w:pPr>
              <w:pStyle w:val="Compact"/>
            </w:pPr>
            <w:r>
              <w:rPr>
                <w:sz w:val="19"/>
                <w:szCs w:val="19"/>
                <w:lang w:val="pt-PT"/>
              </w:rPr>
              <w:t xml:space="preserve">123</w:t>
            </w:r>
          </w:p>
        </w:tc>
        <w:tc>
          <w:tcPr>
            <w:tcW w:type="dxa" w:w="1620"/>
            <w:tcMar>
              <w:left w:type="dxa" w:w="80"/>
              <w:right w:type="dxa" w:w="80"/>
            </w:tcMar>
          </w:tcPr>
          <w:p>
            <w:pPr>
              <w:pStyle w:val="Compact"/>
            </w:pPr>
            <w:r>
              <w:rPr>
                <w:sz w:val="19"/>
                <w:szCs w:val="19"/>
                <w:lang w:val="pt-PT"/>
              </w:rPr>
              <w:t xml:space="preserve">Saída (interna)</w:t>
            </w:r>
          </w:p>
        </w:tc>
        <w:tc>
          <w:tcPr>
            <w:tcW w:type="dxa" w:w="1620"/>
            <w:tcMar>
              <w:left w:type="dxa" w:w="80"/>
              <w:right w:type="dxa" w:w="80"/>
            </w:tcMar>
          </w:tcPr>
          <w:p>
            <w:pPr>
              <w:pStyle w:val="Compact"/>
            </w:pPr>
            <w:r>
              <w:rPr>
                <w:sz w:val="19"/>
                <w:szCs w:val="19"/>
                <w:lang w:val="pt-PT"/>
              </w:rPr>
              <w:t xml:space="preserve">- (fonte interna confiável)</w:t>
            </w:r>
          </w:p>
        </w:tc>
        <w:tc>
          <w:tcPr>
            <w:tcW w:type="dxa" w:w="1620"/>
            <w:tcMar>
              <w:left w:type="dxa" w:w="80"/>
              <w:right w:type="dxa" w:w="80"/>
            </w:tcMar>
          </w:tcPr>
          <w:p>
            <w:pPr>
              <w:pStyle w:val="Compact"/>
            </w:pPr>
            <w:r>
              <w:rPr>
                <w:sz w:val="19"/>
                <w:szCs w:val="19"/>
                <w:lang w:val="pt-PT"/>
              </w:rPr>
              <w:t xml:space="preserve">Sincronização de tempo</w:t>
            </w:r>
          </w:p>
        </w:tc>
      </w:tr>
      <w:tr>
        <w:trPr>
          <w:cantSplit/>
        </w:trPr>
        <w:tc>
          <w:tcPr>
            <w:tcW w:type="dxa" w:w="1620"/>
            <w:tcMar>
              <w:left w:type="dxa" w:w="80"/>
              <w:right w:type="dxa" w:w="80"/>
            </w:tcMar>
          </w:tcPr>
          <w:p>
            <w:pPr>
              <w:pStyle w:val="Compact"/>
            </w:pPr>
            <w:r>
              <w:rPr>
                <w:sz w:val="19"/>
                <w:szCs w:val="19"/>
                <w:lang w:val="pt-PT"/>
              </w:rPr>
              <w:t xml:space="preserve">F16</w:t>
            </w:r>
          </w:p>
        </w:tc>
        <w:tc>
          <w:tcPr>
            <w:tcW w:type="dxa" w:w="1620"/>
            <w:tcMar>
              <w:left w:type="dxa" w:w="80"/>
              <w:right w:type="dxa" w:w="80"/>
            </w:tcMar>
          </w:tcPr>
          <w:p>
            <w:pPr>
              <w:pStyle w:val="Compact"/>
            </w:pPr>
            <w:r>
              <w:rPr>
                <w:sz w:val="19"/>
                <w:szCs w:val="19"/>
                <w:lang w:val="pt-PT"/>
              </w:rPr>
              <w:t xml:space="preserve">Servidores</w:t>
            </w:r>
          </w:p>
        </w:tc>
        <w:tc>
          <w:tcPr>
            <w:tcW w:type="dxa" w:w="1620"/>
            <w:tcMar>
              <w:left w:type="dxa" w:w="80"/>
              <w:right w:type="dxa" w:w="80"/>
            </w:tcMar>
          </w:tcPr>
          <w:p>
            <w:pPr>
              <w:pStyle w:val="Compact"/>
            </w:pPr>
            <w:r>
              <w:rPr>
                <w:sz w:val="19"/>
                <w:szCs w:val="19"/>
                <w:lang w:val="pt-PT"/>
              </w:rPr>
              <w:t xml:space="preserve">Servidor DNS interno</w:t>
            </w:r>
          </w:p>
        </w:tc>
        <w:tc>
          <w:tcPr>
            <w:tcW w:type="dxa" w:w="1620"/>
            <w:tcMar>
              <w:left w:type="dxa" w:w="80"/>
              <w:right w:type="dxa" w:w="80"/>
            </w:tcMar>
          </w:tcPr>
          <w:p>
            <w:pPr>
              <w:pStyle w:val="Compact"/>
            </w:pPr>
            <w:r>
              <w:rPr>
                <w:sz w:val="19"/>
                <w:szCs w:val="19"/>
                <w:lang w:val="pt-PT"/>
              </w:rPr>
              <w:t xml:space="preserve">UDP/TCP</w:t>
            </w:r>
          </w:p>
        </w:tc>
        <w:tc>
          <w:tcPr>
            <w:tcW w:type="dxa" w:w="1620"/>
            <w:tcMar>
              <w:left w:type="dxa" w:w="80"/>
              <w:right w:type="dxa" w:w="80"/>
            </w:tcMar>
          </w:tcPr>
          <w:p>
            <w:pPr>
              <w:pStyle w:val="Compact"/>
            </w:pPr>
            <w:r>
              <w:rPr>
                <w:sz w:val="19"/>
                <w:szCs w:val="19"/>
                <w:lang w:val="pt-PT"/>
              </w:rPr>
              <w:t xml:space="preserve">53</w:t>
            </w:r>
          </w:p>
        </w:tc>
        <w:tc>
          <w:tcPr>
            <w:tcW w:type="dxa" w:w="1620"/>
            <w:tcMar>
              <w:left w:type="dxa" w:w="80"/>
              <w:right w:type="dxa" w:w="80"/>
            </w:tcMar>
          </w:tcPr>
          <w:p>
            <w:pPr>
              <w:pStyle w:val="Compact"/>
            </w:pPr>
            <w:r>
              <w:rPr>
                <w:sz w:val="19"/>
                <w:szCs w:val="19"/>
                <w:lang w:val="pt-PT"/>
              </w:rPr>
              <w:t xml:space="preserve">Saída (interna)</w:t>
            </w:r>
          </w:p>
        </w:tc>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Resolução de nomes internos</w:t>
            </w:r>
          </w:p>
        </w:tc>
      </w:tr>
      <w:tr>
        <w:trPr>
          <w:cantSplit/>
        </w:trPr>
        <w:tc>
          <w:tcPr>
            <w:tcW w:type="dxa" w:w="1620"/>
            <w:tcMar>
              <w:left w:type="dxa" w:w="80"/>
              <w:right w:type="dxa" w:w="80"/>
            </w:tcMar>
          </w:tcPr>
          <w:p>
            <w:pPr>
              <w:pStyle w:val="Compact"/>
            </w:pPr>
            <w:r>
              <w:rPr>
                <w:sz w:val="19"/>
                <w:szCs w:val="19"/>
                <w:lang w:val="pt-PT"/>
              </w:rPr>
              <w:t xml:space="preserve">F17</w:t>
            </w:r>
          </w:p>
        </w:tc>
        <w:tc>
          <w:tcPr>
            <w:tcW w:type="dxa" w:w="1620"/>
            <w:tcMar>
              <w:left w:type="dxa" w:w="80"/>
              <w:right w:type="dxa" w:w="80"/>
            </w:tcMar>
          </w:tcPr>
          <w:p>
            <w:pPr>
              <w:pStyle w:val="Compact"/>
            </w:pPr>
            <w:r>
              <w:rPr>
                <w:sz w:val="19"/>
                <w:szCs w:val="19"/>
                <w:lang w:val="pt-PT"/>
              </w:rPr>
              <w:t xml:space="preserve">Interfaces IPMI/iDRAC/iLO</w:t>
            </w:r>
          </w:p>
        </w:tc>
        <w:tc>
          <w:tcPr>
            <w:tcW w:type="dxa" w:w="1620"/>
            <w:tcMar>
              <w:left w:type="dxa" w:w="80"/>
              <w:right w:type="dxa" w:w="80"/>
            </w:tcMar>
          </w:tcPr>
          <w:p>
            <w:pPr>
              <w:pStyle w:val="Compact"/>
            </w:pPr>
            <w:r>
              <w:rPr>
                <w:sz w:val="19"/>
                <w:szCs w:val="19"/>
                <w:lang w:val="pt-PT"/>
              </w:rPr>
              <w:t xml:space="preserve">VLAN de administração</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rStyle w:val="VerbatimChar"/>
                <w:sz w:val="19"/>
                <w:szCs w:val="19"/>
                <w:lang w:val="pt-PT"/>
              </w:rPr>
              <w:t xml:space="preserve">[443/623 dependendo do fabricante]</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TLS</w:t>
            </w:r>
          </w:p>
        </w:tc>
        <w:tc>
          <w:tcPr>
            <w:tcW w:type="dxa" w:w="1620"/>
            <w:tcMar>
              <w:left w:type="dxa" w:w="80"/>
              <w:right w:type="dxa" w:w="80"/>
            </w:tcMar>
          </w:tcPr>
          <w:p>
            <w:pPr>
              <w:pStyle w:val="Compact"/>
            </w:pPr>
            <w:r>
              <w:rPr>
                <w:sz w:val="19"/>
                <w:szCs w:val="19"/>
                <w:lang w:val="pt-PT"/>
              </w:rPr>
              <w:t xml:space="preserve">Administração fora da banda</w:t>
            </w:r>
          </w:p>
        </w:tc>
      </w:tr>
    </w:tbl>
    <w:bookmarkEnd w:id="99"/>
    <w:bookmarkStart w:id="100" w:name="X146131246d6b3a2988271c7a54e798408c16c8e"/>
    <w:p>
      <w:pPr>
        <w:pStyle w:val="Heading3"/>
        <w:keepNext/>
        <w:keepLines/>
      </w:pPr>
      <w:r>
        <w:rPr>
          <w:color w:val="000000"/>
          <w:lang w:val="pt-PT"/>
        </w:rPr>
        <w:t xml:space="preserve">12.5 Fluxo de atualização (variante isolada)</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Fonte</w:t>
            </w:r>
          </w:p>
        </w:tc>
        <w:tc>
          <w:tcPr>
            <w:tcW w:type="dxa" w:w="1620"/>
            <w:tcMar>
              <w:left w:type="dxa" w:w="80"/>
              <w:right w:type="dxa" w:w="80"/>
            </w:tcMar>
          </w:tcPr>
          <w:p>
            <w:pPr>
              <w:pStyle w:val="Compact"/>
            </w:pPr>
            <w:r>
              <w:rPr>
                <w:sz w:val="19"/>
                <w:szCs w:val="19"/>
                <w:lang w:val="pt-PT"/>
              </w:rPr>
              <w:t xml:space="preserve">Destino</w:t>
            </w:r>
          </w:p>
        </w:tc>
        <w:tc>
          <w:tcPr>
            <w:tcW w:type="dxa" w:w="1620"/>
            <w:tcMar>
              <w:left w:type="dxa" w:w="80"/>
              <w:right w:type="dxa" w:w="80"/>
            </w:tcMar>
          </w:tcPr>
          <w:p>
            <w:pPr>
              <w:pStyle w:val="Compact"/>
            </w:pPr>
            <w:r>
              <w:rPr>
                <w:sz w:val="19"/>
                <w:szCs w:val="19"/>
                <w:lang w:val="pt-PT"/>
              </w:rPr>
              <w:t xml:space="preserve">Protocolo</w:t>
            </w:r>
          </w:p>
        </w:tc>
        <w:tc>
          <w:tcPr>
            <w:tcW w:type="dxa" w:w="1620"/>
            <w:tcMar>
              <w:left w:type="dxa" w:w="80"/>
              <w:right w:type="dxa" w:w="80"/>
            </w:tcMar>
          </w:tcPr>
          <w:p>
            <w:pPr>
              <w:pStyle w:val="Compact"/>
            </w:pPr>
            <w:r>
              <w:rPr>
                <w:sz w:val="19"/>
                <w:szCs w:val="19"/>
                <w:lang w:val="pt-PT"/>
              </w:rPr>
              <w:t xml:space="preserve">Porta</w:t>
            </w:r>
          </w:p>
        </w:tc>
        <w:tc>
          <w:tcPr>
            <w:tcW w:type="dxa" w:w="1620"/>
            <w:tcMar>
              <w:left w:type="dxa" w:w="80"/>
              <w:right w:type="dxa" w:w="80"/>
            </w:tcMar>
          </w:tcPr>
          <w:p>
            <w:pPr>
              <w:pStyle w:val="Compact"/>
            </w:pPr>
            <w:r>
              <w:rPr>
                <w:sz w:val="19"/>
                <w:szCs w:val="19"/>
                <w:lang w:val="pt-PT"/>
              </w:rPr>
              <w:t xml:space="preserve">Sentido</w:t>
            </w:r>
          </w:p>
        </w:tc>
        <w:tc>
          <w:tcPr>
            <w:tcW w:type="dxa" w:w="1620"/>
            <w:tcMar>
              <w:left w:type="dxa" w:w="80"/>
              <w:right w:type="dxa" w:w="80"/>
            </w:tcMar>
          </w:tcPr>
          <w:p>
            <w:pPr>
              <w:pStyle w:val="Compact"/>
            </w:pPr>
            <w:r>
              <w:rPr>
                <w:sz w:val="19"/>
                <w:szCs w:val="19"/>
                <w:lang w:val="pt-PT"/>
              </w:rPr>
              <w:t xml:space="preserve">Cifragem</w:t>
            </w:r>
          </w:p>
        </w:tc>
        <w:tc>
          <w:tcPr>
            <w:tcW w:type="dxa" w:w="1620"/>
            <w:tcMar>
              <w:left w:type="dxa" w:w="80"/>
              <w:right w:type="dxa" w:w="80"/>
            </w:tcMar>
          </w:tcPr>
          <w:p>
            <w:pPr>
              <w:pStyle w:val="Compact"/>
            </w:pPr>
            <w:r>
              <w:rPr>
                <w:sz w:val="19"/>
                <w:szCs w:val="19"/>
                <w:lang w:val="pt-PT"/>
              </w:rPr>
              <w:t xml:space="preserve">Justificativa</w:t>
            </w:r>
          </w:p>
        </w:tc>
      </w:tr>
      <w:tr>
        <w:trPr>
          <w:cantSplit/>
        </w:trPr>
        <w:tc>
          <w:tcPr>
            <w:tcW w:type="dxa" w:w="1620"/>
            <w:tcMar>
              <w:left w:type="dxa" w:w="80"/>
              <w:right w:type="dxa" w:w="80"/>
            </w:tcMar>
          </w:tcPr>
          <w:p>
            <w:pPr>
              <w:pStyle w:val="Compact"/>
            </w:pPr>
            <w:r>
              <w:rPr>
                <w:sz w:val="19"/>
                <w:szCs w:val="19"/>
                <w:lang w:val="pt-PT"/>
              </w:rPr>
              <w:t xml:space="preserve">F18</w:t>
            </w:r>
          </w:p>
        </w:tc>
        <w:tc>
          <w:tcPr>
            <w:tcW w:type="dxa" w:w="1620"/>
            <w:tcMar>
              <w:left w:type="dxa" w:w="80"/>
              <w:right w:type="dxa" w:w="80"/>
            </w:tcMar>
          </w:tcPr>
          <w:p>
            <w:pPr>
              <w:pStyle w:val="Compact"/>
            </w:pPr>
            <w:r>
              <w:rPr>
                <w:sz w:val="19"/>
                <w:szCs w:val="19"/>
                <w:lang w:val="pt-PT"/>
              </w:rPr>
              <w:t xml:space="preserve">Servidores</w:t>
            </w:r>
          </w:p>
        </w:tc>
        <w:tc>
          <w:tcPr>
            <w:tcW w:type="dxa" w:w="1620"/>
            <w:tcMar>
              <w:left w:type="dxa" w:w="80"/>
              <w:right w:type="dxa" w:w="80"/>
            </w:tcMar>
          </w:tcPr>
          <w:p>
            <w:pPr>
              <w:pStyle w:val="Compact"/>
            </w:pPr>
            <w:r>
              <w:rPr>
                <w:sz w:val="19"/>
                <w:szCs w:val="19"/>
                <w:lang w:val="pt-PT"/>
              </w:rPr>
              <w:t xml:space="preserve">Repositório local/registo interno</w:t>
            </w:r>
          </w:p>
        </w:tc>
        <w:tc>
          <w:tcPr>
            <w:tcW w:type="dxa" w:w="1620"/>
            <w:tcMar>
              <w:left w:type="dxa" w:w="80"/>
              <w:right w:type="dxa" w:w="80"/>
            </w:tcMar>
          </w:tcPr>
          <w:p>
            <w:pPr>
              <w:pStyle w:val="Compact"/>
            </w:pPr>
            <w:r>
              <w:rPr>
                <w:sz w:val="19"/>
                <w:szCs w:val="19"/>
                <w:lang w:val="pt-PT"/>
              </w:rPr>
              <w:t xml:space="preserve">TCP</w:t>
            </w:r>
          </w:p>
        </w:tc>
        <w:tc>
          <w:tcPr>
            <w:tcW w:type="dxa" w:w="1620"/>
            <w:tcMar>
              <w:left w:type="dxa" w:w="80"/>
              <w:right w:type="dxa" w:w="80"/>
            </w:tcMar>
          </w:tcPr>
          <w:p>
            <w:pPr>
              <w:pStyle w:val="Compact"/>
            </w:pPr>
            <w:r>
              <w:rPr>
                <w:rStyle w:val="VerbatimChar"/>
                <w:sz w:val="19"/>
                <w:szCs w:val="19"/>
                <w:lang w:val="pt-PT"/>
              </w:rPr>
              <w:t xml:space="preserve">[OBRIGATÓRIO – por ex. 443/5000]</w:t>
            </w:r>
          </w:p>
        </w:tc>
        <w:tc>
          <w:tcPr>
            <w:tcW w:type="dxa" w:w="1620"/>
            <w:tcMar>
              <w:left w:type="dxa" w:w="80"/>
              <w:right w:type="dxa" w:w="80"/>
            </w:tcMar>
          </w:tcPr>
          <w:p>
            <w:pPr>
              <w:pStyle w:val="Compact"/>
            </w:pPr>
            <w:r>
              <w:rPr>
                <w:sz w:val="19"/>
                <w:szCs w:val="19"/>
                <w:lang w:val="pt-PT"/>
              </w:rPr>
              <w:t xml:space="preserve">Interno</w:t>
            </w:r>
          </w:p>
        </w:tc>
        <w:tc>
          <w:tcPr>
            <w:tcW w:type="dxa" w:w="1620"/>
            <w:tcMar>
              <w:left w:type="dxa" w:w="80"/>
              <w:right w:type="dxa" w:w="80"/>
            </w:tcMar>
          </w:tcPr>
          <w:p>
            <w:pPr>
              <w:pStyle w:val="Compact"/>
            </w:pPr>
            <w:r>
              <w:rPr>
                <w:sz w:val="19"/>
                <w:szCs w:val="19"/>
                <w:lang w:val="pt-PT"/>
              </w:rPr>
              <w:t xml:space="preserve">TLS interno</w:t>
            </w:r>
          </w:p>
        </w:tc>
        <w:tc>
          <w:tcPr>
            <w:tcW w:type="dxa" w:w="1620"/>
            <w:tcMar>
              <w:left w:type="dxa" w:w="80"/>
              <w:right w:type="dxa" w:w="80"/>
            </w:tcMar>
          </w:tcPr>
          <w:p>
            <w:pPr>
              <w:pStyle w:val="Compact"/>
            </w:pPr>
            <w:r>
              <w:rPr>
                <w:sz w:val="19"/>
                <w:szCs w:val="19"/>
                <w:lang w:val="pt-PT"/>
              </w:rPr>
              <w:t xml:space="preserve">Recuperando imagens e pacotes do Docker (repositório offline)</w:t>
            </w:r>
          </w:p>
        </w:tc>
      </w:tr>
      <w:tr>
        <w:trPr>
          <w:cantSplit/>
        </w:trPr>
        <w:tc>
          <w:tcPr>
            <w:tcW w:type="dxa" w:w="1620"/>
            <w:tcMar>
              <w:left w:type="dxa" w:w="80"/>
              <w:right w:type="dxa" w:w="80"/>
            </w:tcMar>
          </w:tcPr>
          <w:p>
            <w:pPr>
              <w:pStyle w:val="Compact"/>
            </w:pPr>
            <w:r>
              <w:rPr>
                <w:sz w:val="19"/>
                <w:szCs w:val="19"/>
                <w:lang w:val="pt-PT"/>
              </w:rPr>
              <w:t xml:space="preserve">F19</w:t>
            </w:r>
          </w:p>
        </w:tc>
        <w:tc>
          <w:tcPr>
            <w:tcW w:type="dxa" w:w="1620"/>
            <w:tcMar>
              <w:left w:type="dxa" w:w="80"/>
              <w:right w:type="dxa" w:w="80"/>
            </w:tcMar>
          </w:tcPr>
          <w:p>
            <w:pPr>
              <w:pStyle w:val="Compact"/>
            </w:pPr>
            <w:r>
              <w:rPr>
                <w:sz w:val="19"/>
                <w:szCs w:val="19"/>
                <w:lang w:val="pt-PT"/>
              </w:rPr>
              <w:t xml:space="preserve">(não produção) Postagem de retransmissão</w:t>
            </w:r>
          </w:p>
        </w:tc>
        <w:tc>
          <w:tcPr>
            <w:tcW w:type="dxa" w:w="1620"/>
            <w:tcMar>
              <w:left w:type="dxa" w:w="80"/>
              <w:right w:type="dxa" w:w="80"/>
            </w:tcMar>
          </w:tcPr>
          <w:p>
            <w:pPr>
              <w:pStyle w:val="Compact"/>
            </w:pPr>
            <w:r>
              <w:rPr>
                <w:sz w:val="19"/>
                <w:szCs w:val="19"/>
                <w:lang w:val="pt-PT"/>
              </w:rPr>
              <w:t xml:space="preserve">(suporte controlado)</w:t>
            </w:r>
          </w:p>
        </w:tc>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w:t>
            </w:r>
          </w:p>
        </w:tc>
        <w:tc>
          <w:tcPr>
            <w:tcW w:type="dxa" w:w="1620"/>
            <w:tcMar>
              <w:left w:type="dxa" w:w="80"/>
              <w:right w:type="dxa" w:w="80"/>
            </w:tcMar>
          </w:tcPr>
          <w:p>
            <w:pPr>
              <w:pStyle w:val="Compact"/>
            </w:pPr>
            <w:r>
              <w:rPr>
                <w:sz w:val="19"/>
                <w:szCs w:val="19"/>
                <w:lang w:val="pt-PT"/>
              </w:rPr>
              <w:t xml:space="preserve">Fornecimento de assinaturas e pacotes ClamAV, excluindo produção</w:t>
            </w:r>
          </w:p>
        </w:tc>
      </w:tr>
    </w:tbl>
    <w:p>
      <w:pPr>
        <w:sectPr>
          <w:type w:val="nextPage"/>
          <w:footnotePr>
            <w:numRestart w:val="eachSect"/>
          </w:footnotePr>
          <w:pgSz w:w="15840" w:h="12240" w:orient="landscape"/>
        </w:sectPr>
      </w:pPr>
    </w:p>
    <w:p>
      <w:pPr>
        <w:pStyle w:val="BlockText"/>
      </w:pPr>
      <w:r>
        <w:rPr>
          <w:b/>
          <w:bCs/>
          <w:lang w:val="pt-PT"/>
        </w:rPr>
        <w:t xml:space="preserve">Variante isolada — resumo: </w:t>
      </w:r>
      <w:r>
        <w:rPr>
          <w:lang w:val="pt-PT"/>
        </w:rPr>
        <w:t xml:space="preserve"/>
      </w:r>
      <w:r>
        <w:rPr>
          <w:lang w:val="pt-PT"/>
        </w:rPr>
        <w:t xml:space="preserve">nenhum fluxo F para a Internet em operação nominal. As atualizações passam exclusivamente por um repositório local fornecido de forma controlada. Numa variante não isolada (se aplicável, a pedido do Cliente), possíveis fluxos de saída (gateway LLM externo, backup terceirizado) seriam adicionados e documentados separadamente – não incluídos aqui.</w:t>
      </w:r>
    </w:p>
    <w:p>
      <w:r>
        <w:pict>
          <v:rect style="width:0;height:1.5pt" o:hralign="center" o:hrstd="t" o:hr="t"/>
        </w:pict>
      </w:r>
    </w:p>
    <w:bookmarkEnd w:id="100"/>
    <w:bookmarkEnd w:id="101"/>
    <w:bookmarkStart w:id="112" w:name="X59972c61c759d8092bd0804e059b048b25f78b2"/>
    <w:p>
      <w:pPr>
        <w:pStyle w:val="Heading2"/>
        <w:keepNext/>
        <w:keepLines/>
      </w:pPr>
      <w:r>
        <w:rPr>
          <w:color w:val="000000"/>
          <w:lang w:val="pt-PT"/>
        </w:rPr>
        <w:t xml:space="preserve">13. Cenários de failover e recuperação</w:t>
      </w:r>
    </w:p>
    <w:p>
      <w:pPr>
        <w:pStyle w:val="BlockText"/>
      </w:pPr>
      <w:r>
        <w:rPr>
          <w:lang w:val="pt-PT"/>
        </w:rPr>
        <w:t xml:space="preserve">Os objetivos exibidos são objetivos </w:t>
      </w:r>
      <w:r>
        <w:rPr>
          <w:lang w:val="pt-PT"/>
        </w:rPr>
        <w:t xml:space="preserve"/>
      </w:r>
      <w:r>
        <w:rPr>
          <w:b/>
          <w:bCs/>
          <w:lang w:val="pt-PT"/>
        </w:rPr>
        <w:t xml:space="preserve">da arquitetura alvo a serem validados na aceitação </w:t>
      </w:r>
      <w:r>
        <w:rPr>
          <w:lang w:val="pt-PT"/>
        </w:rPr>
        <w:t xml:space="preserve"/>
      </w:r>
      <w:r>
        <w:rPr>
          <w:lang w:val="pt-PT"/>
        </w:rPr>
        <w:t xml:space="preserve">(ver </w:t>
      </w:r>
      <w:r>
        <w:rPr>
          <w:lang w:val="pt-PT"/>
        </w:rPr>
        <w:t xml:space="preserve"/>
      </w:r>
      <w:r>
        <w:rPr>
          <w:rStyle w:val="VerbatimChar"/>
          <w:lang w:val="pt-PT"/>
        </w:rPr>
        <w:t xml:space="preserve">03_Dossier_Qualification_Cahier_Recette.md</w:t>
      </w:r>
      <w:r>
        <w:rPr>
          <w:lang w:val="pt-PT"/>
        </w:rPr>
        <w:t xml:space="preserve">, grupo T-BASCULE). Objetivo geral: </w:t>
      </w:r>
      <w:r>
        <w:rPr>
          <w:lang w:val="pt-PT"/>
        </w:rPr>
        <w:t xml:space="preserve">RTO </w:t>
      </w:r>
      <w:r>
        <w:rPr>
          <w:b/>
          <w:bCs/>
          <w:lang w:val="pt-PT"/>
        </w:rPr>
        <w:t xml:space="preserve">4 h; </w:t>
      </w:r>
      <w:r>
        <w:rPr>
          <w:lang w:val="pt-PT"/>
        </w:rPr>
        <w:t xml:space="preserve">RPO </w:t>
      </w:r>
      <w:r>
        <w:rPr>
          <w:lang w:val="pt-PT"/>
        </w:rPr>
        <w:t xml:space="preserve"/>
      </w:r>
      <w:r>
        <w:rPr>
          <w:lang w:val="pt-PT"/>
        </w:rPr>
        <w:t xml:space="preserve"/>
      </w:r>
      <w:r>
        <w:rPr>
          <w:b/>
          <w:bCs/>
          <w:lang w:val="pt-PT"/>
        </w:rPr>
        <w:t xml:space="preserve">máximo de 24 horas, </w:t>
      </w:r>
      <w:r>
        <w:rPr>
          <w:lang w:val="pt-PT"/>
        </w:rPr>
        <w:t xml:space="preserve">com RPO alvo </w:t>
      </w:r>
      <w:r>
        <w:rPr>
          <w:lang w:val="pt-PT"/>
        </w:rPr>
        <w:t xml:space="preserve">≤ </w:t>
      </w:r>
      <w:r>
        <w:rPr>
          <w:b/>
          <w:bCs/>
          <w:lang w:val="pt-PT"/>
        </w:rPr>
        <w:t xml:space="preserve">15 min em </w:t>
      </w:r>
      <w:r>
        <w:rPr>
          <w:lang w:val="pt-PT"/>
        </w:rPr>
        <w:t xml:space="preserve"/>
      </w:r>
      <w:r>
        <w:rPr>
          <w:lang w:val="pt-PT"/>
        </w:rPr>
        <w:t xml:space="preserve">replicação contínua (a confirmar na aceitação de acordo com a conexão entre salas).</w:t>
      </w:r>
    </w:p>
    <w:bookmarkStart w:id="102" w:name="X4dc160597130aae33434cbefd5909f293b6db08"/>
    <w:p>
      <w:pPr>
        <w:pStyle w:val="Heading3"/>
        <w:keepNext/>
        <w:keepLines/>
      </w:pPr>
      <w:r>
        <w:rPr>
          <w:color w:val="000000"/>
          <w:lang w:val="pt-PT"/>
        </w:rPr>
        <w:t xml:space="preserve">13.1 Falha de um serviço de aplicação (dentro da Sala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Descrição</w:t>
            </w:r>
          </w:p>
        </w:tc>
      </w:tr>
      <w:tr>
        <w:trPr>
          <w:cantSplit/>
        </w:trPr>
        <w:tc>
          <w:tcPr/>
          <w:p>
            <w:pPr>
              <w:pStyle w:val="Compact"/>
            </w:pPr>
            <w:r>
              <w:rPr>
                <w:lang w:val="pt-PT"/>
              </w:rPr>
              <w:t xml:space="preserve">Detecção</w:t>
            </w:r>
          </w:p>
        </w:tc>
        <w:tc>
          <w:tcPr/>
          <w:p>
            <w:pPr>
              <w:pStyle w:val="Compact"/>
            </w:pPr>
            <w:r>
              <w:rPr>
                <w:lang w:val="pt-PT"/>
              </w:rPr>
              <w:t xml:space="preserve">Sonda de integridade do contêiner (Docker healthcheck) + supervisão; </w:t>
            </w:r>
            <w:r>
              <w:rPr>
                <w:lang w:val="pt-PT"/>
              </w:rPr>
              <w:t xml:space="preserve"/>
            </w:r>
            <w:r>
              <w:rPr>
                <w:rStyle w:val="VerbatimChar"/>
                <w:lang w:val="pt-PT"/>
              </w:rPr>
              <w:t xml:space="preserve">restart: unless-stopped</w:t>
            </w:r>
          </w:p>
        </w:tc>
      </w:tr>
      <w:tr>
        <w:trPr>
          <w:cantSplit/>
        </w:trPr>
        <w:tc>
          <w:tcPr/>
          <w:p>
            <w:pPr>
              <w:pStyle w:val="Compact"/>
            </w:pPr>
            <w:r>
              <w:rPr>
                <w:lang w:val="pt-PT"/>
              </w:rPr>
              <w:t xml:space="preserve">Ações</w:t>
            </w:r>
          </w:p>
        </w:tc>
        <w:tc>
          <w:tcPr/>
          <w:p>
            <w:pPr>
              <w:pStyle w:val="Compact"/>
            </w:pPr>
            <w:r>
              <w:rPr>
                <w:lang w:val="pt-PT"/>
              </w:rPr>
              <w:t xml:space="preserve">Reinício automático do contentor; se nginx reiniciar após app, aplicar o reinício de nginx (ver dossiê de exploração, problema 502)</w:t>
            </w:r>
          </w:p>
        </w:tc>
      </w:tr>
      <w:tr>
        <w:trPr>
          <w:cantSplit/>
        </w:trPr>
        <w:tc>
          <w:tcPr/>
          <w:p>
            <w:pPr>
              <w:pStyle w:val="Compact"/>
            </w:pPr>
            <w:r>
              <w:rPr>
                <w:lang w:val="pt-PT"/>
              </w:rPr>
              <w:t xml:space="preserve">RTO estimado</w:t>
            </w:r>
          </w:p>
        </w:tc>
        <w:tc>
          <w:tcPr/>
          <w:p>
            <w:pPr>
              <w:pStyle w:val="Compact"/>
            </w:pPr>
            <w:r>
              <w:rPr>
                <w:lang w:val="pt-PT"/>
              </w:rPr>
              <w:t xml:space="preserve">Alguns segundos a minutos (reinicialização do contêiner)</w:t>
            </w:r>
          </w:p>
        </w:tc>
      </w:tr>
      <w:tr>
        <w:trPr>
          <w:cantSplit/>
        </w:trPr>
        <w:tc>
          <w:tcPr/>
          <w:p>
            <w:pPr>
              <w:pStyle w:val="Compact"/>
            </w:pPr>
            <w:r>
              <w:rPr>
                <w:lang w:val="pt-PT"/>
              </w:rPr>
              <w:t xml:space="preserve">RPO</w:t>
            </w:r>
          </w:p>
        </w:tc>
        <w:tc>
          <w:tcPr/>
          <w:p>
            <w:pPr>
              <w:pStyle w:val="Compact"/>
            </w:pPr>
            <w:r>
              <w:rPr>
                <w:lang w:val="pt-PT"/>
              </w:rPr>
              <w:t xml:space="preserve">Zero (sem perda de dados – base de dados intacto)</w:t>
            </w:r>
          </w:p>
        </w:tc>
      </w:tr>
    </w:tbl>
    <w:bookmarkEnd w:id="102"/>
    <w:bookmarkStart w:id="103" w:name="Xcc6aeb9f72c97c8faaede41310c069b80b7786a"/>
    <w:p>
      <w:pPr>
        <w:pStyle w:val="Heading3"/>
        <w:keepNext/>
        <w:keepLines/>
      </w:pPr>
      <w:r>
        <w:rPr>
          <w:color w:val="000000"/>
          <w:lang w:val="pt-PT"/>
        </w:rPr>
        <w:t xml:space="preserve">13.2 Falha do servidor de aplicação Sala A (hardware), site principal disponível de outra forma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Descrição</w:t>
            </w:r>
          </w:p>
        </w:tc>
      </w:tr>
      <w:tr>
        <w:trPr>
          <w:cantSplit/>
        </w:trPr>
        <w:tc>
          <w:tcPr/>
          <w:p>
            <w:pPr>
              <w:pStyle w:val="Compact"/>
            </w:pPr>
            <w:r>
              <w:rPr>
                <w:lang w:val="pt-PT"/>
              </w:rPr>
              <w:t xml:space="preserve">Detecção</w:t>
            </w:r>
          </w:p>
        </w:tc>
        <w:tc>
          <w:tcPr/>
          <w:p>
            <w:pPr>
              <w:pStyle w:val="Compact"/>
            </w:pPr>
            <w:r>
              <w:rPr>
                <w:lang w:val="pt-PT"/>
              </w:rPr>
              <w:t xml:space="preserve">Monitorização (perda de host), falha de sonda</w:t>
            </w:r>
          </w:p>
        </w:tc>
      </w:tr>
      <w:tr>
        <w:trPr>
          <w:cantSplit/>
        </w:trPr>
        <w:tc>
          <w:tcPr/>
          <w:p>
            <w:pPr>
              <w:pStyle w:val="Compact"/>
            </w:pPr>
            <w:r>
              <w:rPr>
                <w:lang w:val="pt-PT"/>
              </w:rPr>
              <w:t xml:space="preserve">Ações</w:t>
            </w:r>
          </w:p>
        </w:tc>
        <w:tc>
          <w:tcPr/>
          <w:p>
            <w:pPr>
              <w:pStyle w:val="Compact"/>
            </w:pPr>
            <w:r>
              <w:rPr>
                <w:lang w:val="pt-PT"/>
              </w:rPr>
              <w:t xml:space="preserve">Reinicialização/intervenção de hardware; em caso de indisponibilidade prolongada, muda para a Sala B (§13.3)</w:t>
            </w:r>
          </w:p>
        </w:tc>
      </w:tr>
      <w:tr>
        <w:trPr>
          <w:cantSplit/>
        </w:trPr>
        <w:tc>
          <w:tcPr/>
          <w:p>
            <w:pPr>
              <w:pStyle w:val="Compact"/>
            </w:pPr>
            <w:r>
              <w:rPr>
                <w:lang w:val="pt-PT"/>
              </w:rPr>
              <w:t xml:space="preserve">RTO estimado</w:t>
            </w:r>
          </w:p>
        </w:tc>
        <w:tc>
          <w:tcPr/>
          <w:p>
            <w:pPr>
              <w:pStyle w:val="Compact"/>
            </w:pPr>
            <w:r>
              <w:rPr>
                <w:lang w:val="pt-PT"/>
              </w:rPr>
              <w:t xml:space="preserve">Dependendo da intervenção material; caso contrário, troque de sala B &lt;4 horas</w:t>
            </w:r>
          </w:p>
        </w:tc>
      </w:tr>
      <w:tr>
        <w:trPr>
          <w:cantSplit/>
        </w:trPr>
        <w:tc>
          <w:tcPr/>
          <w:p>
            <w:pPr>
              <w:pStyle w:val="Compact"/>
            </w:pPr>
            <w:r>
              <w:rPr>
                <w:lang w:val="pt-PT"/>
              </w:rPr>
              <w:t xml:space="preserve">RPO</w:t>
            </w:r>
          </w:p>
        </w:tc>
        <w:tc>
          <w:tcPr/>
          <w:p>
            <w:pPr>
              <w:pStyle w:val="Compact"/>
            </w:pPr>
            <w:r>
              <w:rPr>
                <w:lang w:val="pt-PT"/>
              </w:rPr>
              <w:t xml:space="preserve">Anulado se a base e o armazenamento estiverem intactos</w:t>
            </w:r>
          </w:p>
        </w:tc>
      </w:tr>
    </w:tbl>
    <w:bookmarkEnd w:id="103"/>
    <w:bookmarkStart w:id="107" w:name="Xfa76b50e26d807c777a3dcea857f889a7641386"/>
    <w:p>
      <w:pPr>
        <w:pStyle w:val="Heading3"/>
        <w:keepNext/>
        <w:keepLines/>
      </w:pPr>
      <w:r>
        <w:rPr>
          <w:color w:val="000000"/>
          <w:lang w:val="pt-PT"/>
        </w:rPr>
        <w:t xml:space="preserve">13.3 Perda da Sala A → promoção da Sala B (alternar)</w:t>
      </w:r>
    </w:p>
    <w:p>
      <w:pPr>
        <w:pStyle w:val="FirstParagraph"/>
        <w:keepNext/>
      </w:pPr>
      <w:r>
        <w:drawing>
          <wp:inline>
            <wp:extent cx="5334000" cy="1250526"/>
            <wp:effectExtent b="0" l="0" r="0" t="0"/>
            <wp:docPr descr="Chronologie de bascule" title="" id="105" name="Picture"/>
            <a:graphic>
              <a:graphicData uri="http://schemas.openxmlformats.org/drawingml/2006/picture">
                <pic:pic>
                  <pic:nvPicPr>
                    <pic:cNvPr descr="img/bascule.png" id="106"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pt-PT"/>
        </w:rPr>
        <w:t xml:space="preserve">Figura 4 — Cronograma de switchover em caso de perda do site principal (Sala A): promoção de standby (Sala B) e switchover VIP/DNS, objetivo RTO 4 horas (versão Visio .vsdx retornada à fase de implementação).</w:t>
      </w:r>
    </w:p>
    <w:p>
      <w:pPr>
        <w:pStyle w:val="BodyText"/>
      </w:pPr>
      <w:r>
        <w:rPr>
          <w:b/>
          <w:bCs/>
          <w:lang w:val="pt-PT"/>
        </w:rPr>
        <w:t xml:space="preserve">Versão em texto do sinóptico:</w:t>
      </w:r>
    </w:p>
    <w:p>
      <w:pPr>
        <w:pStyle w:val="SourceCode"/>
      </w:pPr>
      <w:r>
        <w:rPr>
          <w:rStyle w:val="VerbatimChar"/>
          <w:rFonts w:ascii="Courier New" w:hAnsi="Courier New" w:eastAsia="Courier New" w:cs="Courier New"/>
          <w:sz w:val="20"/>
          <w:szCs w:val="20"/>
        </w:rPr>
        <w:t xml:space="preserve">ANTES (funcionamento normal)</w:t>
        <w:br/>
        <w:t xml:space="preserve">  SALA A app (PRIMARY) ---&gt; SALA B app (STANDBY)</w:t>
        <w:br/>
        <w:t xml:space="preserve">                       replicação</w:t>
        <w:br/>
        <w:t xml:space="preserve">  VIP -&gt; SALA A</w:t>
        <w:br/>
        <w:t xml:space="preserve">  UTILIZADORES DO CLIENTE -&gt; SALA A; SALA B: em espera</w:t>
        <w:br/>
        <w:br/>
        <w:t xml:space="preserve">APÓS COMUTAÇÃO</w:t>
        <w:br/>
        <w:t xml:space="preserve">  SALA A app (perdida)  X  SALA B app (PRIMARY)</w:t>
        <w:br/>
        <w:t xml:space="preserve">  VIP comuta para SALA B</w:t>
        <w:br/>
        <w:t xml:space="preserve">  UTILIZADORES DO CLIENTE -&gt; SALA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Descrição</w:t>
            </w:r>
          </w:p>
        </w:tc>
      </w:tr>
      <w:tr>
        <w:trPr>
          <w:cantSplit/>
        </w:trPr>
        <w:tc>
          <w:tcPr/>
          <w:p>
            <w:pPr>
              <w:pStyle w:val="Compact"/>
            </w:pPr>
            <w:r>
              <w:rPr>
                <w:lang w:val="pt-PT"/>
              </w:rPr>
              <w:t xml:space="preserve">Detecção</w:t>
            </w:r>
          </w:p>
        </w:tc>
        <w:tc>
          <w:tcPr/>
          <w:p>
            <w:pPr>
              <w:pStyle w:val="Compact"/>
            </w:pPr>
            <w:r>
              <w:rPr>
                <w:lang w:val="pt-PT"/>
              </w:rPr>
              <w:t xml:space="preserve">Perda da Sala A (supervisão, falta de resposta VIP, alerta do local)</w:t>
            </w:r>
          </w:p>
        </w:tc>
      </w:tr>
      <w:tr>
        <w:trPr>
          <w:cantSplit/>
        </w:trPr>
        <w:tc>
          <w:tcPr/>
          <w:p>
            <w:pPr>
              <w:pStyle w:val="Compact"/>
            </w:pPr>
            <w:r>
              <w:rPr>
                <w:lang w:val="pt-PT"/>
              </w:rPr>
              <w:t xml:space="preserve">Ações</w:t>
            </w:r>
          </w:p>
        </w:tc>
        <w:tc>
          <w:tcPr/>
          <w:p>
            <w:pPr>
              <w:pStyle w:val="Compact"/>
            </w:pPr>
            <w:r>
              <w:rPr>
                <w:lang w:val="pt-PT"/>
              </w:rPr>
              <w:t xml:space="preserve">1) Decisão de comutação (equipa de prevenção); </w:t>
            </w:r>
            <w:r>
              <w:rPr>
                <w:lang w:val="pt-PT"/>
              </w:rPr>
              <w:t xml:space="preserve"/>
            </w:r>
            <w:r>
              <w:rPr>
                <w:b/>
                <w:bCs/>
                <w:lang w:val="pt-PT"/>
              </w:rPr>
              <w:t xml:space="preserve">2) Promoção da instância PostgreSQL em standby </w:t>
            </w:r>
            <w:r>
              <w:rPr>
                <w:lang w:val="pt-PT"/>
              </w:rPr>
              <w:t xml:space="preserve"/>
            </w:r>
            <w:r>
              <w:rPr>
                <w:lang w:val="pt-PT"/>
              </w:rPr>
              <w:t xml:space="preserve">da Sala B a primária; 3) Arranque da stack da aplicação da Sala B em modo ativo; 4) Comutação </w:t>
            </w:r>
            <w:r>
              <w:rPr>
                <w:lang w:val="pt-PT"/>
              </w:rPr>
              <w:t xml:space="preserve"/>
            </w:r>
            <w:r>
              <w:rPr>
                <w:b/>
                <w:bCs/>
                <w:lang w:val="pt-PT"/>
              </w:rPr>
              <w:t xml:space="preserve">de VIP/DNS para </w:t>
            </w:r>
            <w:r>
              <w:rPr>
                <w:lang w:val="pt-PT"/>
              </w:rPr>
              <w:t xml:space="preserve">a </w:t>
            </w:r>
            <w:r>
              <w:rPr>
                <w:lang w:val="pt-PT"/>
              </w:rPr>
              <w:t xml:space="preserve">Sala B; 5) Redirecionamento do servidor GPU da Sala B para a API da Sala B; 6) Verificações de funcionamento (ver caderno de testes de aceitação)</w:t>
            </w:r>
          </w:p>
        </w:tc>
      </w:tr>
      <w:tr>
        <w:trPr>
          <w:cantSplit/>
        </w:trPr>
        <w:tc>
          <w:tcPr/>
          <w:p>
            <w:pPr>
              <w:pStyle w:val="Compact"/>
            </w:pPr>
            <w:r>
              <w:rPr>
                <w:lang w:val="pt-PT"/>
              </w:rPr>
              <w:t xml:space="preserve">RTO estimado</w:t>
            </w:r>
          </w:p>
        </w:tc>
        <w:tc>
          <w:tcPr/>
          <w:p>
            <w:pPr>
              <w:pStyle w:val="Compact"/>
            </w:pPr>
            <w:r>
              <w:rPr>
                <w:b/>
                <w:bCs/>
                <w:lang w:val="pt-PT"/>
              </w:rPr>
              <w:t xml:space="preserve">≤ 4 </w:t>
            </w:r>
            <w:r>
              <w:rPr>
                <w:lang w:val="pt-PT"/>
              </w:rPr>
              <w:t xml:space="preserve"/>
            </w:r>
            <w:r>
              <w:rPr>
                <w:lang w:val="pt-PT"/>
              </w:rPr>
              <w:t xml:space="preserve">horas (alvo)</w:t>
            </w:r>
          </w:p>
        </w:tc>
      </w:tr>
      <w:tr>
        <w:trPr>
          <w:cantSplit/>
        </w:trPr>
        <w:tc>
          <w:tcPr/>
          <w:p>
            <w:pPr>
              <w:pStyle w:val="Compact"/>
            </w:pPr>
            <w:r>
              <w:rPr>
                <w:lang w:val="pt-PT"/>
              </w:rPr>
              <w:t xml:space="preserve">RPO estimado</w:t>
            </w:r>
          </w:p>
        </w:tc>
        <w:tc>
          <w:tcPr/>
          <w:p>
            <w:pPr>
              <w:pStyle w:val="Compact"/>
            </w:pPr>
            <w:r>
              <w:rPr>
                <w:lang w:val="pt-PT"/>
              </w:rPr>
              <w:t xml:space="preserve">≤ 24 horas garantidas; </w:t>
            </w:r>
            <w:r>
              <w:rPr>
                <w:lang w:val="pt-PT"/>
              </w:rPr>
              <w:t xml:space="preserve"/>
            </w:r>
            <w:r>
              <w:rPr>
                <w:b/>
                <w:bCs/>
                <w:lang w:val="pt-PT"/>
              </w:rPr>
              <w:t xml:space="preserve">≤ 15 min </w:t>
            </w:r>
            <w:r>
              <w:rPr>
                <w:lang w:val="pt-PT"/>
              </w:rPr>
              <w:t xml:space="preserve"/>
            </w:r>
            <w:r>
              <w:rPr>
                <w:lang w:val="pt-PT"/>
              </w:rPr>
              <w:t xml:space="preserve">direcionados na replicação contínua (atraso de replicação no momento da perda) — a ser medido na aceitação</w:t>
            </w:r>
          </w:p>
        </w:tc>
      </w:tr>
    </w:tbl>
    <w:bookmarkEnd w:id="107"/>
    <w:bookmarkStart w:id="108" w:name="X0c112353828fbf0152a0ba6b2e9600518d13f71"/>
    <w:p>
      <w:pPr>
        <w:pStyle w:val="Heading3"/>
        <w:keepNext/>
        <w:keepLines/>
      </w:pPr>
      <w:r>
        <w:rPr>
          <w:color w:val="000000"/>
          <w:lang w:val="pt-PT"/>
        </w:rPr>
        <w:t xml:space="preserve">13.4 Retrocesso (retorno à Sala A após o reparo)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Descrição</w:t>
            </w:r>
          </w:p>
        </w:tc>
      </w:tr>
      <w:tr>
        <w:trPr>
          <w:cantSplit/>
        </w:trPr>
        <w:tc>
          <w:tcPr/>
          <w:p>
            <w:pPr>
              <w:pStyle w:val="Compact"/>
            </w:pPr>
            <w:r>
              <w:rPr>
                <w:lang w:val="pt-PT"/>
              </w:rPr>
              <w:t xml:space="preserve">Ações</w:t>
            </w:r>
          </w:p>
        </w:tc>
        <w:tc>
          <w:tcPr/>
          <w:p>
            <w:pPr>
              <w:pStyle w:val="Compact"/>
            </w:pPr>
            <w:r>
              <w:rPr>
                <w:lang w:val="pt-PT"/>
              </w:rPr>
              <w:t xml:space="preserve">1) Reconstrução do servidor da Sala A; 2) Ressincronização da Sala B (Sala A fica em standby); 3) Janela de manutenção programada; 4) Religação controlada VIP → Sala A; 5) Verificações</w:t>
            </w:r>
          </w:p>
        </w:tc>
      </w:tr>
      <w:tr>
        <w:trPr>
          <w:cantSplit/>
        </w:trPr>
        <w:tc>
          <w:tcPr/>
          <w:p>
            <w:pPr>
              <w:pStyle w:val="Compact"/>
            </w:pPr>
            <w:r>
              <w:rPr>
                <w:lang w:val="pt-PT"/>
              </w:rPr>
              <w:t xml:space="preserve">RTO</w:t>
            </w:r>
          </w:p>
        </w:tc>
        <w:tc>
          <w:tcPr/>
          <w:p>
            <w:pPr>
              <w:pStyle w:val="Compact"/>
            </w:pPr>
            <w:r>
              <w:rPr>
                <w:lang w:val="pt-PT"/>
              </w:rPr>
              <w:t xml:space="preserve">Operação planejada não incidente (janela de manutenção)</w:t>
            </w:r>
          </w:p>
        </w:tc>
      </w:tr>
      <w:tr>
        <w:trPr>
          <w:cantSplit/>
        </w:trPr>
        <w:tc>
          <w:tcPr/>
          <w:p>
            <w:pPr>
              <w:pStyle w:val="Compact"/>
            </w:pPr>
            <w:r>
              <w:rPr>
                <w:lang w:val="pt-PT"/>
              </w:rPr>
              <w:t xml:space="preserve">RPO</w:t>
            </w:r>
          </w:p>
        </w:tc>
        <w:tc>
          <w:tcPr/>
          <w:p>
            <w:pPr>
              <w:pStyle w:val="Compact"/>
            </w:pPr>
            <w:r>
              <w:rPr>
                <w:lang w:val="pt-PT"/>
              </w:rPr>
              <w:t xml:space="preserve">Zero (ressincronização completa antes de mudar novamente)</w:t>
            </w:r>
          </w:p>
        </w:tc>
      </w:tr>
    </w:tbl>
    <w:bookmarkEnd w:id="108"/>
    <w:bookmarkStart w:id="109" w:name="Xf800a4648e45167d2b37c9a2c67e34bc4c4cd7a"/>
    <w:p>
      <w:pPr>
        <w:pStyle w:val="Heading3"/>
        <w:keepNext/>
        <w:keepLines/>
      </w:pPr>
      <w:r>
        <w:rPr>
          <w:color w:val="000000"/>
          <w:lang w:val="pt-PT"/>
        </w:rPr>
        <w:t xml:space="preserve">13.5 Perda de ambas as salas → restauração de backups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Descrição</w:t>
            </w:r>
          </w:p>
        </w:tc>
      </w:tr>
      <w:tr>
        <w:trPr>
          <w:cantSplit/>
        </w:trPr>
        <w:tc>
          <w:tcPr/>
          <w:p>
            <w:pPr>
              <w:pStyle w:val="Compact"/>
            </w:pPr>
            <w:r>
              <w:rPr>
                <w:lang w:val="pt-PT"/>
              </w:rPr>
              <w:t xml:space="preserve">Detecção</w:t>
            </w:r>
          </w:p>
        </w:tc>
        <w:tc>
          <w:tcPr/>
          <w:p>
            <w:pPr>
              <w:pStyle w:val="Compact"/>
            </w:pPr>
            <w:r>
              <w:rPr>
                <w:lang w:val="pt-PT"/>
              </w:rPr>
              <w:t xml:space="preserve">Perda simultânea Sala A + Sala B (grande desastre)</w:t>
            </w:r>
          </w:p>
        </w:tc>
      </w:tr>
      <w:tr>
        <w:trPr>
          <w:cantSplit/>
        </w:trPr>
        <w:tc>
          <w:tcPr/>
          <w:p>
            <w:pPr>
              <w:pStyle w:val="Compact"/>
            </w:pPr>
            <w:r>
              <w:rPr>
                <w:lang w:val="pt-PT"/>
              </w:rPr>
              <w:t xml:space="preserve">Ações</w:t>
            </w:r>
          </w:p>
        </w:tc>
        <w:tc>
          <w:tcPr/>
          <w:p>
            <w:pPr>
              <w:pStyle w:val="Compact"/>
            </w:pPr>
            <w:r>
              <w:rPr>
                <w:lang w:val="pt-PT"/>
              </w:rPr>
              <w:t xml:space="preserve">1) Reconstrução de plataforma (local de fallback/equipamento de substituição); 2) Restauração </w:t>
            </w:r>
            <w:r>
              <w:rPr>
                <w:lang w:val="pt-PT"/>
              </w:rPr>
              <w:t xml:space="preserve"/>
            </w:r>
            <w:r>
              <w:rPr>
                <w:b/>
                <w:bCs/>
                <w:lang w:val="pt-PT"/>
              </w:rPr>
              <w:t xml:space="preserve">do último backup cifrado </w:t>
            </w:r>
            <w:r>
              <w:rPr>
                <w:lang w:val="pt-PT"/>
              </w:rPr>
              <w:t xml:space="preserve"/>
            </w:r>
            <w:r>
              <w:rPr>
                <w:lang w:val="pt-PT"/>
              </w:rPr>
              <w:t xml:space="preserve">(</w:t>
            </w:r>
            <w:r>
              <w:rPr>
                <w:rStyle w:val="VerbatimChar"/>
                <w:lang w:val="pt-PT"/>
              </w:rPr>
              <w:t xml:space="preserve">age</w:t>
            </w:r>
            <w:r>
              <w:rPr>
                <w:lang w:val="pt-PT"/>
              </w:rPr>
              <w:t xml:space="preserve">); 3) Verificação de integridade; 4) Recomissionamento</w:t>
            </w:r>
          </w:p>
        </w:tc>
      </w:tr>
      <w:tr>
        <w:trPr>
          <w:cantSplit/>
        </w:trPr>
        <w:tc>
          <w:tcPr/>
          <w:p>
            <w:pPr>
              <w:pStyle w:val="Compact"/>
            </w:pPr>
            <w:r>
              <w:rPr>
                <w:lang w:val="pt-PT"/>
              </w:rPr>
              <w:t xml:space="preserve">RTO estimado</w:t>
            </w:r>
          </w:p>
        </w:tc>
        <w:tc>
          <w:tcPr/>
          <w:p>
            <w:pPr>
              <w:pStyle w:val="Compact"/>
            </w:pPr>
            <w:r>
              <w:rPr>
                <w:lang w:val="pt-PT"/>
              </w:rPr>
              <w:t xml:space="preserve">Dependendo da disponibilidade de equipamentos de reposição — além do RTO nominal; a ser incluído no BCP do Cliente</w:t>
            </w:r>
          </w:p>
        </w:tc>
      </w:tr>
      <w:tr>
        <w:trPr>
          <w:cantSplit/>
        </w:trPr>
        <w:tc>
          <w:tcPr/>
          <w:p>
            <w:pPr>
              <w:pStyle w:val="Compact"/>
            </w:pPr>
            <w:r>
              <w:rPr>
                <w:lang w:val="pt-PT"/>
              </w:rPr>
              <w:t xml:space="preserve">RPO estimado</w:t>
            </w:r>
          </w:p>
        </w:tc>
        <w:tc>
          <w:tcPr/>
          <w:p>
            <w:pPr>
              <w:pStyle w:val="Compact"/>
            </w:pPr>
            <w:r>
              <w:rPr>
                <w:lang w:val="pt-PT"/>
              </w:rPr>
              <w:t xml:space="preserve">≤ 24 h (último backup diário)</w:t>
            </w:r>
          </w:p>
        </w:tc>
      </w:tr>
    </w:tbl>
    <w:bookmarkEnd w:id="109"/>
    <w:bookmarkStart w:id="110" w:name="X8f51d21c974d8a71fe085129d2f8a9a5e12289a"/>
    <w:p>
      <w:pPr>
        <w:pStyle w:val="Heading3"/>
        <w:keepNext/>
        <w:keepLines/>
      </w:pPr>
      <w:r>
        <w:rPr>
          <w:color w:val="000000"/>
          <w:lang w:val="pt-PT"/>
        </w:rPr>
        <w:t xml:space="preserve">13.6 Corrupção de dados → recuperação granular por organização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Descrição</w:t>
            </w:r>
          </w:p>
        </w:tc>
      </w:tr>
      <w:tr>
        <w:trPr>
          <w:cantSplit/>
        </w:trPr>
        <w:tc>
          <w:tcPr/>
          <w:p>
            <w:pPr>
              <w:pStyle w:val="Compact"/>
            </w:pPr>
            <w:r>
              <w:rPr>
                <w:lang w:val="pt-PT"/>
              </w:rPr>
              <w:t xml:space="preserve">Detecção</w:t>
            </w:r>
          </w:p>
        </w:tc>
        <w:tc>
          <w:tcPr/>
          <w:p>
            <w:pPr>
              <w:pStyle w:val="Compact"/>
            </w:pPr>
            <w:r>
              <w:rPr>
                <w:lang w:val="pt-PT"/>
              </w:rPr>
              <w:t xml:space="preserve">Anomalia de aplicativo, relatórios, verificação de integridade</w:t>
            </w:r>
          </w:p>
        </w:tc>
      </w:tr>
      <w:tr>
        <w:trPr>
          <w:cantSplit/>
        </w:trPr>
        <w:tc>
          <w:tcPr/>
          <w:p>
            <w:pPr>
              <w:pStyle w:val="Compact"/>
            </w:pPr>
            <w:r>
              <w:rPr>
                <w:lang w:val="pt-PT"/>
              </w:rPr>
              <w:t xml:space="preserve">Ações</w:t>
            </w:r>
          </w:p>
        </w:tc>
        <w:tc>
          <w:tcPr/>
          <w:p>
            <w:pPr>
              <w:pStyle w:val="Compact"/>
            </w:pPr>
            <w:r>
              <w:rPr>
                <w:lang w:val="pt-PT"/>
              </w:rPr>
              <w:t xml:space="preserve">1) </w:t>
            </w:r>
            <w:r>
              <w:rPr>
                <w:lang w:val="pt-PT"/>
              </w:rPr>
              <w:t xml:space="preserve"/>
            </w:r>
            <w:r>
              <w:rPr>
                <w:b/>
                <w:bCs/>
                <w:lang w:val="pt-PT"/>
              </w:rPr>
              <w:t xml:space="preserve">Instantâneo de </w:t>
            </w:r>
            <w:r>
              <w:rPr>
                <w:lang w:val="pt-PT"/>
              </w:rPr>
              <w:t xml:space="preserve"/>
            </w:r>
            <w:r>
              <w:rPr>
                <w:lang w:val="pt-PT"/>
              </w:rPr>
              <w:t xml:space="preserve">segurança do estado atual (anti-substituição); </w:t>
            </w:r>
            <w:r>
              <w:rPr>
                <w:lang w:val="pt-PT"/>
              </w:rPr>
              <w:t xml:space="preserve"/>
            </w:r>
            <w:r>
              <w:rPr>
                <w:b/>
                <w:bCs/>
                <w:lang w:val="pt-PT"/>
              </w:rPr>
              <w:t xml:space="preserve">2) Restauração </w:t>
            </w:r>
            <w:r>
              <w:rPr>
                <w:lang w:val="pt-PT"/>
              </w:rPr>
              <w:t xml:space="preserve">granular </w:t>
            </w:r>
            <w:r>
              <w:rPr>
                <w:lang w:val="pt-PT"/>
              </w:rPr>
              <w:t xml:space="preserve">do único esquema da organização em questão desde o backup; 3) Verificação; 4) Retomada</w:t>
            </w:r>
          </w:p>
        </w:tc>
      </w:tr>
      <w:tr>
        <w:trPr>
          <w:cantSplit/>
        </w:trPr>
        <w:tc>
          <w:tcPr/>
          <w:p>
            <w:pPr>
              <w:pStyle w:val="Compact"/>
            </w:pPr>
            <w:r>
              <w:rPr>
                <w:lang w:val="pt-PT"/>
              </w:rPr>
              <w:t xml:space="preserve">RTO estimado</w:t>
            </w:r>
          </w:p>
        </w:tc>
        <w:tc>
          <w:tcPr/>
          <w:p>
            <w:pPr>
              <w:pStyle w:val="Compact"/>
            </w:pPr>
            <w:r>
              <w:rPr>
                <w:lang w:val="pt-PT"/>
              </w:rPr>
              <w:t xml:space="preserve">Curto (âmbito limitado a uma organização)</w:t>
            </w:r>
          </w:p>
        </w:tc>
      </w:tr>
      <w:tr>
        <w:trPr>
          <w:cantSplit/>
        </w:trPr>
        <w:tc>
          <w:tcPr/>
          <w:p>
            <w:pPr>
              <w:pStyle w:val="Compact"/>
            </w:pPr>
            <w:r>
              <w:rPr>
                <w:lang w:val="pt-PT"/>
              </w:rPr>
              <w:t xml:space="preserve">RPO estimado</w:t>
            </w:r>
          </w:p>
        </w:tc>
        <w:tc>
          <w:tcPr/>
          <w:p>
            <w:pPr>
              <w:pStyle w:val="Compact"/>
            </w:pPr>
            <w:r>
              <w:rPr>
                <w:lang w:val="pt-PT"/>
              </w:rPr>
              <w:t xml:space="preserve">≤ 24 horas para a organização restaurada</w:t>
            </w:r>
          </w:p>
        </w:tc>
      </w:tr>
    </w:tbl>
    <w:bookmarkEnd w:id="110"/>
    <w:bookmarkStart w:id="111" w:name="Xab0150e8c530cf65f408bf7ec783496aba1e073"/>
    <w:p>
      <w:pPr>
        <w:pStyle w:val="Heading3"/>
        <w:keepNext/>
        <w:keepLines/>
      </w:pPr>
      <w:r>
        <w:rPr>
          <w:color w:val="000000"/>
          <w:lang w:val="pt-PT"/>
        </w:rPr>
        <w:t xml:space="preserve">13.7 Resumo dos objetivos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Cenário</w:t>
            </w:r>
          </w:p>
        </w:tc>
        <w:tc>
          <w:tcPr/>
          <w:p>
            <w:pPr>
              <w:pStyle w:val="Compact"/>
            </w:pPr>
            <w:r>
              <w:rPr>
                <w:lang w:val="pt-PT"/>
              </w:rPr>
              <w:t xml:space="preserve">RTO (objetivo)</w:t>
            </w:r>
          </w:p>
        </w:tc>
        <w:tc>
          <w:tcPr/>
          <w:p>
            <w:pPr>
              <w:pStyle w:val="Compact"/>
            </w:pPr>
            <w:r>
              <w:rPr>
                <w:lang w:val="pt-PT"/>
              </w:rPr>
              <w:t xml:space="preserve">RPO (objetivo)</w:t>
            </w:r>
          </w:p>
        </w:tc>
      </w:tr>
      <w:tr>
        <w:trPr>
          <w:cantSplit/>
        </w:trPr>
        <w:tc>
          <w:tcPr/>
          <w:p>
            <w:pPr>
              <w:pStyle w:val="Compact"/>
            </w:pPr>
            <w:r>
              <w:rPr>
                <w:lang w:val="pt-PT"/>
              </w:rPr>
              <w:t xml:space="preserve">Falha no serviço</w:t>
            </w:r>
          </w:p>
        </w:tc>
        <w:tc>
          <w:tcPr/>
          <w:p>
            <w:pPr>
              <w:pStyle w:val="Compact"/>
            </w:pPr>
            <w:r>
              <w:rPr>
                <w:lang w:val="pt-PT"/>
              </w:rPr>
              <w:t xml:space="preserve">Minutos</w:t>
            </w:r>
          </w:p>
        </w:tc>
        <w:tc>
          <w:tcPr/>
          <w:p>
            <w:pPr>
              <w:pStyle w:val="Compact"/>
            </w:pPr>
            <w:r>
              <w:rPr>
                <w:lang w:val="pt-PT"/>
              </w:rPr>
              <w:t xml:space="preserve">Nenhum</w:t>
            </w:r>
          </w:p>
        </w:tc>
      </w:tr>
      <w:tr>
        <w:trPr>
          <w:cantSplit/>
        </w:trPr>
        <w:tc>
          <w:tcPr/>
          <w:p>
            <w:pPr>
              <w:pStyle w:val="Compact"/>
            </w:pPr>
            <w:r>
              <w:rPr>
                <w:lang w:val="pt-PT"/>
              </w:rPr>
              <w:t xml:space="preserve">Falha no servidor de aplicativos (site disponível)</w:t>
            </w:r>
          </w:p>
        </w:tc>
        <w:tc>
          <w:tcPr/>
          <w:p>
            <w:pPr>
              <w:pStyle w:val="Compact"/>
            </w:pPr>
            <w:r>
              <w:rPr>
                <w:lang w:val="pt-PT"/>
              </w:rPr>
              <w:t xml:space="preserve">Dependendo da intervenção / &lt; 4 h</w:t>
            </w:r>
          </w:p>
        </w:tc>
        <w:tc>
          <w:tcPr/>
          <w:p>
            <w:pPr>
              <w:pStyle w:val="Compact"/>
            </w:pPr>
            <w:r>
              <w:rPr>
                <w:lang w:val="pt-PT"/>
              </w:rPr>
              <w:t xml:space="preserve">Nenhum</w:t>
            </w:r>
          </w:p>
        </w:tc>
      </w:tr>
      <w:tr>
        <w:trPr>
          <w:cantSplit/>
        </w:trPr>
        <w:tc>
          <w:tcPr/>
          <w:p>
            <w:pPr>
              <w:pStyle w:val="Compact"/>
            </w:pPr>
            <w:r>
              <w:rPr>
                <w:lang w:val="pt-PT"/>
              </w:rPr>
              <w:t xml:space="preserve">Sala de Perda A → Sala B</w:t>
            </w:r>
          </w:p>
        </w:tc>
        <w:tc>
          <w:tcPr/>
          <w:p>
            <w:pPr>
              <w:pStyle w:val="Compact"/>
            </w:pPr>
            <w:r>
              <w:rPr>
                <w:lang w:val="pt-PT"/>
              </w:rPr>
              <w:t xml:space="preserve">≤ 4 h</w:t>
            </w:r>
          </w:p>
        </w:tc>
        <w:tc>
          <w:tcPr/>
          <w:p>
            <w:pPr>
              <w:pStyle w:val="Compact"/>
            </w:pPr>
            <w:r>
              <w:rPr>
                <w:lang w:val="pt-PT"/>
              </w:rPr>
              <w:t xml:space="preserve">≤ 24 h (≤ 15 min direcionado)</w:t>
            </w:r>
          </w:p>
        </w:tc>
      </w:tr>
      <w:tr>
        <w:trPr>
          <w:cantSplit/>
        </w:trPr>
        <w:tc>
          <w:tcPr/>
          <w:p>
            <w:pPr>
              <w:pStyle w:val="Compact"/>
            </w:pPr>
            <w:r>
              <w:rPr>
                <w:lang w:val="pt-PT"/>
              </w:rPr>
              <w:t xml:space="preserve">Perda de ambos os quartos</w:t>
            </w:r>
          </w:p>
        </w:tc>
        <w:tc>
          <w:tcPr/>
          <w:p>
            <w:pPr>
              <w:pStyle w:val="Compact"/>
            </w:pPr>
            <w:r>
              <w:rPr>
                <w:lang w:val="pt-PT"/>
              </w:rPr>
              <w:t xml:space="preserve">De acordo com PCA (material)</w:t>
            </w:r>
          </w:p>
        </w:tc>
        <w:tc>
          <w:tcPr/>
          <w:p>
            <w:pPr>
              <w:pStyle w:val="Compact"/>
            </w:pPr>
            <w:r>
              <w:rPr>
                <w:lang w:val="pt-PT"/>
              </w:rPr>
              <w:t xml:space="preserve">≤ 24 h</w:t>
            </w:r>
          </w:p>
        </w:tc>
      </w:tr>
      <w:tr>
        <w:trPr>
          <w:cantSplit/>
        </w:trPr>
        <w:tc>
          <w:tcPr/>
          <w:p>
            <w:pPr>
              <w:pStyle w:val="Compact"/>
            </w:pPr>
            <w:r>
              <w:rPr>
                <w:lang w:val="pt-PT"/>
              </w:rPr>
              <w:t xml:space="preserve">Corrupção de dados</w:t>
            </w:r>
          </w:p>
        </w:tc>
        <w:tc>
          <w:tcPr/>
          <w:p>
            <w:pPr>
              <w:pStyle w:val="Compact"/>
            </w:pPr>
            <w:r>
              <w:rPr>
                <w:lang w:val="pt-PT"/>
              </w:rPr>
              <w:t xml:space="preserve">Curto (por organização)</w:t>
            </w:r>
          </w:p>
        </w:tc>
        <w:tc>
          <w:tcPr/>
          <w:p>
            <w:pPr>
              <w:pStyle w:val="Compact"/>
            </w:pPr>
            <w:r>
              <w:rPr>
                <w:lang w:val="pt-PT"/>
              </w:rPr>
              <w:t xml:space="preserve">≤ 24 h</w:t>
            </w:r>
          </w:p>
        </w:tc>
      </w:tr>
    </w:tbl>
    <w:p>
      <w:pPr>
        <w:pStyle w:val="BlockText"/>
      </w:pPr>
      <w:r>
        <w:rPr>
          <w:b/>
          <w:bCs/>
          <w:lang w:val="pt-PT"/>
        </w:rPr>
        <w:t xml:space="preserve">Esses objetivos são os da arquitetura alvo proposta. </w:t>
      </w:r>
      <w:r>
        <w:rPr>
          <w:lang w:val="pt-PT"/>
        </w:rPr>
        <w:t xml:space="preserve">Serão </w:t>
      </w:r>
      <w:r>
        <w:rPr>
          <w:lang w:val="pt-PT"/>
        </w:rPr>
        <w:t xml:space="preserve">medidos </w:t>
      </w:r>
      <w:r>
        <w:rPr>
          <w:lang w:val="pt-PT"/>
        </w:rPr>
        <w:t xml:space="preserve"/>
      </w:r>
      <w:r>
        <w:rPr>
          <w:b/>
          <w:bCs/>
          <w:lang w:val="pt-PT"/>
        </w:rPr>
        <w:t xml:space="preserve">e confirmados durante a aceitação </w:t>
      </w:r>
      <w:r>
        <w:rPr>
          <w:lang w:val="pt-PT"/>
        </w:rPr>
        <w:t xml:space="preserve">(T-BASCULE) </w:t>
      </w:r>
      <w:r>
        <w:rPr>
          <w:lang w:val="pt-PT"/>
        </w:rPr>
        <w:t xml:space="preserve">e podem ser ajustados de acordo com os resultados e meios (ligação entre salas, equipamentos de emergência).</w:t>
      </w:r>
    </w:p>
    <w:p>
      <w:r>
        <w:pict>
          <v:rect style="width:0;height:1.5pt" o:hralign="center" o:hrstd="t" o:hr="t"/>
        </w:pict>
      </w:r>
    </w:p>
    <w:bookmarkEnd w:id="111"/>
    <w:bookmarkEnd w:id="112"/>
    <w:bookmarkStart w:id="116" w:name="X2f5a1a697d4c1c8fe9634558c50a36354f6522c"/>
    <w:p>
      <w:pPr>
        <w:pStyle w:val="Heading2"/>
        <w:keepNext/>
        <w:keepLines/>
      </w:pPr>
      <w:r>
        <w:rPr>
          <w:color w:val="000000"/>
          <w:lang w:val="pt-PT"/>
        </w:rPr>
        <w:t xml:space="preserve">14. Apêndices</w:t>
      </w:r>
    </w:p>
    <w:bookmarkStart w:id="113" w:name="Xd23377173af404aa1eba5db94a998251a2aa49d"/>
    <w:p>
      <w:pPr>
        <w:pStyle w:val="Heading3"/>
        <w:keepNext/>
        <w:keepLines/>
      </w:pPr>
      <w:r>
        <w:rPr>
          <w:color w:val="000000"/>
          <w:lang w:val="pt-PT"/>
        </w:rPr>
        <w:t xml:space="preserve">Apêndice A — Resumo da Porta (Referência Rápida)</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pt-PT"/>
              </w:rPr>
              <w:t xml:space="preserve">Serviço</w:t>
            </w:r>
          </w:p>
        </w:tc>
        <w:tc>
          <w:tcPr>
            <w:tcW w:type="dxa" w:w="2340"/>
            <w:tcMar>
              <w:left w:type="dxa" w:w="80"/>
              <w:right w:type="dxa" w:w="80"/>
            </w:tcMar>
          </w:tcPr>
          <w:p>
            <w:pPr>
              <w:pStyle w:val="Compact"/>
            </w:pPr>
            <w:r>
              <w:rPr>
                <w:sz w:val="19"/>
                <w:szCs w:val="19"/>
                <w:lang w:val="pt-PT"/>
              </w:rPr>
              <w:t xml:space="preserve">Porta</w:t>
            </w:r>
          </w:p>
        </w:tc>
        <w:tc>
          <w:tcPr>
            <w:tcW w:type="dxa" w:w="2340"/>
            <w:tcMar>
              <w:left w:type="dxa" w:w="80"/>
              <w:right w:type="dxa" w:w="80"/>
            </w:tcMar>
          </w:tcPr>
          <w:p>
            <w:pPr>
              <w:pStyle w:val="Compact"/>
            </w:pPr>
            <w:r>
              <w:rPr>
                <w:sz w:val="19"/>
                <w:szCs w:val="19"/>
                <w:lang w:val="pt-PT"/>
              </w:rPr>
              <w:t xml:space="preserve">Protocolo</w:t>
            </w:r>
          </w:p>
        </w:tc>
        <w:tc>
          <w:tcPr>
            <w:tcW w:type="dxa" w:w="2340"/>
            <w:tcMar>
              <w:left w:type="dxa" w:w="80"/>
              <w:right w:type="dxa" w:w="80"/>
            </w:tcMar>
          </w:tcPr>
          <w:p>
            <w:pPr>
              <w:pStyle w:val="Compact"/>
            </w:pPr>
            <w:r>
              <w:rPr>
                <w:sz w:val="19"/>
                <w:szCs w:val="19"/>
                <w:lang w:val="pt-PT"/>
              </w:rPr>
              <w:t xml:space="preserve">Exposição</w:t>
            </w:r>
          </w:p>
        </w:tc>
      </w:tr>
      <w:tr>
        <w:trPr>
          <w:cantSplit/>
        </w:trPr>
        <w:tc>
          <w:tcPr>
            <w:tcW w:type="dxa" w:w="2340"/>
            <w:tcMar>
              <w:left w:type="dxa" w:w="80"/>
              <w:right w:type="dxa" w:w="80"/>
            </w:tcMar>
          </w:tcPr>
          <w:p>
            <w:pPr>
              <w:pStyle w:val="Compact"/>
            </w:pPr>
            <w:r>
              <w:rPr>
                <w:sz w:val="19"/>
                <w:szCs w:val="19"/>
                <w:lang w:val="pt-PT"/>
              </w:rPr>
              <w:t xml:space="preserve">HTTPS do utilizador</w:t>
            </w:r>
          </w:p>
        </w:tc>
        <w:tc>
          <w:tcPr>
            <w:tcW w:type="dxa" w:w="2340"/>
            <w:tcMar>
              <w:left w:type="dxa" w:w="80"/>
              <w:right w:type="dxa" w:w="80"/>
            </w:tcMar>
          </w:tcPr>
          <w:p>
            <w:pPr>
              <w:pStyle w:val="Compact"/>
            </w:pPr>
            <w:r>
              <w:rPr>
                <w:sz w:val="19"/>
                <w:szCs w:val="19"/>
                <w:lang w:val="pt-PT"/>
              </w:rPr>
              <w:t xml:space="preserve">443</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Externo (VIP)</w:t>
            </w:r>
          </w:p>
        </w:tc>
      </w:tr>
      <w:tr>
        <w:trPr>
          <w:cantSplit/>
        </w:trPr>
        <w:tc>
          <w:tcPr>
            <w:tcW w:type="dxa" w:w="2340"/>
            <w:tcMar>
              <w:left w:type="dxa" w:w="80"/>
              <w:right w:type="dxa" w:w="80"/>
            </w:tcMar>
          </w:tcPr>
          <w:p>
            <w:pPr>
              <w:pStyle w:val="Compact"/>
            </w:pPr>
            <w:r>
              <w:rPr>
                <w:sz w:val="19"/>
                <w:szCs w:val="19"/>
                <w:lang w:val="pt-PT"/>
              </w:rPr>
              <w:t xml:space="preserve">HTTP (redirecionamento)</w:t>
            </w:r>
          </w:p>
        </w:tc>
        <w:tc>
          <w:tcPr>
            <w:tcW w:type="dxa" w:w="2340"/>
            <w:tcMar>
              <w:left w:type="dxa" w:w="80"/>
              <w:right w:type="dxa" w:w="80"/>
            </w:tcMar>
          </w:tcPr>
          <w:p>
            <w:pPr>
              <w:pStyle w:val="Compact"/>
            </w:pPr>
            <w:r>
              <w:rPr>
                <w:sz w:val="19"/>
                <w:szCs w:val="19"/>
                <w:lang w:val="pt-PT"/>
              </w:rPr>
              <w:t xml:space="preserve">80</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Externo (VIP) → 443</w:t>
            </w:r>
          </w:p>
        </w:tc>
      </w:tr>
      <w:tr>
        <w:trPr>
          <w:cantSplit/>
        </w:trPr>
        <w:tc>
          <w:tcPr>
            <w:tcW w:type="dxa" w:w="2340"/>
            <w:tcMar>
              <w:left w:type="dxa" w:w="80"/>
              <w:right w:type="dxa" w:w="80"/>
            </w:tcMar>
          </w:tcPr>
          <w:p>
            <w:pPr>
              <w:pStyle w:val="Compact"/>
            </w:pPr>
            <w:r>
              <w:rPr>
                <w:sz w:val="19"/>
                <w:szCs w:val="19"/>
                <w:lang w:val="pt-PT"/>
              </w:rPr>
              <w:t xml:space="preserve">PHP-FPM (app)</w:t>
            </w:r>
          </w:p>
        </w:tc>
        <w:tc>
          <w:tcPr>
            <w:tcW w:type="dxa" w:w="2340"/>
            <w:tcMar>
              <w:left w:type="dxa" w:w="80"/>
              <w:right w:type="dxa" w:w="80"/>
            </w:tcMar>
          </w:tcPr>
          <w:p>
            <w:pPr>
              <w:pStyle w:val="Compact"/>
            </w:pPr>
            <w:r>
              <w:rPr>
                <w:sz w:val="19"/>
                <w:szCs w:val="19"/>
                <w:lang w:val="pt-PT"/>
              </w:rPr>
              <w:t xml:space="preserve">9000</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Recipientes internos</w:t>
            </w:r>
          </w:p>
        </w:tc>
      </w:tr>
      <w:tr>
        <w:trPr>
          <w:cantSplit/>
        </w:trPr>
        <w:tc>
          <w:tcPr>
            <w:tcW w:type="dxa" w:w="2340"/>
            <w:tcMar>
              <w:left w:type="dxa" w:w="80"/>
              <w:right w:type="dxa" w:w="80"/>
            </w:tcMar>
          </w:tcPr>
          <w:p>
            <w:pPr>
              <w:pStyle w:val="Compact"/>
            </w:pPr>
            <w:r>
              <w:rPr>
                <w:sz w:val="19"/>
                <w:szCs w:val="19"/>
                <w:lang w:val="pt-PT"/>
              </w:rPr>
              <w:t xml:space="preserve">Interface</w:t>
            </w:r>
          </w:p>
        </w:tc>
        <w:tc>
          <w:tcPr>
            <w:tcW w:type="dxa" w:w="2340"/>
            <w:tcMar>
              <w:left w:type="dxa" w:w="80"/>
              <w:right w:type="dxa" w:w="80"/>
            </w:tcMar>
          </w:tcPr>
          <w:p>
            <w:pPr>
              <w:pStyle w:val="Compact"/>
            </w:pPr>
            <w:r>
              <w:rPr>
                <w:sz w:val="19"/>
                <w:szCs w:val="19"/>
                <w:lang w:val="pt-PT"/>
              </w:rPr>
              <w:t xml:space="preserve">5173</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Recipientes internos</w:t>
            </w:r>
          </w:p>
        </w:tc>
      </w:tr>
      <w:tr>
        <w:trPr>
          <w:cantSplit/>
        </w:trPr>
        <w:tc>
          <w:tcPr>
            <w:tcW w:type="dxa" w:w="2340"/>
            <w:tcMar>
              <w:left w:type="dxa" w:w="80"/>
              <w:right w:type="dxa" w:w="80"/>
            </w:tcMar>
          </w:tcPr>
          <w:p>
            <w:pPr>
              <w:pStyle w:val="Compact"/>
            </w:pPr>
            <w:r>
              <w:rPr>
                <w:sz w:val="19"/>
                <w:szCs w:val="19"/>
                <w:lang w:val="pt-PT"/>
              </w:rPr>
              <w:t xml:space="preserve">Reverb (WebSocket)</w:t>
            </w:r>
          </w:p>
        </w:tc>
        <w:tc>
          <w:tcPr>
            <w:tcW w:type="dxa" w:w="2340"/>
            <w:tcMar>
              <w:left w:type="dxa" w:w="80"/>
              <w:right w:type="dxa" w:w="80"/>
            </w:tcMar>
          </w:tcPr>
          <w:p>
            <w:pPr>
              <w:pStyle w:val="Compact"/>
            </w:pPr>
            <w:r>
              <w:rPr>
                <w:sz w:val="19"/>
                <w:szCs w:val="19"/>
                <w:lang w:val="pt-PT"/>
              </w:rPr>
              <w:t xml:space="preserve">8080</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Recipientes internos</w:t>
            </w:r>
          </w:p>
        </w:tc>
      </w:tr>
      <w:tr>
        <w:trPr>
          <w:cantSplit/>
        </w:trPr>
        <w:tc>
          <w:tcPr>
            <w:tcW w:type="dxa" w:w="2340"/>
            <w:tcMar>
              <w:left w:type="dxa" w:w="80"/>
              <w:right w:type="dxa" w:w="80"/>
            </w:tcMar>
          </w:tcPr>
          <w:p>
            <w:pPr>
              <w:pStyle w:val="Compact"/>
            </w:pPr>
            <w:r>
              <w:rPr>
                <w:sz w:val="19"/>
                <w:szCs w:val="19"/>
                <w:lang w:val="pt-PT"/>
              </w:rPr>
              <w:t xml:space="preserve">PostgreSQL</w:t>
            </w:r>
          </w:p>
        </w:tc>
        <w:tc>
          <w:tcPr>
            <w:tcW w:type="dxa" w:w="2340"/>
            <w:tcMar>
              <w:left w:type="dxa" w:w="80"/>
              <w:right w:type="dxa" w:w="80"/>
            </w:tcMar>
          </w:tcPr>
          <w:p>
            <w:pPr>
              <w:pStyle w:val="Compact"/>
            </w:pPr>
            <w:r>
              <w:rPr>
                <w:sz w:val="19"/>
                <w:szCs w:val="19"/>
                <w:lang w:val="pt-PT"/>
              </w:rPr>
              <w:t xml:space="preserve">5432</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Interno (127.0.0.1) + replicação entre salas</w:t>
            </w:r>
          </w:p>
        </w:tc>
      </w:tr>
      <w:tr>
        <w:trPr>
          <w:cantSplit/>
        </w:trPr>
        <w:tc>
          <w:tcPr>
            <w:tcW w:type="dxa" w:w="2340"/>
            <w:tcMar>
              <w:left w:type="dxa" w:w="80"/>
              <w:right w:type="dxa" w:w="80"/>
            </w:tcMar>
          </w:tcPr>
          <w:p>
            <w:pPr>
              <w:pStyle w:val="Compact"/>
            </w:pPr>
            <w:r>
              <w:rPr>
                <w:sz w:val="19"/>
                <w:szCs w:val="19"/>
                <w:lang w:val="pt-PT"/>
              </w:rPr>
              <w:t xml:space="preserve">Redis</w:t>
            </w:r>
          </w:p>
        </w:tc>
        <w:tc>
          <w:tcPr>
            <w:tcW w:type="dxa" w:w="2340"/>
            <w:tcMar>
              <w:left w:type="dxa" w:w="80"/>
              <w:right w:type="dxa" w:w="80"/>
            </w:tcMar>
          </w:tcPr>
          <w:p>
            <w:pPr>
              <w:pStyle w:val="Compact"/>
            </w:pPr>
            <w:r>
              <w:rPr>
                <w:sz w:val="19"/>
                <w:szCs w:val="19"/>
                <w:lang w:val="pt-PT"/>
              </w:rPr>
              <w:t xml:space="preserve">6379</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Interno (127.0.0.1)</w:t>
            </w:r>
          </w:p>
        </w:tc>
      </w:tr>
      <w:tr>
        <w:trPr>
          <w:cantSplit/>
        </w:trPr>
        <w:tc>
          <w:tcPr>
            <w:tcW w:type="dxa" w:w="2340"/>
            <w:tcMar>
              <w:left w:type="dxa" w:w="80"/>
              <w:right w:type="dxa" w:w="80"/>
            </w:tcMar>
          </w:tcPr>
          <w:p>
            <w:pPr>
              <w:pStyle w:val="Compact"/>
            </w:pPr>
            <w:r>
              <w:rPr>
                <w:sz w:val="19"/>
                <w:szCs w:val="19"/>
                <w:lang w:val="pt-PT"/>
              </w:rPr>
              <w:t xml:space="preserve">ClamAV</w:t>
            </w:r>
          </w:p>
        </w:tc>
        <w:tc>
          <w:tcPr>
            <w:tcW w:type="dxa" w:w="2340"/>
            <w:tcMar>
              <w:left w:type="dxa" w:w="80"/>
              <w:right w:type="dxa" w:w="80"/>
            </w:tcMar>
          </w:tcPr>
          <w:p>
            <w:pPr>
              <w:pStyle w:val="Compact"/>
            </w:pPr>
            <w:r>
              <w:rPr>
                <w:sz w:val="19"/>
                <w:szCs w:val="19"/>
                <w:lang w:val="pt-PT"/>
              </w:rPr>
              <w:t xml:space="preserve">3310</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Recipientes internos</w:t>
            </w:r>
          </w:p>
        </w:tc>
      </w:tr>
      <w:tr>
        <w:trPr>
          <w:cantSplit/>
        </w:trPr>
        <w:tc>
          <w:tcPr>
            <w:tcW w:type="dxa" w:w="2340"/>
            <w:tcMar>
              <w:left w:type="dxa" w:w="80"/>
              <w:right w:type="dxa" w:w="80"/>
            </w:tcMar>
          </w:tcPr>
          <w:p>
            <w:pPr>
              <w:pStyle w:val="Compact"/>
            </w:pPr>
            <w:r>
              <w:rPr>
                <w:sz w:val="19"/>
                <w:szCs w:val="19"/>
                <w:lang w:val="pt-PT"/>
              </w:rPr>
              <w:t xml:space="preserve">LLM local (servidor vLLM — Qwen 3.6 / Mistral)</w:t>
            </w:r>
          </w:p>
        </w:tc>
        <w:tc>
          <w:tcPr>
            <w:tcW w:type="dxa" w:w="2340"/>
            <w:tcMar>
              <w:left w:type="dxa" w:w="80"/>
              <w:right w:type="dxa" w:w="80"/>
            </w:tcMar>
          </w:tcPr>
          <w:p>
            <w:pPr>
              <w:pStyle w:val="Compact"/>
            </w:pPr>
            <w:r>
              <w:rPr>
                <w:rStyle w:val="VerbatimChar"/>
                <w:sz w:val="19"/>
                <w:szCs w:val="19"/>
                <w:lang w:val="pt-PT"/>
              </w:rPr>
              <w:t xml:space="preserve">8000</w:t>
            </w:r>
            <w:r>
              <w:rPr>
                <w:sz w:val="19"/>
                <w:szCs w:val="19"/>
                <w:lang w:val="pt-PT"/>
              </w:rPr>
              <w:t xml:space="preserve"> </w:t>
            </w:r>
            <w:r>
              <w:rPr>
                <w:rStyle w:val="VerbatimChar"/>
                <w:sz w:val="19"/>
                <w:szCs w:val="19"/>
                <w:lang w:val="pt-PT"/>
              </w:rPr>
              <w:t xml:space="preserve">[a ser confirmado]</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Interno</w:t>
            </w:r>
          </w:p>
        </w:tc>
      </w:tr>
      <w:tr>
        <w:trPr>
          <w:cantSplit/>
        </w:trPr>
        <w:tc>
          <w:tcPr>
            <w:tcW w:type="dxa" w:w="2340"/>
            <w:tcMar>
              <w:left w:type="dxa" w:w="80"/>
              <w:right w:type="dxa" w:w="80"/>
            </w:tcMar>
          </w:tcPr>
          <w:p>
            <w:pPr>
              <w:pStyle w:val="Compact"/>
            </w:pPr>
            <w:r>
              <w:rPr>
                <w:sz w:val="19"/>
                <w:szCs w:val="19"/>
                <w:lang w:val="pt-PT"/>
              </w:rPr>
              <w:t xml:space="preserve">SSH (admin + sincronização)</w:t>
            </w:r>
          </w:p>
        </w:tc>
        <w:tc>
          <w:tcPr>
            <w:tcW w:type="dxa" w:w="2340"/>
            <w:tcMar>
              <w:left w:type="dxa" w:w="80"/>
              <w:right w:type="dxa" w:w="80"/>
            </w:tcMar>
          </w:tcPr>
          <w:p>
            <w:pPr>
              <w:pStyle w:val="Compact"/>
            </w:pPr>
            <w:r>
              <w:rPr>
                <w:sz w:val="19"/>
                <w:szCs w:val="19"/>
                <w:lang w:val="pt-PT"/>
              </w:rPr>
              <w:t xml:space="preserve">22</w:t>
            </w:r>
          </w:p>
        </w:tc>
        <w:tc>
          <w:tcPr>
            <w:tcW w:type="dxa" w:w="2340"/>
            <w:tcMar>
              <w:left w:type="dxa" w:w="80"/>
              <w:right w:type="dxa" w:w="80"/>
            </w:tcMar>
          </w:tcPr>
          <w:p>
            <w:pPr>
              <w:pStyle w:val="Compact"/>
            </w:pPr>
            <w:r>
              <w:rPr>
                <w:sz w:val="19"/>
                <w:szCs w:val="19"/>
                <w:lang w:val="pt-PT"/>
              </w:rPr>
              <w:t xml:space="preserve">TCP</w:t>
            </w:r>
          </w:p>
        </w:tc>
        <w:tc>
          <w:tcPr>
            <w:tcW w:type="dxa" w:w="2340"/>
            <w:tcMar>
              <w:left w:type="dxa" w:w="80"/>
              <w:right w:type="dxa" w:w="80"/>
            </w:tcMar>
          </w:tcPr>
          <w:p>
            <w:pPr>
              <w:pStyle w:val="Compact"/>
            </w:pPr>
            <w:r>
              <w:rPr>
                <w:sz w:val="19"/>
                <w:szCs w:val="19"/>
                <w:lang w:val="pt-PT"/>
              </w:rPr>
              <w:t xml:space="preserve">Admin/VLAN entre salas</w:t>
            </w:r>
          </w:p>
        </w:tc>
      </w:tr>
      <w:tr>
        <w:trPr>
          <w:cantSplit/>
        </w:trPr>
        <w:tc>
          <w:tcPr>
            <w:tcW w:type="dxa" w:w="2340"/>
            <w:tcMar>
              <w:left w:type="dxa" w:w="80"/>
              <w:right w:type="dxa" w:w="80"/>
            </w:tcMar>
          </w:tcPr>
          <w:p>
            <w:pPr>
              <w:pStyle w:val="Compact"/>
            </w:pPr>
            <w:r>
              <w:rPr>
                <w:sz w:val="19"/>
                <w:szCs w:val="19"/>
                <w:lang w:val="pt-PT"/>
              </w:rPr>
              <w:t xml:space="preserve">NTP</w:t>
            </w:r>
          </w:p>
        </w:tc>
        <w:tc>
          <w:tcPr>
            <w:tcW w:type="dxa" w:w="2340"/>
            <w:tcMar>
              <w:left w:type="dxa" w:w="80"/>
              <w:right w:type="dxa" w:w="80"/>
            </w:tcMar>
          </w:tcPr>
          <w:p>
            <w:pPr>
              <w:pStyle w:val="Compact"/>
            </w:pPr>
            <w:r>
              <w:rPr>
                <w:sz w:val="19"/>
                <w:szCs w:val="19"/>
                <w:lang w:val="pt-PT"/>
              </w:rPr>
              <w:t xml:space="preserve">123</w:t>
            </w:r>
          </w:p>
        </w:tc>
        <w:tc>
          <w:tcPr>
            <w:tcW w:type="dxa" w:w="2340"/>
            <w:tcMar>
              <w:left w:type="dxa" w:w="80"/>
              <w:right w:type="dxa" w:w="80"/>
            </w:tcMar>
          </w:tcPr>
          <w:p>
            <w:pPr>
              <w:pStyle w:val="Compact"/>
            </w:pPr>
            <w:r>
              <w:rPr>
                <w:sz w:val="19"/>
                <w:szCs w:val="19"/>
                <w:lang w:val="pt-PT"/>
              </w:rPr>
              <w:t xml:space="preserve">UDP</w:t>
            </w:r>
          </w:p>
        </w:tc>
        <w:tc>
          <w:tcPr>
            <w:tcW w:type="dxa" w:w="2340"/>
            <w:tcMar>
              <w:left w:type="dxa" w:w="80"/>
              <w:right w:type="dxa" w:w="80"/>
            </w:tcMar>
          </w:tcPr>
          <w:p>
            <w:pPr>
              <w:pStyle w:val="Compact"/>
            </w:pPr>
            <w:r>
              <w:rPr>
                <w:sz w:val="19"/>
                <w:szCs w:val="19"/>
                <w:lang w:val="pt-PT"/>
              </w:rPr>
              <w:t xml:space="preserve">Interno</w:t>
            </w:r>
          </w:p>
        </w:tc>
      </w:tr>
      <w:tr>
        <w:trPr>
          <w:cantSplit/>
        </w:trPr>
        <w:tc>
          <w:tcPr>
            <w:tcW w:type="dxa" w:w="2340"/>
            <w:tcMar>
              <w:left w:type="dxa" w:w="80"/>
              <w:right w:type="dxa" w:w="80"/>
            </w:tcMar>
          </w:tcPr>
          <w:p>
            <w:pPr>
              <w:pStyle w:val="Compact"/>
            </w:pPr>
            <w:r>
              <w:rPr>
                <w:sz w:val="19"/>
                <w:szCs w:val="19"/>
                <w:lang w:val="pt-PT"/>
              </w:rPr>
              <w:t xml:space="preserve">DNS</w:t>
            </w:r>
          </w:p>
        </w:tc>
        <w:tc>
          <w:tcPr>
            <w:tcW w:type="dxa" w:w="2340"/>
            <w:tcMar>
              <w:left w:type="dxa" w:w="80"/>
              <w:right w:type="dxa" w:w="80"/>
            </w:tcMar>
          </w:tcPr>
          <w:p>
            <w:pPr>
              <w:pStyle w:val="Compact"/>
            </w:pPr>
            <w:r>
              <w:rPr>
                <w:sz w:val="19"/>
                <w:szCs w:val="19"/>
                <w:lang w:val="pt-PT"/>
              </w:rPr>
              <w:t xml:space="preserve">53</w:t>
            </w:r>
          </w:p>
        </w:tc>
        <w:tc>
          <w:tcPr>
            <w:tcW w:type="dxa" w:w="2340"/>
            <w:tcMar>
              <w:left w:type="dxa" w:w="80"/>
              <w:right w:type="dxa" w:w="80"/>
            </w:tcMar>
          </w:tcPr>
          <w:p>
            <w:pPr>
              <w:pStyle w:val="Compact"/>
            </w:pPr>
            <w:r>
              <w:rPr>
                <w:sz w:val="19"/>
                <w:szCs w:val="19"/>
                <w:lang w:val="pt-PT"/>
              </w:rPr>
              <w:t xml:space="preserve">UDP/TCP</w:t>
            </w:r>
          </w:p>
        </w:tc>
        <w:tc>
          <w:tcPr>
            <w:tcW w:type="dxa" w:w="2340"/>
            <w:tcMar>
              <w:left w:type="dxa" w:w="80"/>
              <w:right w:type="dxa" w:w="80"/>
            </w:tcMar>
          </w:tcPr>
          <w:p>
            <w:pPr>
              <w:pStyle w:val="Compact"/>
            </w:pPr>
            <w:r>
              <w:rPr>
                <w:sz w:val="19"/>
                <w:szCs w:val="19"/>
                <w:lang w:val="pt-PT"/>
              </w:rPr>
              <w:t xml:space="preserve">Interno</w:t>
            </w:r>
          </w:p>
        </w:tc>
      </w:tr>
    </w:tbl>
    <w:bookmarkEnd w:id="113"/>
    <w:bookmarkStart w:id="114" w:name="X0a63523dbed992b41d2648ba2d0656d18841876"/>
    <w:p>
      <w:pPr>
        <w:pStyle w:val="Heading3"/>
        <w:keepNext/>
        <w:keepLines/>
      </w:pPr>
      <w:r>
        <w:rPr>
          <w:color w:val="000000"/>
          <w:lang w:val="pt-PT"/>
        </w:rPr>
        <w:t xml:space="preserve">Anexo B — Elementos a fornecer pelo departamento de TI do Cliente</w:t>
      </w:r>
    </w:p>
    <w:p>
      <w:pPr>
        <w:pStyle w:val="Compact"/>
        <w:numPr>
          <w:ilvl w:val="0"/>
          <w:numId w:val="1027"/>
        </w:numPr>
      </w:pPr>
      <w:r>
        <w:rPr>
          <w:lang w:val="pt-PT"/>
        </w:rPr>
        <w:t xml:space="preserve">Plano de endereçamento IP real e números de VLAN (§8, §10).</w:t>
      </w:r>
    </w:p>
    <w:p>
      <w:pPr>
        <w:pStyle w:val="Compact"/>
        <w:numPr>
          <w:ilvl w:val="0"/>
          <w:numId w:val="1027"/>
        </w:numPr>
      </w:pPr>
      <w:r>
        <w:rPr>
          <w:lang w:val="pt-PT"/>
        </w:rPr>
        <w:t xml:space="preserve">Locais de bay e atribuição de inversores (§4).</w:t>
      </w:r>
    </w:p>
    <w:p>
      <w:pPr>
        <w:pStyle w:val="Compact"/>
        <w:numPr>
          <w:ilvl w:val="0"/>
          <w:numId w:val="1027"/>
        </w:numPr>
      </w:pPr>
      <w:r>
        <w:rPr>
          <w:lang w:val="pt-PT"/>
        </w:rPr>
        <w:t xml:space="preserve">Características da ligação entre salas Sala A ↔ Sala B (§6, §9).</w:t>
      </w:r>
    </w:p>
    <w:p>
      <w:pPr>
        <w:pStyle w:val="Compact"/>
        <w:numPr>
          <w:ilvl w:val="0"/>
          <w:numId w:val="1027"/>
        </w:numPr>
      </w:pPr>
      <w:r>
        <w:rPr>
          <w:lang w:val="pt-PT"/>
        </w:rPr>
        <w:t xml:space="preserve">Política interna e PKI (certificados TLS) (§11.3).</w:t>
      </w:r>
    </w:p>
    <w:p>
      <w:pPr>
        <w:pStyle w:val="Compact"/>
        <w:numPr>
          <w:ilvl w:val="0"/>
          <w:numId w:val="1027"/>
        </w:numPr>
      </w:pPr>
      <w:r>
        <w:rPr>
          <w:lang w:val="pt-PT"/>
        </w:rPr>
        <w:t xml:space="preserve">Volume alvo e retenção (§9).</w:t>
      </w:r>
    </w:p>
    <w:p>
      <w:pPr>
        <w:pStyle w:val="Compact"/>
        <w:numPr>
          <w:ilvl w:val="0"/>
          <w:numId w:val="1027"/>
        </w:numPr>
      </w:pPr>
      <w:r>
        <w:rPr>
          <w:lang w:val="pt-PT"/>
        </w:rPr>
        <w:t xml:space="preserve">Escolha final do equipamento (documentação do fornecedor em anexo) (§5).</w:t>
      </w:r>
    </w:p>
    <w:p>
      <w:pPr>
        <w:pStyle w:val="Compact"/>
        <w:numPr>
          <w:ilvl w:val="0"/>
          <w:numId w:val="1027"/>
        </w:numPr>
      </w:pPr>
      <w:r>
        <w:rPr>
          <w:lang w:val="pt-PT"/>
        </w:rPr>
        <w:t xml:space="preserve">Versões exatas de modelos de pesos abertos LLM (Qwen 3.6 ou Mistral) servidos por vLLM e confirmação de porta (padrão 8000/TCP) (§5.2, §12.2).</w:t>
      </w:r>
    </w:p>
    <w:p>
      <w:pPr>
        <w:pStyle w:val="Compact"/>
        <w:numPr>
          <w:ilvl w:val="0"/>
          <w:numId w:val="1027"/>
        </w:numPr>
      </w:pPr>
      <w:r>
        <w:rPr>
          <w:lang w:val="pt-PT"/>
        </w:rPr>
        <w:t xml:space="preserve">Procedimento de atualização offline (repositório local, assinaturas ClamAV) (§11.5).</w:t>
      </w:r>
    </w:p>
    <w:p>
      <w:pPr>
        <w:pStyle w:val="Compact"/>
        <w:numPr>
          <w:ilvl w:val="0"/>
          <w:numId w:val="1027"/>
        </w:numPr>
      </w:pPr>
      <w:r>
        <w:rPr>
          <w:lang w:val="pt-PT"/>
        </w:rPr>
        <w:t xml:space="preserve">Possível necessidade de integração SSO/LDAP (§1.4).</w:t>
      </w:r>
    </w:p>
    <w:bookmarkEnd w:id="114"/>
    <w:bookmarkStart w:id="115" w:name="annexe-c--références-documentaires"/>
    <w:p>
      <w:pPr>
        <w:pStyle w:val="Heading3"/>
        <w:keepNext/>
        <w:keepLines/>
      </w:pPr>
      <w:r>
        <w:rPr>
          <w:color w:val="000000"/>
          <w:lang w:val="pt-PT"/>
        </w:rPr>
        <w:t xml:space="preserve">Apêndice C — Referências documentais</w:t>
      </w:r>
    </w:p>
    <w:p>
      <w:pPr>
        <w:pStyle w:val="Compact"/>
        <w:numPr>
          <w:ilvl w:val="0"/>
          <w:numId w:val="1028"/>
        </w:numPr>
      </w:pPr>
      <w:r>
        <w:rPr>
          <w:rStyle w:val="VerbatimChar"/>
          <w:lang w:val="pt-PT"/>
        </w:rPr>
        <w:t xml:space="preserve">02_Dossier_Exploitation.md</w:t>
      </w:r>
      <w:r>
        <w:rPr>
          <w:lang w:val="pt-PT"/>
        </w:rPr>
        <w:t xml:space="preserve"> </w:t>
      </w:r>
      <w:r>
        <w:rPr>
          <w:lang w:val="pt-PT"/>
        </w:rPr>
        <w:t xml:space="preserve">— operação atual.</w:t>
      </w:r>
    </w:p>
    <w:p>
      <w:pPr>
        <w:pStyle w:val="Compact"/>
        <w:numPr>
          <w:ilvl w:val="0"/>
          <w:numId w:val="1028"/>
        </w:numPr>
      </w:pPr>
      <w:r>
        <w:rPr>
          <w:rStyle w:val="VerbatimChar"/>
          <w:lang w:val="pt-PT"/>
        </w:rPr>
        <w:t xml:space="preserve">03_Dossier_Qualification_Cahier_Recette.md</w:t>
      </w:r>
      <w:r>
        <w:rPr>
          <w:lang w:val="pt-PT"/>
        </w:rPr>
        <w:t xml:space="preserve"> </w:t>
      </w:r>
      <w:r>
        <w:rPr>
          <w:lang w:val="pt-PT"/>
        </w:rPr>
        <w:t xml:space="preserve">— aceitação e validação (incluindo T-BASCULE).</w:t>
      </w:r>
    </w:p>
    <w:p>
      <w:pPr>
        <w:pStyle w:val="Compact"/>
        <w:numPr>
          <w:ilvl w:val="0"/>
          <w:numId w:val="1028"/>
        </w:numPr>
      </w:pPr>
      <w:r>
        <w:rPr>
          <w:rStyle w:val="VerbatimChar"/>
          <w:lang w:val="pt-PT"/>
        </w:rPr>
        <w:t xml:space="preserve">04_Plan_Assurance_Securite.md</w:t>
      </w:r>
      <w:r>
        <w:rPr>
          <w:lang w:val="pt-PT"/>
        </w:rPr>
        <w:t xml:space="preserve"> </w:t>
      </w:r>
      <w:r>
        <w:rPr>
          <w:lang w:val="pt-PT"/>
        </w:rPr>
        <w:t xml:space="preserve">— plano de garantia de segurança.</w:t>
      </w:r>
    </w:p>
    <w:p>
      <w:pPr>
        <w:pStyle w:val="Compact"/>
        <w:numPr>
          <w:ilvl w:val="0"/>
          <w:numId w:val="1028"/>
        </w:numPr>
      </w:pPr>
      <w:r>
        <w:rPr>
          <w:lang w:val="pt-PT"/>
        </w:rPr>
        <w:t xml:space="preserve">Documentação do fornecedor do equipamento — </w:t>
      </w:r>
      <w:r>
        <w:rPr>
          <w:lang w:val="pt-PT"/>
        </w:rPr>
        <w:t xml:space="preserve"/>
      </w:r>
      <w:r>
        <w:rPr>
          <w:b/>
          <w:bCs/>
          <w:lang w:val="pt-PT"/>
        </w:rPr>
        <w:t xml:space="preserve">anexada como apêndice quando a escolha final do equipamento é </w:t>
      </w:r>
      <w:r>
        <w:rPr>
          <w:lang w:val="pt-PT"/>
        </w:rPr>
        <w:t xml:space="preserve">feita.</w:t>
      </w:r>
    </w:p>
    <w:p>
      <w:r>
        <w:pict>
          <v:rect style="width:0;height:1.5pt" o:hralign="center" o:hrstd="t" o:hr="t"/>
        </w:pict>
      </w:r>
    </w:p>
    <w:p>
      <w:pPr>
        <w:pStyle w:val="FirstParagraph"/>
      </w:pPr>
      <w:r>
        <w:rPr>
          <w:i/>
          <w:iCs/>
          <w:lang w:val="pt-PT"/>
        </w:rPr>
        <w:t xml:space="preserve">Documento de trabalho elaborado por OHADJA (editor/mantenedor) — proposta de arquitetura a ser validada pelo departamento de TI do Cliente durante a fase de implementação e aceitação. Os elementos </w:t>
      </w:r>
      <w:r>
        <w:rPr>
          <w:i/>
          <w:iCs/>
          <w:lang w:val="pt-PT"/>
        </w:rPr>
        <w:t xml:space="preserve"/>
      </w:r>
      <w:r>
        <w:rPr>
          <w:rStyle w:val="VerbatimChar"/>
          <w:i/>
          <w:iCs/>
          <w:lang w:val="pt-PT"/>
        </w:rPr>
        <w:t xml:space="preserve">marcados [A </w:t>
      </w:r>
      <w:r>
        <w:rPr>
          <w:i/>
          <w:iCs/>
          <w:lang w:val="pt-PT"/>
        </w:rPr>
        <w:t xml:space="preserve"/>
      </w:r>
      <w:r>
        <w:rPr>
          <w:i/>
          <w:iCs/>
          <w:lang w:val="pt-PT"/>
        </w:rPr>
        <w:t xml:space="preserve"/>
      </w:r>
      <w:r>
        <w:rPr>
          <w:i/>
          <w:iCs/>
          <w:lang w:val="pt-PT"/>
        </w:rPr>
        <w:t xml:space="preserve"/>
      </w:r>
      <w:r>
        <w:rPr>
          <w:rStyle w:val="VerbatimChar"/>
          <w:i/>
          <w:iCs/>
          <w:lang w:val="pt-PT"/>
        </w:rPr>
        <w:t xml:space="preserve">PREENCHER] / [A </w:t>
      </w:r>
      <w:r>
        <w:rPr>
          <w:i/>
          <w:iCs/>
          <w:lang w:val="pt-PT"/>
        </w:rPr>
        <w:t xml:space="preserve"/>
      </w:r>
      <w:r>
        <w:rPr>
          <w:i/>
          <w:iCs/>
          <w:lang w:val="pt-PT"/>
        </w:rPr>
        <w:t xml:space="preserve">PREENCHER] devem ser preenchidos em conjunto antes da produção.</w:t>
      </w:r>
    </w:p>
    <w:p>
      <w:r>
        <w:br w:type="page"/>
      </w:r>
    </w:p>
    <w:bookmarkEnd w:id="115"/>
    <w:bookmarkEnd w:id="116"/>
    <w:bookmarkEnd w:id="117"/>
    <w:bookmarkStart w:id="137" w:name="X3f9f0f5dad50fd141cd101451702d523d1c0c33"/>
    <w:p>
      <w:pPr>
        <w:pStyle w:val="Heading1"/>
        <w:keepNext/>
        <w:keepLines/>
      </w:pPr>
      <w:r>
        <w:rPr>
          <w:color w:val="000000"/>
          <w:lang w:val="pt-PT"/>
        </w:rPr>
        <w:t xml:space="preserve">Arquivo operacional — implementação local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pt-PT"/>
              </w:rPr>
              <w:t xml:space="preserve">Referência</w:t>
            </w:r>
          </w:p>
        </w:tc>
        <w:tc>
          <w:tcPr/>
          <w:p>
            <w:pPr>
              <w:pStyle w:val="Compact"/>
            </w:pPr>
            <w:r>
              <w:rPr>
                <w:lang w:val="pt-PT"/>
              </w:rPr>
              <w:t xml:space="preserve">OHA-ONPREM-EXPL-2026-001</w:t>
            </w:r>
          </w:p>
        </w:tc>
      </w:tr>
      <w:tr>
        <w:trPr>
          <w:cantSplit/>
        </w:trPr>
        <w:tc>
          <w:tcPr/>
          <w:p>
            <w:pPr>
              <w:pStyle w:val="Compact"/>
            </w:pPr>
            <w:r>
              <w:rPr>
                <w:b/>
                <w:bCs/>
                <w:lang w:val="pt-PT"/>
              </w:rPr>
              <w:t xml:space="preserve">Versão</w:t>
            </w:r>
          </w:p>
        </w:tc>
        <w:tc>
          <w:tcPr/>
          <w:p>
            <w:pPr>
              <w:pStyle w:val="Compact"/>
            </w:pPr>
            <w:r>
              <w:rPr>
                <w:lang w:val="pt-PT"/>
              </w:rPr>
              <w:t xml:space="preserve">1.0</w:t>
            </w:r>
          </w:p>
        </w:tc>
      </w:tr>
      <w:tr>
        <w:trPr>
          <w:cantSplit/>
        </w:trPr>
        <w:tc>
          <w:tcPr/>
          <w:p>
            <w:pPr>
              <w:pStyle w:val="Compact"/>
            </w:pPr>
            <w:r>
              <w:rPr>
                <w:b/>
                <w:bCs/>
                <w:lang w:val="pt-PT"/>
              </w:rPr>
              <w:t xml:space="preserve">Data</w:t>
            </w:r>
          </w:p>
        </w:tc>
        <w:tc>
          <w:tcPr/>
          <w:p>
            <w:pPr>
              <w:pStyle w:val="Compact"/>
            </w:pPr>
            <w:r>
              <w:rPr>
                <w:lang w:val="pt-PT"/>
              </w:rPr>
              <w:t xml:space="preserve">2026-07-24</w:t>
            </w:r>
          </w:p>
        </w:tc>
      </w:tr>
      <w:tr>
        <w:trPr>
          <w:cantSplit/>
        </w:trPr>
        <w:tc>
          <w:tcPr/>
          <w:p>
            <w:pPr>
              <w:pStyle w:val="Compact"/>
            </w:pPr>
            <w:r>
              <w:rPr>
                <w:b/>
                <w:bCs/>
                <w:lang w:val="pt-PT"/>
              </w:rPr>
              <w:t xml:space="preserve">Editor/editor</w:t>
            </w:r>
          </w:p>
        </w:tc>
        <w:tc>
          <w:tcPr/>
          <w:p>
            <w:pPr>
              <w:pStyle w:val="Compact"/>
            </w:pPr>
            <w:r>
              <w:rPr>
                <w:lang w:val="pt-PT"/>
              </w:rPr>
              <w:t xml:space="preserve">OHADJA — editor e mantenedor do software TranscribIA — 60 rue François 1er, 75008 Paris</w:t>
            </w:r>
          </w:p>
        </w:tc>
      </w:tr>
      <w:tr>
        <w:trPr>
          <w:cantSplit/>
        </w:trPr>
        <w:tc>
          <w:tcPr/>
          <w:p>
            <w:pPr>
              <w:pStyle w:val="Compact"/>
            </w:pPr>
            <w:r>
              <w:rPr>
                <w:b/>
                <w:bCs/>
                <w:lang w:val="pt-PT"/>
              </w:rPr>
              <w:t xml:space="preserve">Integrador/distribuidor</w:t>
            </w:r>
          </w:p>
        </w:tc>
        <w:tc>
          <w:tcPr/>
          <w:p>
            <w:pPr>
              <w:pStyle w:val="Compact"/>
            </w:pPr>
            <w:r>
              <w:rPr>
                <w:lang w:val="pt-PT"/>
              </w:rPr>
              <w:t xml:space="preserve">Seu integrador (a especificar dependendo do projeto)</w:t>
            </w:r>
          </w:p>
        </w:tc>
      </w:tr>
      <w:tr>
        <w:trPr>
          <w:cantSplit/>
        </w:trPr>
        <w:tc>
          <w:tcPr/>
          <w:p>
            <w:pPr>
              <w:pStyle w:val="Compact"/>
            </w:pPr>
            <w:r>
              <w:rPr>
                <w:b/>
                <w:bCs/>
                <w:lang w:val="pt-PT"/>
              </w:rPr>
              <w:t xml:space="preserve">Revendedor comercial</w:t>
            </w:r>
          </w:p>
        </w:tc>
        <w:tc>
          <w:tcPr/>
          <w:p>
            <w:pPr>
              <w:pStyle w:val="Compact"/>
            </w:pPr>
            <w:r>
              <w:rPr>
                <w:lang w:val="pt-PT"/>
              </w:rPr>
              <w:t xml:space="preserve">AMBASSADIA SARL (Mónaco e França) — apenas função comercial, sem exploração ou acesso a dados de produção</w:t>
            </w:r>
          </w:p>
        </w:tc>
      </w:tr>
      <w:tr>
        <w:trPr>
          <w:cantSplit/>
        </w:trPr>
        <w:tc>
          <w:tcPr/>
          <w:p>
            <w:pPr>
              <w:pStyle w:val="Compact"/>
            </w:pPr>
            <w:r>
              <w:rPr>
                <w:b/>
                <w:bCs/>
                <w:lang w:val="pt-PT"/>
              </w:rPr>
              <w:t xml:space="preserve">Destinatário</w:t>
            </w:r>
          </w:p>
        </w:tc>
        <w:tc>
          <w:tcPr/>
          <w:p>
            <w:pPr>
              <w:pStyle w:val="Compact"/>
            </w:pPr>
            <w:r>
              <w:rPr>
                <w:lang w:val="pt-PT"/>
              </w:rPr>
              <w:t xml:space="preserve">Cliente — Direção de Sistemas de Informação (a personalizar durante o projeto)</w:t>
            </w:r>
          </w:p>
        </w:tc>
      </w:tr>
      <w:tr>
        <w:trPr>
          <w:cantSplit/>
        </w:trPr>
        <w:tc>
          <w:tcPr/>
          <w:p>
            <w:pPr>
              <w:pStyle w:val="Compact"/>
            </w:pPr>
            <w:r>
              <w:rPr>
                <w:b/>
                <w:bCs/>
                <w:lang w:val="pt-PT"/>
              </w:rPr>
              <w:t xml:space="preserve">Classificação</w:t>
            </w:r>
          </w:p>
        </w:tc>
        <w:tc>
          <w:tcPr/>
          <w:p>
            <w:pPr>
              <w:pStyle w:val="Compact"/>
            </w:pPr>
            <w:r>
              <w:rPr>
                <w:lang w:val="pt-PT"/>
              </w:rPr>
              <w:t xml:space="preserve">Público — documento padrão, adaptado para cada projeto de implementação</w:t>
            </w:r>
          </w:p>
        </w:tc>
      </w:tr>
    </w:tbl>
    <w:p>
      <w:pPr>
        <w:pStyle w:val="BlockText"/>
      </w:pPr>
      <w:r>
        <w:rPr>
          <w:lang w:val="pt-PT"/>
        </w:rPr>
        <w:t xml:space="preserve">Este arquivo fornece ao departamento de </w:t>
      </w:r>
      <w:r>
        <w:rPr>
          <w:lang w:val="pt-PT"/>
        </w:rPr>
        <w:t xml:space="preserve">TI </w:t>
      </w:r>
      <w:r>
        <w:rPr>
          <w:b/>
          <w:bCs/>
          <w:lang w:val="pt-PT"/>
        </w:rPr>
        <w:t xml:space="preserve">do Cliente os arquivos </w:t>
      </w:r>
      <w:r>
        <w:rPr>
          <w:lang w:val="pt-PT"/>
        </w:rPr>
        <w:t xml:space="preserve"/>
      </w:r>
      <w:r>
        <w:rPr>
          <w:lang w:val="pt-PT"/>
        </w:rPr>
        <w:t xml:space="preserve">operacionais necessários para a operação autônoma da plataforma TranscribIA implantada on-premise (variante isolada, arquitetura ativa Sala A / backup passivo Sala B). Os comandos são apenas para referência; caminhos, nomes de host e identificadores específicos do site são marcados com </w:t>
      </w:r>
      <w:r>
        <w:rPr>
          <w:lang w:val="pt-PT"/>
        </w:rPr>
        <w:t xml:space="preserve"/>
      </w:r>
      <w:r>
        <w:rPr>
          <w:rStyle w:val="VerbatimChar"/>
          <w:lang w:val="pt-PT"/>
        </w:rPr>
        <w:t xml:space="preserve">[REQUIRED]. A </w:t>
      </w:r>
      <w:r>
        <w:rPr>
          <w:lang w:val="pt-PT"/>
        </w:rPr>
        <w:t xml:space="preserve">implementação precisa de comandos (Makefile, scripts) será corrigida na implementação.</w:t>
      </w:r>
    </w:p>
    <w:p>
      <w:r>
        <w:pict>
          <v:rect style="width:0;height:1.5pt" o:hralign="center" o:hrstd="t" o:hr="t"/>
        </w:pict>
      </w:r>
    </w:p>
    <w:bookmarkStart w:id="118" w:name="sommaire-des-fiches"/>
    <w:p>
      <w:pPr>
        <w:pStyle w:val="Heading2"/>
        <w:keepNext/>
        <w:keepLines/>
      </w:pPr>
      <w:r>
        <w:rPr>
          <w:color w:val="000000"/>
          <w:lang w:val="pt-PT"/>
        </w:rPr>
        <w:t xml:space="preserve">Resumo dos arquivos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Folha</w:t>
            </w:r>
          </w:p>
        </w:tc>
        <w:tc>
          <w:tcPr/>
          <w:p>
            <w:pPr>
              <w:pStyle w:val="Compact"/>
            </w:pPr>
            <w:r>
              <w:rPr>
                <w:lang w:val="pt-PT"/>
              </w:rPr>
              <w:t xml:space="preserve">Objetivo</w:t>
            </w:r>
          </w:p>
        </w:tc>
      </w:tr>
      <w:tr>
        <w:trPr>
          <w:cantSplit/>
        </w:trPr>
        <w:tc>
          <w:tcPr/>
          <w:p>
            <w:pPr>
              <w:pStyle w:val="Compact"/>
            </w:pPr>
            <w:r>
              <w:rPr>
                <w:lang w:val="pt-PT"/>
              </w:rPr>
              <w:t xml:space="preserve">EXPL-01</w:t>
            </w:r>
          </w:p>
        </w:tc>
        <w:tc>
          <w:tcPr/>
          <w:p>
            <w:pPr>
              <w:pStyle w:val="Compact"/>
            </w:pPr>
            <w:r>
              <w:rPr>
                <w:lang w:val="pt-PT"/>
              </w:rPr>
              <w:t xml:space="preserve">Início ordenado da pilha</w:t>
            </w:r>
          </w:p>
        </w:tc>
      </w:tr>
      <w:tr>
        <w:trPr>
          <w:cantSplit/>
        </w:trPr>
        <w:tc>
          <w:tcPr/>
          <w:p>
            <w:pPr>
              <w:pStyle w:val="Compact"/>
            </w:pPr>
            <w:r>
              <w:rPr>
                <w:lang w:val="pt-PT"/>
              </w:rPr>
              <w:t xml:space="preserve">EXPL-02</w:t>
            </w:r>
          </w:p>
        </w:tc>
        <w:tc>
          <w:tcPr/>
          <w:p>
            <w:pPr>
              <w:pStyle w:val="Compact"/>
            </w:pPr>
            <w:r>
              <w:rPr>
                <w:lang w:val="pt-PT"/>
              </w:rPr>
              <w:t xml:space="preserve">Desligamento ordenado da pilha</w:t>
            </w:r>
          </w:p>
        </w:tc>
      </w:tr>
      <w:tr>
        <w:trPr>
          <w:cantSplit/>
        </w:trPr>
        <w:tc>
          <w:tcPr/>
          <w:p>
            <w:pPr>
              <w:pStyle w:val="Compact"/>
            </w:pPr>
            <w:r>
              <w:rPr>
                <w:lang w:val="pt-PT"/>
              </w:rPr>
              <w:t xml:space="preserve">EXPL-03</w:t>
            </w:r>
          </w:p>
        </w:tc>
        <w:tc>
          <w:tcPr/>
          <w:p>
            <w:pPr>
              <w:pStyle w:val="Compact"/>
            </w:pPr>
            <w:r>
              <w:rPr>
                <w:lang w:val="pt-PT"/>
              </w:rPr>
              <w:t xml:space="preserve">Verificação de saúde</w:t>
            </w:r>
          </w:p>
        </w:tc>
      </w:tr>
      <w:tr>
        <w:trPr>
          <w:cantSplit/>
        </w:trPr>
        <w:tc>
          <w:tcPr/>
          <w:p>
            <w:pPr>
              <w:pStyle w:val="Compact"/>
            </w:pPr>
            <w:r>
              <w:rPr>
                <w:lang w:val="pt-PT"/>
              </w:rPr>
              <w:t xml:space="preserve">EXPL-04</w:t>
            </w:r>
          </w:p>
        </w:tc>
        <w:tc>
          <w:tcPr/>
          <w:p>
            <w:pPr>
              <w:pStyle w:val="Compact"/>
            </w:pPr>
            <w:r>
              <w:rPr>
                <w:lang w:val="pt-PT"/>
              </w:rPr>
              <w:t xml:space="preserve">Gerenciamento de contas e funções (RBAC)</w:t>
            </w:r>
          </w:p>
        </w:tc>
      </w:tr>
      <w:tr>
        <w:trPr>
          <w:cantSplit/>
        </w:trPr>
        <w:tc>
          <w:tcPr/>
          <w:p>
            <w:pPr>
              <w:pStyle w:val="Compact"/>
            </w:pPr>
            <w:r>
              <w:rPr>
                <w:lang w:val="pt-PT"/>
              </w:rPr>
              <w:t xml:space="preserve">EXPL-05</w:t>
            </w:r>
          </w:p>
        </w:tc>
        <w:tc>
          <w:tcPr/>
          <w:p>
            <w:pPr>
              <w:pStyle w:val="Compact"/>
            </w:pPr>
            <w:r>
              <w:rPr>
                <w:lang w:val="pt-PT"/>
              </w:rPr>
              <w:t xml:space="preserve">Criação do primeiro superadministrador</w:t>
            </w:r>
          </w:p>
        </w:tc>
      </w:tr>
      <w:tr>
        <w:trPr>
          <w:cantSplit/>
        </w:trPr>
        <w:tc>
          <w:tcPr/>
          <w:p>
            <w:pPr>
              <w:pStyle w:val="Compact"/>
            </w:pPr>
            <w:r>
              <w:rPr>
                <w:lang w:val="pt-PT"/>
              </w:rPr>
              <w:t xml:space="preserve">EXPL-06</w:t>
            </w:r>
          </w:p>
        </w:tc>
        <w:tc>
          <w:tcPr/>
          <w:p>
            <w:pPr>
              <w:pStyle w:val="Compact"/>
            </w:pPr>
            <w:r>
              <w:rPr>
                <w:lang w:val="pt-PT"/>
              </w:rPr>
              <w:t xml:space="preserve">Política 2FA</w:t>
            </w:r>
          </w:p>
        </w:tc>
      </w:tr>
      <w:tr>
        <w:trPr>
          <w:cantSplit/>
        </w:trPr>
        <w:tc>
          <w:tcPr/>
          <w:p>
            <w:pPr>
              <w:pStyle w:val="Compact"/>
            </w:pPr>
            <w:r>
              <w:rPr>
                <w:lang w:val="pt-PT"/>
              </w:rPr>
              <w:t xml:space="preserve">EXPL-07</w:t>
            </w:r>
          </w:p>
        </w:tc>
        <w:tc>
          <w:tcPr/>
          <w:p>
            <w:pPr>
              <w:pStyle w:val="Compact"/>
            </w:pPr>
            <w:r>
              <w:rPr>
                <w:lang w:val="pt-PT"/>
              </w:rPr>
              <w:t xml:space="preserve">Salvando configurações existentes</w:t>
            </w:r>
          </w:p>
        </w:tc>
      </w:tr>
      <w:tr>
        <w:trPr>
          <w:cantSplit/>
        </w:trPr>
        <w:tc>
          <w:tcPr/>
          <w:p>
            <w:pPr>
              <w:pStyle w:val="Compact"/>
            </w:pPr>
            <w:r>
              <w:rPr>
                <w:lang w:val="pt-PT"/>
              </w:rPr>
              <w:t xml:space="preserve">EXPL-08</w:t>
            </w:r>
          </w:p>
        </w:tc>
        <w:tc>
          <w:tcPr/>
          <w:p>
            <w:pPr>
              <w:pStyle w:val="Compact"/>
            </w:pPr>
            <w:r>
              <w:rPr>
                <w:lang w:val="pt-PT"/>
              </w:rPr>
              <w:t xml:space="preserve">Backup de dados</w:t>
            </w:r>
          </w:p>
        </w:tc>
      </w:tr>
      <w:tr>
        <w:trPr>
          <w:cantSplit/>
        </w:trPr>
        <w:tc>
          <w:tcPr/>
          <w:p>
            <w:pPr>
              <w:pStyle w:val="Compact"/>
            </w:pPr>
            <w:r>
              <w:rPr>
                <w:lang w:val="pt-PT"/>
              </w:rPr>
              <w:t xml:space="preserve">EXPL-09</w:t>
            </w:r>
          </w:p>
        </w:tc>
        <w:tc>
          <w:tcPr/>
          <w:p>
            <w:pPr>
              <w:pStyle w:val="Compact"/>
            </w:pPr>
            <w:r>
              <w:rPr>
                <w:lang w:val="pt-PT"/>
              </w:rPr>
              <w:t xml:space="preserve">Restauração de dados</w:t>
            </w:r>
          </w:p>
        </w:tc>
      </w:tr>
      <w:tr>
        <w:trPr>
          <w:cantSplit/>
        </w:trPr>
        <w:tc>
          <w:tcPr/>
          <w:p>
            <w:pPr>
              <w:pStyle w:val="Compact"/>
            </w:pPr>
            <w:r>
              <w:rPr>
                <w:lang w:val="pt-PT"/>
              </w:rPr>
              <w:t xml:space="preserve">EXPL-10</w:t>
            </w:r>
          </w:p>
        </w:tc>
        <w:tc>
          <w:tcPr/>
          <w:p>
            <w:pPr>
              <w:pStyle w:val="Compact"/>
            </w:pPr>
            <w:r>
              <w:rPr>
                <w:lang w:val="pt-PT"/>
              </w:rPr>
              <w:t xml:space="preserve">Atualização e reversão de aplicativos</w:t>
            </w:r>
          </w:p>
        </w:tc>
      </w:tr>
      <w:tr>
        <w:trPr>
          <w:cantSplit/>
        </w:trPr>
        <w:tc>
          <w:tcPr/>
          <w:p>
            <w:pPr>
              <w:pStyle w:val="Compact"/>
            </w:pPr>
            <w:r>
              <w:rPr>
                <w:lang w:val="pt-PT"/>
              </w:rPr>
              <w:t xml:space="preserve">EXPL-11</w:t>
            </w:r>
          </w:p>
        </w:tc>
        <w:tc>
          <w:tcPr/>
          <w:p>
            <w:pPr>
              <w:pStyle w:val="Compact"/>
            </w:pPr>
            <w:r>
              <w:rPr>
                <w:lang w:val="pt-PT"/>
              </w:rPr>
              <w:t xml:space="preserve">Renovação de certificados TLS</w:t>
            </w:r>
          </w:p>
        </w:tc>
      </w:tr>
      <w:tr>
        <w:trPr>
          <w:cantSplit/>
        </w:trPr>
        <w:tc>
          <w:tcPr/>
          <w:p>
            <w:pPr>
              <w:pStyle w:val="Compact"/>
            </w:pPr>
            <w:r>
              <w:rPr>
                <w:lang w:val="pt-PT"/>
              </w:rPr>
              <w:t xml:space="preserve">EXPL-12</w:t>
            </w:r>
          </w:p>
        </w:tc>
        <w:tc>
          <w:tcPr/>
          <w:p>
            <w:pPr>
              <w:pStyle w:val="Compact"/>
            </w:pPr>
            <w:r>
              <w:rPr>
                <w:lang w:val="pt-PT"/>
              </w:rPr>
              <w:t xml:space="preserve">Monitorização e alertas</w:t>
            </w:r>
          </w:p>
        </w:tc>
      </w:tr>
      <w:tr>
        <w:trPr>
          <w:cantSplit/>
        </w:trPr>
        <w:tc>
          <w:tcPr/>
          <w:p>
            <w:pPr>
              <w:pStyle w:val="Compact"/>
            </w:pPr>
            <w:r>
              <w:rPr>
                <w:lang w:val="pt-PT"/>
              </w:rPr>
              <w:t xml:space="preserve">EXPL-13</w:t>
            </w:r>
          </w:p>
        </w:tc>
        <w:tc>
          <w:tcPr/>
          <w:p>
            <w:pPr>
              <w:pStyle w:val="Compact"/>
            </w:pPr>
            <w:r>
              <w:rPr>
                <w:lang w:val="pt-PT"/>
              </w:rPr>
              <w:t xml:space="preserve">Antivírus — assinaturas em ambiente isolado</w:t>
            </w:r>
          </w:p>
        </w:tc>
      </w:tr>
      <w:tr>
        <w:trPr>
          <w:cantSplit/>
        </w:trPr>
        <w:tc>
          <w:tcPr/>
          <w:p>
            <w:pPr>
              <w:pStyle w:val="Compact"/>
            </w:pPr>
            <w:r>
              <w:rPr>
                <w:lang w:val="pt-PT"/>
              </w:rPr>
              <w:t xml:space="preserve">EXPL-14</w:t>
            </w:r>
          </w:p>
        </w:tc>
        <w:tc>
          <w:tcPr/>
          <w:p>
            <w:pPr>
              <w:pStyle w:val="Compact"/>
            </w:pPr>
            <w:r>
              <w:rPr>
                <w:lang w:val="pt-PT"/>
              </w:rPr>
              <w:t xml:space="preserve">Visualizando logs de auditoria e exportações</w:t>
            </w:r>
          </w:p>
        </w:tc>
      </w:tr>
      <w:tr>
        <w:trPr>
          <w:cantSplit/>
        </w:trPr>
        <w:tc>
          <w:tcPr/>
          <w:p>
            <w:pPr>
              <w:pStyle w:val="Compact"/>
            </w:pPr>
            <w:r>
              <w:rPr>
                <w:lang w:val="pt-PT"/>
              </w:rPr>
              <w:t xml:space="preserve">EXPL-15</w:t>
            </w:r>
          </w:p>
        </w:tc>
        <w:tc>
          <w:tcPr/>
          <w:p>
            <w:pPr>
              <w:pStyle w:val="Compact"/>
            </w:pPr>
            <w:r>
              <w:rPr>
                <w:lang w:val="pt-PT"/>
              </w:rPr>
              <w:t xml:space="preserve">Gerenciamento de incidentes</w:t>
            </w:r>
          </w:p>
        </w:tc>
      </w:tr>
      <w:tr>
        <w:trPr>
          <w:cantSplit/>
        </w:trPr>
        <w:tc>
          <w:tcPr/>
          <w:p>
            <w:pPr>
              <w:pStyle w:val="Compact"/>
            </w:pPr>
            <w:r>
              <w:rPr>
                <w:lang w:val="pt-PT"/>
              </w:rPr>
              <w:t xml:space="preserve">EXPL-16</w:t>
            </w:r>
          </w:p>
        </w:tc>
        <w:tc>
          <w:tcPr/>
          <w:p>
            <w:pPr>
              <w:pStyle w:val="Compact"/>
            </w:pPr>
            <w:r>
              <w:rPr>
                <w:lang w:val="pt-PT"/>
              </w:rPr>
              <w:t xml:space="preserve">Termos de acesso ao suporte</w:t>
            </w:r>
          </w:p>
        </w:tc>
      </w:tr>
      <w:tr>
        <w:trPr>
          <w:cantSplit/>
        </w:trPr>
        <w:tc>
          <w:tcPr/>
          <w:p>
            <w:pPr>
              <w:pStyle w:val="Compact"/>
            </w:pPr>
            <w:r>
              <w:rPr>
                <w:lang w:val="pt-PT"/>
              </w:rPr>
              <w:t xml:space="preserve">EXPL-17</w:t>
            </w:r>
          </w:p>
        </w:tc>
        <w:tc>
          <w:tcPr/>
          <w:p>
            <w:pPr>
              <w:pStyle w:val="Compact"/>
            </w:pPr>
            <w:r>
              <w:rPr>
                <w:lang w:val="pt-PT"/>
              </w:rPr>
              <w:t xml:space="preserve">Lembrete de compromissos de nível de serviço</w:t>
            </w:r>
          </w:p>
        </w:tc>
      </w:tr>
    </w:tbl>
    <w:p>
      <w:r>
        <w:pict>
          <v:rect style="width:0;height:1.5pt" o:hralign="center" o:hrstd="t" o:hr="t"/>
        </w:pict>
      </w:r>
    </w:p>
    <w:bookmarkEnd w:id="118"/>
    <w:bookmarkStart w:id="119" w:name="expl-01--démarrage-ordonné-de-la-stack"/>
    <w:p>
      <w:pPr>
        <w:pStyle w:val="Heading2"/>
        <w:keepNext/>
        <w:keepLines/>
      </w:pPr>
      <w:r>
        <w:rPr>
          <w:color w:val="000000"/>
          <w:lang w:val="pt-PT"/>
        </w:rPr>
        <w:t xml:space="preserve">EXPL-01 — Início ordenado da pilha</w:t>
      </w:r>
    </w:p>
    <w:p>
      <w:pPr>
        <w:pStyle w:val="FirstParagraph"/>
      </w:pPr>
      <w:r>
        <w:rPr>
          <w:b/>
          <w:bCs/>
          <w:lang w:val="pt-PT"/>
        </w:rPr>
        <w:t xml:space="preserve">Objetivo: </w:t>
      </w:r>
      <w:r>
        <w:rPr>
          <w:lang w:val="pt-PT"/>
        </w:rPr>
        <w:t xml:space="preserve"/>
      </w:r>
      <w:r>
        <w:rPr>
          <w:lang w:val="pt-PT"/>
        </w:rPr>
        <w:t xml:space="preserve">iniciar a plataforma na ordem correta para evitar erros de dependência.</w:t>
      </w:r>
    </w:p>
    <w:p>
      <w:pPr>
        <w:pStyle w:val="BodyText"/>
      </w:pPr>
      <w:r>
        <w:rPr>
          <w:b/>
          <w:bCs/>
          <w:lang w:val="pt-PT"/>
        </w:rPr>
        <w:t xml:space="preserve">Ordem de inicialização:</w:t>
      </w:r>
    </w:p>
    <w:p>
      <w:pPr>
        <w:pStyle w:val="Compact"/>
        <w:numPr>
          <w:ilvl w:val="0"/>
          <w:numId w:val="1029"/>
        </w:numPr>
      </w:pPr>
      <w:r>
        <w:rPr>
          <w:b/>
          <w:bCs/>
          <w:lang w:val="pt-PT"/>
        </w:rPr>
        <w:t xml:space="preserve">postgres </w:t>
      </w:r>
      <w:r>
        <w:rPr>
          <w:lang w:val="pt-PT"/>
        </w:rPr>
        <w:t xml:space="preserve"/>
      </w:r>
      <w:r>
        <w:rPr>
          <w:lang w:val="pt-PT"/>
        </w:rPr>
        <w:t xml:space="preserve">e </w:t>
      </w:r>
      <w:r>
        <w:rPr>
          <w:lang w:val="pt-PT"/>
        </w:rPr>
        <w:t xml:space="preserve"/>
      </w:r>
      <w:r>
        <w:rPr>
          <w:b/>
          <w:bCs/>
          <w:lang w:val="pt-PT"/>
        </w:rPr>
        <w:t xml:space="preserve">depois </w:t>
      </w:r>
      <w:r>
        <w:rPr>
          <w:lang w:val="pt-PT"/>
        </w:rPr>
        <w:t xml:space="preserve"/>
      </w:r>
      <w:r>
        <w:rPr>
          <w:lang w:val="pt-PT"/>
        </w:rPr>
        <w:t xml:space="preserve">redis — serviços de dados; aguarde o estado </w:t>
      </w:r>
      <w:r>
        <w:rPr>
          <w:lang w:val="pt-PT"/>
        </w:rPr>
        <w:t xml:space="preserve"/>
      </w:r>
      <w:r>
        <w:rPr>
          <w:rStyle w:val="VerbatimChar"/>
          <w:lang w:val="pt-PT"/>
        </w:rPr>
        <w:t xml:space="preserve">healthy</w:t>
      </w:r>
      <w:r>
        <w:rPr>
          <w:lang w:val="pt-PT"/>
        </w:rPr>
        <w:t xml:space="preserve"> </w:t>
      </w:r>
      <w:r>
        <w:rPr>
          <w:lang w:val="pt-PT"/>
        </w:rPr>
        <w:t xml:space="preserve">(sondas </w:t>
      </w:r>
      <w:r>
        <w:rPr>
          <w:lang w:val="pt-PT"/>
        </w:rPr>
        <w:t xml:space="preserve"/>
      </w:r>
      <w:r>
        <w:rPr>
          <w:rStyle w:val="VerbatimChar"/>
          <w:lang w:val="pt-PT"/>
        </w:rPr>
        <w:t xml:space="preserve">pg_isready</w:t>
      </w:r>
      <w:r>
        <w:rPr>
          <w:lang w:val="pt-PT"/>
        </w:rPr>
        <w:t xml:space="preserve"> </w:t>
      </w:r>
      <w:r>
        <w:rPr>
          <w:lang w:val="pt-PT"/>
        </w:rPr>
        <w:t xml:space="preserve"/>
      </w:r>
      <w:r>
        <w:rPr>
          <w:lang w:val="pt-PT"/>
        </w:rPr>
        <w:t xml:space="preserve">/ </w:t>
      </w:r>
      <w:r>
        <w:rPr>
          <w:rStyle w:val="VerbatimChar"/>
          <w:lang w:val="pt-PT"/>
        </w:rPr>
        <w:t xml:space="preserve">redis-cli ping</w:t>
      </w:r>
      <w:r>
        <w:rPr>
          <w:lang w:val="pt-PT"/>
        </w:rPr>
        <w:t xml:space="preserve">).</w:t>
      </w:r>
    </w:p>
    <w:p>
      <w:pPr>
        <w:pStyle w:val="Compact"/>
        <w:numPr>
          <w:ilvl w:val="0"/>
          <w:numId w:val="1029"/>
        </w:numPr>
      </w:pPr>
      <w:r>
        <w:rPr>
          <w:b/>
          <w:bCs/>
          <w:lang w:val="pt-PT"/>
        </w:rPr>
        <w:t xml:space="preserve">app </w:t>
      </w:r>
      <w:r>
        <w:rPr>
          <w:lang w:val="pt-PT"/>
        </w:rPr>
        <w:t xml:space="preserve"/>
      </w:r>
      <w:r>
        <w:rPr>
          <w:lang w:val="pt-PT"/>
        </w:rPr>
        <w:t xml:space="preserve">(PHP-FPM) — depende de postgres e redis saudáveis.</w:t>
      </w:r>
    </w:p>
    <w:p>
      <w:pPr>
        <w:pStyle w:val="Compact"/>
        <w:numPr>
          <w:ilvl w:val="0"/>
          <w:numId w:val="1029"/>
        </w:numPr>
      </w:pPr>
      <w:r>
        <w:rPr>
          <w:b/>
          <w:bCs/>
          <w:lang w:val="pt-PT"/>
        </w:rPr>
        <w:t xml:space="preserve">reverb </w:t>
      </w:r>
      <w:r>
        <w:rPr>
          <w:lang w:val="pt-PT"/>
        </w:rPr>
        <w:t xml:space="preserve"/>
      </w:r>
      <w:r>
        <w:rPr>
          <w:lang w:val="pt-PT"/>
        </w:rPr>
        <w:t xml:space="preserve">(WebSocket), </w:t>
      </w:r>
      <w:r>
        <w:rPr>
          <w:lang w:val="pt-PT"/>
        </w:rPr>
        <w:t xml:space="preserve"/>
      </w:r>
      <w:r>
        <w:rPr>
          <w:b/>
          <w:bCs/>
          <w:lang w:val="pt-PT"/>
        </w:rPr>
        <w:t xml:space="preserve">queue, </w:t>
      </w:r>
      <w:r>
        <w:rPr>
          <w:lang w:val="pt-PT"/>
        </w:rPr>
        <w:t xml:space="preserve"/>
      </w:r>
      <w:r>
        <w:rPr>
          <w:lang w:val="pt-PT"/>
        </w:rPr>
        <w:t xml:space="preserve"/>
      </w:r>
      <w:r>
        <w:rPr>
          <w:b/>
          <w:bCs/>
          <w:lang w:val="pt-PT"/>
        </w:rPr>
        <w:t xml:space="preserve">queue-ai, </w:t>
      </w:r>
      <w:r>
        <w:rPr>
          <w:lang w:val="pt-PT"/>
        </w:rPr>
        <w:t xml:space="preserve"/>
      </w:r>
      <w:r>
        <w:rPr>
          <w:lang w:val="pt-PT"/>
        </w:rPr>
        <w:t xml:space="preserve"/>
      </w:r>
      <w:r>
        <w:rPr>
          <w:b/>
          <w:bCs/>
          <w:lang w:val="pt-PT"/>
        </w:rPr>
        <w:t xml:space="preserve">queue-media, </w:t>
      </w:r>
      <w:r>
        <w:rPr>
          <w:lang w:val="pt-PT"/>
        </w:rPr>
        <w:t xml:space="preserve"/>
      </w:r>
      <w:r>
        <w:rPr>
          <w:lang w:val="pt-PT"/>
        </w:rPr>
        <w:t xml:space="preserve"/>
      </w:r>
      <w:r>
        <w:rPr>
          <w:b/>
          <w:bCs/>
          <w:lang w:val="pt-PT"/>
        </w:rPr>
        <w:t xml:space="preserve">scheduler </w:t>
      </w:r>
      <w:r>
        <w:rPr>
          <w:lang w:val="pt-PT"/>
        </w:rPr>
        <w:t xml:space="preserve"/>
      </w:r>
      <w:r>
        <w:rPr>
          <w:lang w:val="pt-PT"/>
        </w:rPr>
        <w:t xml:space="preserve">— dependem de app.</w:t>
      </w:r>
    </w:p>
    <w:p>
      <w:pPr>
        <w:pStyle w:val="Compact"/>
        <w:numPr>
          <w:ilvl w:val="0"/>
          <w:numId w:val="1029"/>
        </w:numPr>
      </w:pPr>
      <w:r>
        <w:rPr>
          <w:b/>
          <w:bCs/>
          <w:lang w:val="pt-PT"/>
        </w:rPr>
        <w:t xml:space="preserve">frontend </w:t>
      </w:r>
      <w:r>
        <w:rPr>
          <w:lang w:val="pt-PT"/>
        </w:rPr>
        <w:t xml:space="preserve">— </w:t>
      </w:r>
      <w:r>
        <w:rPr>
          <w:lang w:val="pt-PT"/>
        </w:rPr>
        <w:t xml:space="preserve">compilação estática.</w:t>
      </w:r>
    </w:p>
    <w:p>
      <w:pPr>
        <w:pStyle w:val="Compact"/>
        <w:numPr>
          <w:ilvl w:val="0"/>
          <w:numId w:val="1029"/>
        </w:numPr>
      </w:pPr>
      <w:r>
        <w:rPr>
          <w:b/>
          <w:bCs/>
          <w:lang w:val="pt-PT"/>
        </w:rPr>
        <w:t xml:space="preserve">nginx </w:t>
      </w:r>
      <w:r>
        <w:rPr>
          <w:lang w:val="pt-PT"/>
        </w:rPr>
        <w:t xml:space="preserve"/>
      </w:r>
      <w:r>
        <w:rPr>
          <w:lang w:val="pt-PT"/>
        </w:rPr>
        <w:t xml:space="preserve">— em último lugar, porque depende de app e frontend.</w:t>
      </w:r>
    </w:p>
    <w:p>
      <w:pPr>
        <w:pStyle w:val="Compact"/>
        <w:numPr>
          <w:ilvl w:val="0"/>
          <w:numId w:val="1029"/>
        </w:numPr>
      </w:pPr>
      <w:r>
        <w:rPr>
          <w:b/>
          <w:bCs/>
          <w:lang w:val="pt-PT"/>
        </w:rPr>
        <w:t xml:space="preserve">clamav </w:t>
      </w:r>
      <w:r>
        <w:rPr>
          <w:lang w:val="pt-PT"/>
        </w:rPr>
        <w:t xml:space="preserve"/>
      </w:r>
      <w:r>
        <w:rPr>
          <w:lang w:val="pt-PT"/>
        </w:rPr>
        <w:t xml:space="preserve">(sidecar) — disponível para análise de upload.</w:t>
      </w:r>
    </w:p>
    <w:p>
      <w:pPr>
        <w:pStyle w:val="Compact"/>
        <w:numPr>
          <w:ilvl w:val="0"/>
          <w:numId w:val="1029"/>
        </w:numPr>
      </w:pPr>
      <w:r>
        <w:rPr>
          <w:b/>
          <w:bCs/>
          <w:lang w:val="pt-PT"/>
        </w:rPr>
        <w:t xml:space="preserve">Servidor GPU </w:t>
      </w:r>
      <w:r>
        <w:rPr>
          <w:lang w:val="pt-PT"/>
        </w:rPr>
        <w:t xml:space="preserve"/>
      </w:r>
      <w:r>
        <w:rPr>
          <w:lang w:val="pt-PT"/>
        </w:rPr>
        <w:t xml:space="preserve">(transcrição + LLM local) — iniciado quando a API app estiver disponível.</w:t>
      </w:r>
    </w:p>
    <w:p>
      <w:pPr>
        <w:pStyle w:val="FirstParagraph"/>
      </w:pPr>
      <w:r>
        <w:rPr>
          <w:b/>
          <w:bCs/>
          <w:lang w:val="pt-PT"/>
        </w:rPr>
        <w:t xml:space="preserve">Comando de referência (Docker Compose):</w:t>
      </w:r>
    </w:p>
    <w:p>
      <w:pPr>
        <w:pStyle w:val="SourceCode"/>
      </w:pPr>
      <w:r>
        <w:rPr>
          <w:rStyle w:val="BuiltInTok"/>
          <w:rFonts w:ascii="Courier New" w:hAnsi="Courier New" w:eastAsia="Courier New" w:cs="Courier New"/>
          <w:sz w:val="19"/>
          <w:szCs w:val="19"/>
        </w:rPr>
        <w:t xml:space="preserve">cd [A PREENCHER: diretório de instalação, p. ex. /opt/transcribia]</w:t>
        <w:br/>
        <w:t xml:space="preserve">docker compose up -d</w:t>
        <w:br/>
        <w:t xml:space="preserve"># Docker Compose respeita as dependências (depends_on + healthcheck)</w:t>
      </w:r>
    </w:p>
    <w:p>
      <w:pPr>
        <w:pStyle w:val="FirstParagraph"/>
      </w:pPr>
      <w:r>
        <w:rPr>
          <w:b/>
          <w:bCs/>
          <w:lang w:val="pt-PT"/>
        </w:rPr>
        <w:t xml:space="preserve">Verificação: </w:t>
      </w:r>
      <w:r>
        <w:rPr>
          <w:lang w:val="pt-PT"/>
        </w:rPr>
        <w:t xml:space="preserve"/>
      </w:r>
      <w:r>
        <w:rPr>
          <w:lang w:val="pt-PT"/>
        </w:rPr>
        <w:t xml:space="preserve">continue com a planilha EXPL-03.</w:t>
      </w:r>
    </w:p>
    <w:p>
      <w:pPr>
        <w:pStyle w:val="BlockText"/>
      </w:pPr>
      <w:r>
        <w:rPr>
          <w:b/>
          <w:bCs/>
          <w:lang w:val="pt-PT"/>
        </w:rPr>
        <w:t xml:space="preserve">Armadilha Nginx (para estar </w:t>
      </w:r>
      <w:r>
        <w:rPr>
          <w:lang w:val="pt-PT"/>
        </w:rPr>
        <w:t xml:space="preserve"/>
      </w:r>
      <w:r>
        <w:rPr>
          <w:lang w:val="pt-PT"/>
        </w:rPr>
        <w:t xml:space="preserve">ciente). Se o contêiner </w:t>
      </w:r>
      <w:r>
        <w:rPr>
          <w:lang w:val="pt-PT"/>
        </w:rPr>
        <w:t xml:space="preserve"/>
      </w:r>
      <w:r>
        <w:rPr>
          <w:b/>
          <w:bCs/>
          <w:lang w:val="pt-PT"/>
        </w:rPr>
        <w:t xml:space="preserve"/>
      </w:r>
      <w:r>
        <w:rPr>
          <w:lang w:val="pt-PT"/>
        </w:rPr>
        <w:t xml:space="preserve">do </w:t>
      </w:r>
      <w:r>
        <w:rPr>
          <w:lang w:val="pt-PT"/>
        </w:rPr>
        <w:t xml:space="preserve">aplicativo for reiniciado sozinho, o nginx manterá conexões inativas antigas com </w:t>
      </w:r>
      <w:r>
        <w:rPr>
          <w:lang w:val="pt-PT"/>
        </w:rPr>
        <w:t xml:space="preserve"/>
      </w:r>
      <w:r>
        <w:rPr>
          <w:rStyle w:val="VerbatimChar"/>
          <w:lang w:val="pt-PT"/>
        </w:rPr>
        <w:t xml:space="preserve">app:9000</w:t>
      </w:r>
      <w:r>
        <w:rPr>
          <w:lang w:val="pt-PT"/>
        </w:rPr>
        <w:t xml:space="preserve"> </w:t>
      </w:r>
      <w:r>
        <w:rPr>
          <w:lang w:val="pt-PT"/>
        </w:rPr>
        <w:t xml:space="preserve">e retornará 502 </w:t>
      </w:r>
      <w:r>
        <w:rPr>
          <w:lang w:val="pt-PT"/>
        </w:rPr>
        <w:t xml:space="preserve"/>
      </w:r>
      <w:r>
        <w:rPr>
          <w:b/>
          <w:bCs/>
          <w:lang w:val="pt-PT"/>
        </w:rPr>
        <w:t xml:space="preserve">Bad Gateway. </w:t>
      </w:r>
      <w:r>
        <w:rPr>
          <w:lang w:val="pt-PT"/>
        </w:rPr>
        <w:t xml:space="preserve">Regra: sempre </w:t>
      </w:r>
      <w:r>
        <w:rPr>
          <w:lang w:val="pt-PT"/>
        </w:rPr>
        <w:t xml:space="preserve"/>
      </w:r>
      <w:r>
        <w:rPr>
          <w:b/>
          <w:bCs/>
          <w:lang w:val="pt-PT"/>
        </w:rPr>
        <w:t xml:space="preserve">reinicie o nginx após o aplicativo </w:t>
      </w:r>
      <w:r>
        <w:rPr>
          <w:lang w:val="pt-PT"/>
        </w:rPr>
        <w:t xml:space="preserve"/>
      </w:r>
      <w:r>
        <w:rPr>
          <w:lang w:val="pt-PT"/>
        </w:rPr>
        <w:t xml:space="preserve">(consulte EXPL-10).</w:t>
      </w:r>
    </w:p>
    <w:p>
      <w:r>
        <w:pict>
          <v:rect style="width:0;height:1.5pt" o:hralign="center" o:hrstd="t" o:hr="t"/>
        </w:pict>
      </w:r>
    </w:p>
    <w:bookmarkEnd w:id="119"/>
    <w:bookmarkStart w:id="120" w:name="expl-02--arrêt-ordonné-de-la-stack"/>
    <w:p>
      <w:pPr>
        <w:pStyle w:val="Heading2"/>
        <w:keepNext/>
        <w:keepLines/>
      </w:pPr>
      <w:r>
        <w:rPr>
          <w:color w:val="000000"/>
          <w:lang w:val="pt-PT"/>
        </w:rPr>
        <w:t xml:space="preserve">EXPL-02 — Desligamento ordenado da pilha</w:t>
      </w:r>
    </w:p>
    <w:p>
      <w:pPr>
        <w:pStyle w:val="FirstParagraph"/>
      </w:pPr>
      <w:r>
        <w:rPr>
          <w:b/>
          <w:bCs/>
          <w:lang w:val="pt-PT"/>
        </w:rPr>
        <w:t xml:space="preserve">Objetivo: </w:t>
      </w:r>
      <w:r>
        <w:rPr>
          <w:lang w:val="pt-PT"/>
        </w:rPr>
        <w:t xml:space="preserve"/>
      </w:r>
      <w:r>
        <w:rPr>
          <w:lang w:val="pt-PT"/>
        </w:rPr>
        <w:t xml:space="preserve">parar adequadamente sem perder o tratamento atual.</w:t>
      </w:r>
    </w:p>
    <w:p>
      <w:pPr>
        <w:pStyle w:val="BodyText"/>
      </w:pPr>
      <w:r>
        <w:rPr>
          <w:b/>
          <w:bCs/>
          <w:lang w:val="pt-PT"/>
        </w:rPr>
        <w:t xml:space="preserve">Ordem de parada (reverso do início):</w:t>
      </w:r>
    </w:p>
    <w:p>
      <w:pPr>
        <w:pStyle w:val="Compact"/>
        <w:numPr>
          <w:ilvl w:val="0"/>
          <w:numId w:val="1030"/>
        </w:numPr>
      </w:pPr>
      <w:r>
        <w:rPr>
          <w:lang w:val="pt-PT"/>
        </w:rPr>
        <w:t xml:space="preserve">Pare de aceitar novo processamento: pare o nginx </w:t>
      </w:r>
      <w:r>
        <w:rPr>
          <w:lang w:val="pt-PT"/>
        </w:rPr>
        <w:t xml:space="preserve">(sem </w:t>
      </w:r>
      <w:r>
        <w:rPr>
          <w:b/>
          <w:bCs/>
          <w:lang w:val="pt-PT"/>
        </w:rPr>
        <w:t xml:space="preserve">mais </w:t>
      </w:r>
      <w:r>
        <w:rPr>
          <w:lang w:val="pt-PT"/>
        </w:rPr>
        <w:t xml:space="preserve"/>
      </w:r>
      <w:r>
        <w:rPr>
          <w:lang w:val="pt-PT"/>
        </w:rPr>
        <w:t xml:space="preserve">entrada do utilizador) e depois o </w:t>
      </w:r>
      <w:r>
        <w:rPr>
          <w:lang w:val="pt-PT"/>
        </w:rPr>
        <w:t xml:space="preserve"/>
      </w:r>
      <w:r>
        <w:rPr>
          <w:b/>
          <w:bCs/>
          <w:lang w:val="pt-PT"/>
        </w:rPr>
        <w:t xml:space="preserve">servidor </w:t>
      </w:r>
      <w:r>
        <w:rPr>
          <w:lang w:val="pt-PT"/>
        </w:rPr>
        <w:t xml:space="preserve">GPU.</w:t>
      </w:r>
    </w:p>
    <w:p>
      <w:pPr>
        <w:pStyle w:val="Compact"/>
        <w:numPr>
          <w:ilvl w:val="0"/>
          <w:numId w:val="1030"/>
        </w:numPr>
      </w:pPr>
      <w:r>
        <w:rPr>
          <w:lang w:val="pt-PT"/>
        </w:rPr>
        <w:t xml:space="preserve">Deixar os </w:t>
      </w:r>
      <w:r>
        <w:rPr>
          <w:lang w:val="pt-PT"/>
        </w:rPr>
        <w:t xml:space="preserve"/>
      </w:r>
      <w:r>
        <w:rPr>
          <w:b/>
          <w:bCs/>
          <w:lang w:val="pt-PT"/>
        </w:rPr>
        <w:t xml:space="preserve">workers </w:t>
      </w:r>
      <w:r>
        <w:rPr>
          <w:lang w:val="pt-PT"/>
        </w:rPr>
        <w:t xml:space="preserve"/>
      </w:r>
      <w:r>
        <w:rPr>
          <w:lang w:val="pt-PT"/>
        </w:rPr>
        <w:t xml:space="preserve">(queue, queue-ai, queue-media) terminarem as tarefas em curso e depois pará-los; parar </w:t>
      </w:r>
      <w:r>
        <w:rPr>
          <w:lang w:val="pt-PT"/>
        </w:rPr>
        <w:t xml:space="preserve"/>
      </w:r>
      <w:r>
        <w:rPr>
          <w:b/>
          <w:bCs/>
          <w:lang w:val="pt-PT"/>
        </w:rPr>
        <w:t xml:space="preserve">scheduler </w:t>
      </w:r>
      <w:r>
        <w:rPr>
          <w:lang w:val="pt-PT"/>
        </w:rPr>
        <w:t xml:space="preserve"/>
      </w:r>
      <w:r>
        <w:rPr>
          <w:lang w:val="pt-PT"/>
        </w:rPr>
        <w:t xml:space="preserve"/>
      </w:r>
      <w:r>
        <w:rPr>
          <w:lang w:val="pt-PT"/>
        </w:rPr>
        <w:t xml:space="preserve">e </w:t>
      </w:r>
      <w:r>
        <w:rPr>
          <w:b/>
          <w:bCs/>
          <w:lang w:val="pt-PT"/>
        </w:rPr>
        <w:t xml:space="preserve"/>
      </w:r>
      <w:r>
        <w:rPr>
          <w:lang w:val="pt-PT"/>
        </w:rPr>
        <w:t xml:space="preserve">reverb.</w:t>
      </w:r>
    </w:p>
    <w:p>
      <w:pPr>
        <w:pStyle w:val="Compact"/>
        <w:numPr>
          <w:ilvl w:val="0"/>
          <w:numId w:val="1030"/>
        </w:numPr>
      </w:pPr>
      <w:r>
        <w:rPr>
          <w:lang w:val="pt-PT"/>
        </w:rPr>
        <w:t xml:space="preserve">Parar </w:t>
      </w:r>
      <w:r>
        <w:rPr>
          <w:lang w:val="pt-PT"/>
        </w:rPr>
        <w:t xml:space="preserve"/>
      </w:r>
      <w:r>
        <w:rPr>
          <w:b/>
          <w:bCs/>
          <w:lang w:val="pt-PT"/>
        </w:rPr>
        <w:t xml:space="preserve">app </w:t>
      </w:r>
      <w:r>
        <w:rPr>
          <w:lang w:val="pt-PT"/>
        </w:rPr>
        <w:t xml:space="preserve"/>
      </w:r>
      <w:r>
        <w:rPr>
          <w:lang w:val="pt-PT"/>
        </w:rPr>
        <w:t xml:space="preserve">e </w:t>
      </w:r>
      <w:r>
        <w:rPr>
          <w:lang w:val="pt-PT"/>
        </w:rPr>
        <w:t xml:space="preserve"/>
      </w:r>
      <w:r>
        <w:rPr>
          <w:b/>
          <w:bCs/>
          <w:lang w:val="pt-PT"/>
        </w:rPr>
        <w:t xml:space="preserve"/>
      </w:r>
      <w:r>
        <w:rPr>
          <w:lang w:val="pt-PT"/>
        </w:rPr>
        <w:t xml:space="preserve">frontend.</w:t>
      </w:r>
    </w:p>
    <w:p>
      <w:pPr>
        <w:pStyle w:val="Compact"/>
        <w:numPr>
          <w:ilvl w:val="0"/>
          <w:numId w:val="1030"/>
        </w:numPr>
      </w:pPr>
      <w:r>
        <w:rPr>
          <w:lang w:val="pt-PT"/>
        </w:rPr>
        <w:t xml:space="preserve">Pare o </w:t>
      </w:r>
      <w:r>
        <w:rPr>
          <w:lang w:val="pt-PT"/>
        </w:rPr>
        <w:t xml:space="preserve"/>
      </w:r>
      <w:r>
        <w:rPr>
          <w:b/>
          <w:bCs/>
          <w:lang w:val="pt-PT"/>
        </w:rPr>
        <w:t xml:space="preserve">redis e </w:t>
      </w:r>
      <w:r>
        <w:rPr>
          <w:lang w:val="pt-PT"/>
        </w:rPr>
        <w:t xml:space="preserve"/>
      </w:r>
      <w:r>
        <w:rPr>
          <w:lang w:val="pt-PT"/>
        </w:rPr>
        <w:t xml:space="preserve">depois </w:t>
      </w:r>
      <w:r>
        <w:rPr>
          <w:lang w:val="pt-PT"/>
        </w:rPr>
        <w:t xml:space="preserve"/>
      </w:r>
      <w:r>
        <w:rPr>
          <w:b/>
          <w:bCs/>
          <w:lang w:val="pt-PT"/>
        </w:rPr>
        <w:t xml:space="preserve">o postgres </w:t>
      </w:r>
      <w:r>
        <w:rPr>
          <w:lang w:val="pt-PT"/>
        </w:rPr>
        <w:t xml:space="preserve"/>
      </w:r>
      <w:r>
        <w:rPr>
          <w:lang w:val="pt-PT"/>
        </w:rPr>
        <w:t xml:space="preserve">por último.</w:t>
      </w:r>
    </w:p>
    <w:p>
      <w:pPr>
        <w:pStyle w:val="FirstParagraph"/>
      </w:pPr>
      <w:r>
        <w:rPr>
          <w:b/>
          <w:bCs/>
          <w:lang w:val="pt-PT"/>
        </w:rPr>
        <w:t xml:space="preserve">Ordem de referência:</w:t>
      </w:r>
    </w:p>
    <w:p>
      <w:pPr>
        <w:pStyle w:val="SourceCode"/>
      </w:pPr>
      <w:r>
        <w:rPr>
          <w:rStyle w:val="BuiltInTok"/>
          <w:rFonts w:ascii="Courier New" w:hAnsi="Courier New" w:eastAsia="Courier New" w:cs="Courier New"/>
          <w:sz w:val="20"/>
          <w:szCs w:val="20"/>
        </w:rPr>
        <w:t xml:space="preserve">cd [A PREENCHER]</w:t>
        <w:br/>
        <w:t xml:space="preserve">docker compose down          # paragem completa</w:t>
        <w:br/>
        <w:t xml:space="preserve"># ou, para um serviço: docker compose stop &lt;service&gt;</w:t>
      </w:r>
    </w:p>
    <w:p>
      <w:pPr>
        <w:pStyle w:val="FirstParagraph"/>
      </w:pPr>
      <w:r>
        <w:rPr>
          <w:b/>
          <w:bCs/>
          <w:lang w:val="pt-PT"/>
        </w:rPr>
        <w:t xml:space="preserve">Recomendação: </w:t>
      </w:r>
      <w:r>
        <w:rPr>
          <w:lang w:val="pt-PT"/>
        </w:rPr>
        <w:t xml:space="preserve"/>
      </w:r>
      <w:r>
        <w:rPr>
          <w:lang w:val="pt-PT"/>
        </w:rPr>
        <w:t xml:space="preserve">para manutenção, privilegie uma janela </w:t>
      </w:r>
      <w:r>
        <w:rPr>
          <w:lang w:val="pt-PT"/>
        </w:rPr>
        <w:t xml:space="preserve"/>
      </w:r>
      <w:r>
        <w:rPr>
          <w:b/>
          <w:bCs/>
          <w:lang w:val="pt-PT"/>
        </w:rPr>
        <w:t xml:space="preserve">agendada e </w:t>
      </w:r>
      <w:r>
        <w:rPr>
          <w:lang w:val="pt-PT"/>
        </w:rPr>
        <w:t xml:space="preserve"/>
      </w:r>
      <w:r>
        <w:rPr>
          <w:lang w:val="pt-PT"/>
        </w:rPr>
        <w:t xml:space="preserve">verifique a ausência de jobs em andamento (</w:t>
      </w:r>
      <w:r>
        <w:rPr>
          <w:rStyle w:val="VerbatimChar"/>
          <w:lang w:val="pt-PT"/>
        </w:rPr>
        <w:t xml:space="preserve">docker compose logs queue queue-ai queue-media</w:t>
      </w:r>
      <w:r>
        <w:rPr>
          <w:lang w:val="pt-PT"/>
        </w:rPr>
        <w:t xml:space="preserve">) antes de parar.</w:t>
      </w:r>
    </w:p>
    <w:p>
      <w:r>
        <w:pict>
          <v:rect style="width:0;height:1.5pt" o:hralign="center" o:hrstd="t" o:hr="t"/>
        </w:pict>
      </w:r>
    </w:p>
    <w:bookmarkEnd w:id="120"/>
    <w:bookmarkStart w:id="121" w:name="Xb9501f1deee534c701f8da2afb8f04d315baeae"/>
    <w:p>
      <w:pPr>
        <w:pStyle w:val="Heading2"/>
        <w:keepNext/>
        <w:keepLines/>
      </w:pPr>
      <w:r>
        <w:rPr>
          <w:color w:val="000000"/>
          <w:lang w:val="pt-PT"/>
        </w:rPr>
        <w:t xml:space="preserve">EXPL-03 — Verificação de integridade</w:t>
      </w:r>
    </w:p>
    <w:p>
      <w:pPr>
        <w:pStyle w:val="FirstParagraph"/>
      </w:pPr>
      <w:r>
        <w:rPr>
          <w:b/>
          <w:bCs/>
          <w:lang w:val="pt-PT"/>
        </w:rPr>
        <w:t xml:space="preserve">Objetivo: </w:t>
      </w:r>
      <w:r>
        <w:rPr>
          <w:lang w:val="pt-PT"/>
        </w:rPr>
        <w:t xml:space="preserve"/>
      </w:r>
      <w:r>
        <w:rPr>
          <w:lang w:val="pt-PT"/>
        </w:rPr>
        <w:t xml:space="preserve">confirmar se a plataforma está operacional.</w:t>
      </w:r>
    </w:p>
    <w:p>
      <w:pPr>
        <w:pStyle w:val="BodyText"/>
      </w:pPr>
      <w:r>
        <w:rPr>
          <w:b/>
          <w:bCs/>
          <w:lang w:val="pt-PT"/>
        </w:rPr>
        <w:t xml:space="preserve">Controlos:</w:t>
      </w:r>
    </w:p>
    <w:p>
      <w:pPr>
        <w:numPr>
          <w:ilvl w:val="0"/>
          <w:numId w:val="1031"/>
        </w:numPr>
      </w:pPr>
      <w:r>
        <w:rPr>
          <w:b/>
          <w:bCs/>
          <w:lang w:val="pt-PT"/>
        </w:rPr>
        <w:t xml:space="preserve">Ponto final do aplicativo:</w:t>
      </w:r>
    </w:p>
    <w:p>
      <w:pPr>
        <w:pStyle w:val="SourceCode"/>
        <w:numPr>
          <w:ilvl w:val="0"/>
          <w:numId w:val="1000"/>
        </w:numPr>
      </w:pPr>
      <w:r>
        <w:rPr>
          <w:rStyle w:val="ExtensionTok"/>
          <w:rFonts w:ascii="Courier New" w:hAnsi="Courier New" w:eastAsia="Courier New" w:cs="Courier New"/>
          <w:sz w:val="20"/>
          <w:szCs w:val="20"/>
        </w:rPr>
        <w:t xml:space="preserve">curl -k https://[VIP/nome do serviço]/up</w:t>
        <w:br/>
        <w:t xml:space="preserve"># ou o endpoint de estado da aplicação disponibilizado pela API</w:t>
      </w:r>
    </w:p>
    <w:p>
      <w:pPr>
        <w:numPr>
          <w:ilvl w:val="0"/>
          <w:numId w:val="1000"/>
        </w:numPr>
      </w:pPr>
      <w:r>
        <w:rPr>
          <w:lang w:val="pt-PT"/>
        </w:rPr>
        <w:t xml:space="preserve">Resposta esperada: código 200.</w:t>
      </w:r>
    </w:p>
    <w:p>
      <w:pPr>
        <w:numPr>
          <w:ilvl w:val="0"/>
          <w:numId w:val="1031"/>
        </w:numPr>
      </w:pPr>
      <w:r>
        <w:rPr>
          <w:b/>
          <w:bCs/>
          <w:lang w:val="pt-PT"/>
        </w:rPr>
        <w:t xml:space="preserve">Estado dos recipientes:</w:t>
      </w:r>
    </w:p>
    <w:p>
      <w:pPr>
        <w:pStyle w:val="SourceCode"/>
        <w:numPr>
          <w:ilvl w:val="0"/>
          <w:numId w:val="1000"/>
        </w:numPr>
      </w:pPr>
      <w:r>
        <w:rPr>
          <w:rStyle w:val="ExtensionTok"/>
          <w:rFonts w:ascii="Courier New" w:hAnsi="Courier New" w:eastAsia="Courier New" w:cs="Courier New"/>
          <w:sz w:val="20"/>
          <w:szCs w:val="20"/>
        </w:rPr>
        <w:t xml:space="preserve">docker compose ps</w:t>
        <w:br/>
        <w:t xml:space="preserve"># Todos os serviços devem estar "Up (healthy)"</w:t>
      </w:r>
    </w:p>
    <w:p>
      <w:pPr>
        <w:numPr>
          <w:ilvl w:val="0"/>
          <w:numId w:val="1031"/>
        </w:numPr>
      </w:pPr>
      <w:r>
        <w:rPr>
          <w:b/>
          <w:bCs/>
          <w:lang w:val="pt-PT"/>
        </w:rPr>
        <w:t xml:space="preserve">Base de dados:</w:t>
      </w:r>
    </w:p>
    <w:p>
      <w:pPr>
        <w:pStyle w:val="SourceCode"/>
        <w:numPr>
          <w:ilvl w:val="0"/>
          <w:numId w:val="1000"/>
        </w:numPr>
      </w:pPr>
      <w:r>
        <w:rPr>
          <w:rStyle w:val="ExtensionTok"/>
          <w:rFonts w:ascii="Courier New" w:hAnsi="Courier New" w:eastAsia="Courier New" w:cs="Courier New"/>
          <w:sz w:val="20"/>
          <w:szCs w:val="20"/>
        </w:rPr>
        <w:t xml:space="preserve">docker compose exec postgres pg_isready -U [DB_USERNAME]</w:t>
      </w:r>
    </w:p>
    <w:p>
      <w:pPr>
        <w:numPr>
          <w:ilvl w:val="0"/>
          <w:numId w:val="1031"/>
        </w:numPr>
      </w:pPr>
      <w:r>
        <w:rPr>
          <w:b/>
          <w:bCs/>
          <w:lang w:val="pt-PT"/>
        </w:rPr>
        <w:t xml:space="preserve">Redis :</w:t>
      </w:r>
    </w:p>
    <w:p>
      <w:pPr>
        <w:pStyle w:val="SourceCode"/>
        <w:numPr>
          <w:ilvl w:val="0"/>
          <w:numId w:val="1000"/>
        </w:numPr>
      </w:pPr>
      <w:r>
        <w:rPr>
          <w:rStyle w:val="ExtensionTok"/>
          <w:rFonts w:ascii="Courier New" w:hAnsi="Courier New" w:eastAsia="Courier New" w:cs="Courier New"/>
          <w:sz w:val="18"/>
          <w:szCs w:val="18"/>
        </w:rPr>
        <w:t xml:space="preserve">docker compose exec redis redis-cli -a "$REDIS_PASSWORD" ping   # → PONG</w:t>
      </w:r>
    </w:p>
    <w:p>
      <w:pPr>
        <w:numPr>
          <w:ilvl w:val="0"/>
          <w:numId w:val="1031"/>
        </w:numPr>
      </w:pPr>
      <w:r>
        <w:rPr>
          <w:b/>
          <w:bCs/>
          <w:lang w:val="pt-PT"/>
        </w:rPr>
        <w:t xml:space="preserve">Filas: </w:t>
      </w:r>
      <w:r>
        <w:rPr>
          <w:lang w:val="pt-PT"/>
        </w:rPr>
        <w:t xml:space="preserve">verifique </w:t>
      </w:r>
      <w:r>
        <w:rPr>
          <w:lang w:val="pt-PT"/>
        </w:rPr>
        <w:t xml:space="preserve">se há acúmulo anormal (ver EXPL-12).</w:t>
      </w:r>
    </w:p>
    <w:p>
      <w:pPr>
        <w:numPr>
          <w:ilvl w:val="0"/>
          <w:numId w:val="1031"/>
        </w:numPr>
      </w:pPr>
      <w:r>
        <w:rPr>
          <w:b/>
          <w:bCs/>
          <w:lang w:val="pt-PT"/>
        </w:rPr>
        <w:t xml:space="preserve">Replicação (site ativo): </w:t>
      </w:r>
      <w:r>
        <w:rPr>
          <w:lang w:val="pt-PT"/>
        </w:rPr>
        <w:t xml:space="preserve">verifique </w:t>
      </w:r>
      <w:r>
        <w:rPr>
          <w:lang w:val="pt-PT"/>
        </w:rPr>
        <w:t xml:space="preserve">o status de espera da Sala B (atraso de replicação) - consulte o caderno de testes de aceitação EXPL-12 e T-BASCULE.</w:t>
      </w:r>
    </w:p>
    <w:p>
      <w:pPr>
        <w:pStyle w:val="FirstParagraph"/>
      </w:pPr>
      <w:r>
        <w:rPr>
          <w:b/>
          <w:bCs/>
          <w:lang w:val="pt-PT"/>
        </w:rPr>
        <w:t xml:space="preserve">Frequência recomendada: </w:t>
      </w:r>
      <w:r>
        <w:rPr>
          <w:lang w:val="pt-PT"/>
        </w:rPr>
        <w:t xml:space="preserve"/>
      </w:r>
      <w:r>
        <w:rPr>
          <w:lang w:val="pt-PT"/>
        </w:rPr>
        <w:t xml:space="preserve">controlo automatizado por supervisão (ver EXPL-12); controlo manual após cada operação (inicialização, atualização, restauração).</w:t>
      </w:r>
    </w:p>
    <w:p>
      <w:r>
        <w:pict>
          <v:rect style="width:0;height:1.5pt" o:hralign="center" o:hrstd="t" o:hr="t"/>
        </w:pict>
      </w:r>
    </w:p>
    <w:bookmarkEnd w:id="121"/>
    <w:bookmarkStart w:id="122" w:name="X7cf0a2722391921222c3c177acf5675bf991b9e"/>
    <w:p>
      <w:pPr>
        <w:pStyle w:val="Heading2"/>
        <w:keepNext/>
        <w:keepLines/>
      </w:pPr>
      <w:r>
        <w:rPr>
          <w:color w:val="000000"/>
          <w:lang w:val="pt-PT"/>
        </w:rPr>
        <w:t xml:space="preserve">EXPL-04 — Gerenciamento de contas e funções (RBAC)</w:t>
      </w:r>
    </w:p>
    <w:p>
      <w:pPr>
        <w:pStyle w:val="FirstParagraph"/>
      </w:pPr>
      <w:r>
        <w:rPr>
          <w:b/>
          <w:bCs/>
          <w:lang w:val="pt-PT"/>
        </w:rPr>
        <w:t xml:space="preserve">Objetivo: </w:t>
      </w:r>
      <w:r>
        <w:rPr>
          <w:lang w:val="pt-PT"/>
        </w:rPr>
        <w:t xml:space="preserve"/>
      </w:r>
      <w:r>
        <w:rPr>
          <w:lang w:val="pt-PT"/>
        </w:rPr>
        <w:t xml:space="preserve">administrar utilizadores de acordo com o modelo RBAC de 5 níveis.</w:t>
      </w:r>
    </w:p>
    <w:p>
      <w:pPr>
        <w:pStyle w:val="BodyText"/>
      </w:pPr>
      <w:r>
        <w:rPr>
          <w:b/>
          <w:bCs/>
          <w:lang w:val="pt-PT"/>
        </w:rPr>
        <w:t xml:space="preserve">Funções: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Função</w:t>
            </w:r>
          </w:p>
        </w:tc>
        <w:tc>
          <w:tcPr/>
          <w:p>
            <w:pPr>
              <w:pStyle w:val="Compact"/>
            </w:pPr>
            <w:r>
              <w:rPr>
                <w:lang w:val="pt-PT"/>
              </w:rPr>
              <w:t xml:space="preserve">Âmbito</w:t>
            </w:r>
          </w:p>
        </w:tc>
        <w:tc>
          <w:tcPr/>
          <w:p>
            <w:pPr>
              <w:pStyle w:val="Compact"/>
            </w:pPr>
            <w:r>
              <w:rPr>
                <w:lang w:val="pt-PT"/>
              </w:rPr>
              <w:t xml:space="preserve">Direitos</w:t>
            </w:r>
          </w:p>
        </w:tc>
      </w:tr>
      <w:tr>
        <w:trPr>
          <w:cantSplit/>
        </w:trPr>
        <w:tc>
          <w:tcPr/>
          <w:p>
            <w:pPr>
              <w:pStyle w:val="Compact"/>
            </w:pPr>
            <w:r>
              <w:rPr>
                <w:rStyle w:val="VerbatimChar"/>
                <w:lang w:val="pt-PT"/>
              </w:rPr>
              <w:t xml:space="preserve">super_admin</w:t>
            </w:r>
          </w:p>
        </w:tc>
        <w:tc>
          <w:tcPr/>
          <w:p>
            <w:pPr>
              <w:pStyle w:val="Compact"/>
            </w:pPr>
            <w:r>
              <w:rPr>
                <w:lang w:val="pt-PT"/>
              </w:rPr>
              <w:t xml:space="preserve">Plataforma</w:t>
            </w:r>
          </w:p>
        </w:tc>
        <w:tc>
          <w:tcPr/>
          <w:p>
            <w:pPr>
              <w:pStyle w:val="Compact"/>
            </w:pPr>
            <w:r>
              <w:rPr>
                <w:lang w:val="pt-PT"/>
              </w:rPr>
              <w:t xml:space="preserve">Tudo: organizações, utilizadores, configurações LLM, modelos, licenças</w:t>
            </w:r>
          </w:p>
        </w:tc>
      </w:tr>
      <w:tr>
        <w:trPr>
          <w:cantSplit/>
        </w:trPr>
        <w:tc>
          <w:tcPr/>
          <w:p>
            <w:pPr>
              <w:pStyle w:val="Compact"/>
            </w:pPr>
            <w:r>
              <w:rPr>
                <w:rStyle w:val="VerbatimChar"/>
                <w:lang w:val="pt-PT"/>
              </w:rPr>
              <w:t xml:space="preserve">agent</w:t>
            </w:r>
            <w:r>
              <w:rPr>
                <w:lang w:val="pt-PT"/>
              </w:rPr>
              <w:t xml:space="preserve"> </w:t>
            </w:r>
            <w:r>
              <w:rPr>
                <w:lang w:val="pt-PT"/>
              </w:rPr>
              <w:t xml:space="preserve">/</w:t>
            </w:r>
            <w:r>
              <w:rPr>
                <w:lang w:val="pt-PT"/>
              </w:rPr>
              <w:t xml:space="preserve"> </w:t>
            </w:r>
            <w:r>
              <w:rPr>
                <w:rStyle w:val="VerbatimChar"/>
                <w:lang w:val="pt-PT"/>
              </w:rPr>
              <w:t xml:space="preserve">super_agent</w:t>
            </w:r>
          </w:p>
        </w:tc>
        <w:tc>
          <w:tcPr/>
          <w:p>
            <w:pPr>
              <w:pStyle w:val="Compact"/>
            </w:pPr>
            <w:r>
              <w:rPr>
                <w:lang w:val="pt-PT"/>
              </w:rPr>
              <w:t xml:space="preserve">Multiorganização</w:t>
            </w:r>
          </w:p>
        </w:tc>
        <w:tc>
          <w:tcPr/>
          <w:p>
            <w:pPr>
              <w:pStyle w:val="Compact"/>
            </w:pPr>
            <w:r>
              <w:rPr>
                <w:lang w:val="pt-PT"/>
              </w:rPr>
              <w:t xml:space="preserve">Como super_admin, restrito a organizações atribuídas (a função da plataforma não acessa </w:t>
            </w:r>
            <w:r>
              <w:rPr>
                <w:lang w:val="pt-PT"/>
              </w:rPr>
              <w:t xml:space="preserve"/>
            </w:r>
            <w:r>
              <w:rPr>
                <w:b/>
                <w:bCs/>
                <w:lang w:val="pt-PT"/>
              </w:rPr>
              <w:t xml:space="preserve">o conteúdo </w:t>
            </w:r>
            <w:r>
              <w:rPr>
                <w:lang w:val="pt-PT"/>
              </w:rPr>
              <w:t xml:space="preserve"/>
            </w:r>
            <w:r>
              <w:rPr>
                <w:lang w:val="pt-PT"/>
              </w:rPr>
              <w:t xml:space="preserve">da organização)</w:t>
            </w:r>
          </w:p>
        </w:tc>
      </w:tr>
      <w:tr>
        <w:trPr>
          <w:cantSplit/>
        </w:trPr>
        <w:tc>
          <w:tcPr/>
          <w:p>
            <w:pPr>
              <w:pStyle w:val="Compact"/>
            </w:pPr>
            <w:r>
              <w:rPr>
                <w:rStyle w:val="VerbatimChar"/>
                <w:lang w:val="pt-PT"/>
              </w:rPr>
              <w:t xml:space="preserve">manager</w:t>
            </w:r>
          </w:p>
        </w:tc>
        <w:tc>
          <w:tcPr/>
          <w:p>
            <w:pPr>
              <w:pStyle w:val="Compact"/>
            </w:pPr>
            <w:r>
              <w:rPr>
                <w:lang w:val="pt-PT"/>
              </w:rPr>
              <w:t xml:space="preserve">Organização</w:t>
            </w:r>
          </w:p>
        </w:tc>
        <w:tc>
          <w:tcPr/>
          <w:p>
            <w:pPr>
              <w:pStyle w:val="Compact"/>
            </w:pPr>
            <w:r>
              <w:rPr>
                <w:lang w:val="pt-PT"/>
              </w:rPr>
              <w:t xml:space="preserve">Tudo em sua organização: sessões, configurações, utilizadores</w:t>
            </w:r>
          </w:p>
        </w:tc>
      </w:tr>
      <w:tr>
        <w:trPr>
          <w:cantSplit/>
        </w:trPr>
        <w:tc>
          <w:tcPr/>
          <w:p>
            <w:pPr>
              <w:pStyle w:val="Compact"/>
            </w:pPr>
            <w:r>
              <w:rPr>
                <w:rStyle w:val="VerbatimChar"/>
                <w:lang w:val="pt-PT"/>
              </w:rPr>
              <w:t xml:space="preserve">team_lead</w:t>
            </w:r>
          </w:p>
        </w:tc>
        <w:tc>
          <w:tcPr/>
          <w:p>
            <w:pPr>
              <w:pStyle w:val="Compact"/>
            </w:pPr>
            <w:r>
              <w:rPr>
                <w:lang w:val="pt-PT"/>
              </w:rPr>
              <w:t xml:space="preserve">Organização</w:t>
            </w:r>
          </w:p>
        </w:tc>
        <w:tc>
          <w:tcPr/>
          <w:p>
            <w:pPr>
              <w:pStyle w:val="Compact"/>
            </w:pPr>
            <w:r>
              <w:rPr>
                <w:lang w:val="pt-PT"/>
              </w:rPr>
              <w:t xml:space="preserve">Sessões de equipa, sem acesso às configurações</w:t>
            </w:r>
          </w:p>
        </w:tc>
      </w:tr>
      <w:tr>
        <w:trPr>
          <w:cantSplit/>
        </w:trPr>
        <w:tc>
          <w:tcPr/>
          <w:p>
            <w:pPr>
              <w:pStyle w:val="Compact"/>
            </w:pPr>
            <w:r>
              <w:rPr>
                <w:rStyle w:val="VerbatimChar"/>
                <w:lang w:val="pt-PT"/>
              </w:rPr>
              <w:t xml:space="preserve">user</w:t>
            </w:r>
          </w:p>
        </w:tc>
        <w:tc>
          <w:tcPr/>
          <w:p>
            <w:pPr>
              <w:pStyle w:val="Compact"/>
            </w:pPr>
            <w:r>
              <w:rPr>
                <w:lang w:val="pt-PT"/>
              </w:rPr>
              <w:t xml:space="preserve">Organização</w:t>
            </w:r>
          </w:p>
        </w:tc>
        <w:tc>
          <w:tcPr/>
          <w:p>
            <w:pPr>
              <w:pStyle w:val="Compact"/>
            </w:pPr>
            <w:r>
              <w:rPr>
                <w:lang w:val="pt-PT"/>
              </w:rPr>
              <w:t xml:space="preserve">Somente sessões próprias</w:t>
            </w:r>
          </w:p>
        </w:tc>
      </w:tr>
    </w:tbl>
    <w:p>
      <w:pPr>
        <w:pStyle w:val="BodyText"/>
      </w:pPr>
      <w:r>
        <w:rPr>
          <w:b/>
          <w:bCs/>
          <w:lang w:val="pt-PT"/>
        </w:rPr>
        <w:t xml:space="preserve">Melhores práticas:</w:t>
      </w:r>
    </w:p>
    <w:p>
      <w:pPr>
        <w:pStyle w:val="Compact"/>
        <w:numPr>
          <w:ilvl w:val="0"/>
          <w:numId w:val="1032"/>
        </w:numPr>
      </w:pPr>
      <w:r>
        <w:rPr>
          <w:lang w:val="pt-PT"/>
        </w:rPr>
        <w:t xml:space="preserve">Contas </w:t>
      </w:r>
      <w:r>
        <w:rPr>
          <w:lang w:val="pt-PT"/>
        </w:rPr>
        <w:t xml:space="preserve"/>
      </w:r>
      <w:r>
        <w:rPr>
          <w:b/>
          <w:bCs/>
          <w:lang w:val="pt-PT"/>
        </w:rPr>
        <w:t xml:space="preserve">nominativas; </w:t>
      </w:r>
      <w:r>
        <w:rPr>
          <w:lang w:val="pt-PT"/>
        </w:rPr>
        <w:t xml:space="preserve"/>
      </w:r>
      <w:r>
        <w:rPr>
          <w:lang w:val="pt-PT"/>
        </w:rPr>
        <w:t xml:space="preserve">nenhuma conta compartilhada.</w:t>
      </w:r>
    </w:p>
    <w:p>
      <w:pPr>
        <w:pStyle w:val="Compact"/>
        <w:numPr>
          <w:ilvl w:val="0"/>
          <w:numId w:val="1032"/>
        </w:numPr>
      </w:pPr>
      <w:r>
        <w:rPr>
          <w:lang w:val="pt-PT"/>
        </w:rPr>
        <w:t xml:space="preserve">Atribuição de </w:t>
      </w:r>
      <w:r>
        <w:rPr>
          <w:lang w:val="pt-PT"/>
        </w:rPr>
        <w:t xml:space="preserve"/>
      </w:r>
      <w:r>
        <w:rPr>
          <w:b/>
          <w:bCs/>
          <w:lang w:val="pt-PT"/>
        </w:rPr>
        <w:t xml:space="preserve">privilégio mínimo: </w:t>
      </w:r>
      <w:r>
        <w:rPr>
          <w:lang w:val="pt-PT"/>
        </w:rPr>
        <w:t xml:space="preserve"/>
      </w:r>
      <w:r>
        <w:rPr>
          <w:lang w:val="pt-PT"/>
        </w:rPr>
        <w:t xml:space="preserve">um utilizador recebe a função mínima necessária.</w:t>
      </w:r>
    </w:p>
    <w:p>
      <w:pPr>
        <w:pStyle w:val="Compact"/>
        <w:numPr>
          <w:ilvl w:val="0"/>
          <w:numId w:val="1032"/>
        </w:numPr>
      </w:pPr>
      <w:r>
        <w:rPr>
          <w:lang w:val="pt-PT"/>
        </w:rPr>
        <w:t xml:space="preserve">Revisão periódica de contas e funções (recomendado: semestral).</w:t>
      </w:r>
    </w:p>
    <w:p>
      <w:pPr>
        <w:pStyle w:val="Compact"/>
        <w:numPr>
          <w:ilvl w:val="0"/>
          <w:numId w:val="1032"/>
        </w:numPr>
      </w:pPr>
      <w:r>
        <w:rPr>
          <w:lang w:val="pt-PT"/>
        </w:rPr>
        <w:t xml:space="preserve">Desativação imediata de uma conta quando um agente sai.</w:t>
      </w:r>
    </w:p>
    <w:p>
      <w:pPr>
        <w:pStyle w:val="FirstParagraph"/>
      </w:pPr>
      <w:r>
        <w:rPr>
          <w:b/>
          <w:bCs/>
          <w:lang w:val="pt-PT"/>
        </w:rPr>
        <w:t xml:space="preserve">Ações destrutivas ou </w:t>
      </w:r>
      <w:r>
        <w:rPr>
          <w:lang w:val="pt-PT"/>
        </w:rPr>
        <w:t xml:space="preserve"/>
      </w:r>
      <w:r>
        <w:rPr>
          <w:lang w:val="pt-PT"/>
        </w:rPr>
        <w:t xml:space="preserve">confidenciais (exclusão, restauração, modificação de política </w:t>
      </w:r>
      <w:r>
        <w:rPr>
          <w:lang w:val="pt-PT"/>
        </w:rPr>
        <w:t xml:space="preserve"/>
      </w:r>
      <w:r>
        <w:rPr>
          <w:b/>
          <w:bCs/>
          <w:lang w:val="pt-PT"/>
        </w:rPr>
        <w:t xml:space="preserve">2FA): protegidas </w:t>
      </w:r>
      <w:r>
        <w:rPr>
          <w:lang w:val="pt-PT"/>
        </w:rPr>
        <w:t xml:space="preserve"/>
      </w:r>
      <w:r>
        <w:rPr>
          <w:lang w:val="pt-PT"/>
        </w:rPr>
        <w:t xml:space="preserve">por senha step-up.</w:t>
      </w:r>
    </w:p>
    <w:p>
      <w:pPr>
        <w:pStyle w:val="BodyText"/>
      </w:pPr>
      <w:r>
        <w:rPr>
          <w:b/>
          <w:bCs/>
          <w:lang w:val="pt-PT"/>
        </w:rPr>
        <w:t xml:space="preserve">Isolamento: </w:t>
      </w:r>
      <w:r>
        <w:rPr>
          <w:lang w:val="pt-PT"/>
        </w:rPr>
        <w:t xml:space="preserve"/>
      </w:r>
      <w:r>
        <w:rPr>
          <w:lang w:val="pt-PT"/>
        </w:rPr>
        <w:t xml:space="preserve">cada organização possui um esquema PostgreSQL dedicado; um utilizador de uma organização nunca vê os dados de outra (verificado na aceitação — T-SEC).</w:t>
      </w:r>
    </w:p>
    <w:p>
      <w:r>
        <w:pict>
          <v:rect style="width:0;height:1.5pt" o:hralign="center" o:hrstd="t" o:hr="t"/>
        </w:pict>
      </w:r>
    </w:p>
    <w:bookmarkEnd w:id="122"/>
    <w:bookmarkStart w:id="123" w:name="X9345030e2d149f695ad0d29359e22e714121ff6"/>
    <w:p>
      <w:pPr>
        <w:pStyle w:val="Heading2"/>
        <w:keepNext/>
        <w:keepLines/>
      </w:pPr>
      <w:r>
        <w:rPr>
          <w:color w:val="000000"/>
          <w:lang w:val="pt-PT"/>
        </w:rPr>
        <w:t xml:space="preserve">EXPL-05 — Criação do primeiro superadministrador</w:t>
      </w:r>
    </w:p>
    <w:p>
      <w:pPr>
        <w:pStyle w:val="FirstParagraph"/>
      </w:pPr>
      <w:r>
        <w:rPr>
          <w:b/>
          <w:bCs/>
          <w:lang w:val="pt-PT"/>
        </w:rPr>
        <w:t xml:space="preserve">Objetivo: </w:t>
      </w:r>
      <w:r>
        <w:rPr>
          <w:lang w:val="pt-PT"/>
        </w:rPr>
        <w:t xml:space="preserve"/>
      </w:r>
      <w:r>
        <w:rPr>
          <w:lang w:val="pt-PT"/>
        </w:rPr>
        <w:t xml:space="preserve">inicializar a conta de administração da plataforma após a instalação.</w:t>
      </w:r>
    </w:p>
    <w:p>
      <w:pPr>
        <w:pStyle w:val="BodyText"/>
      </w:pPr>
      <w:r>
        <w:rPr>
          <w:b/>
          <w:bCs/>
          <w:lang w:val="pt-PT"/>
        </w:rPr>
        <w:t xml:space="preserve">Procedimento de referência:</w:t>
      </w:r>
    </w:p>
    <w:p>
      <w:pPr>
        <w:pStyle w:val="SourceCode"/>
      </w:pPr>
      <w:r>
        <w:rPr>
          <w:rStyle w:val="ExtensionTok"/>
          <w:rFonts w:ascii="Courier New" w:hAnsi="Courier New" w:eastAsia="Courier New" w:cs="Courier New"/>
          <w:sz w:val="20"/>
          <w:szCs w:val="20"/>
        </w:rPr>
        <w:t xml:space="preserve">docker compose exec app php artisan tinker --execute="</w:t>
        <w:br/>
        <w:t xml:space="preserve">\App\Models\User::create([</w:t>
        <w:br/>
        <w:t xml:space="preserve">    'name' =&gt; '[Nome do administrador]',</w:t>
        <w:br/>
        <w:t xml:space="preserve">    'email' =&gt; '[email do administrador]',</w:t>
        <w:br/>
        <w:t xml:space="preserve">    'password' =&gt; bcrypt('[palavra-passe temporária forte]'),</w:t>
        <w:br/>
        <w:t xml:space="preserve">    'role' =&gt; 'super_admin',</w:t>
        <w:br/>
        <w:t xml:space="preserve">    'is_active' =&gt; true,</w:t>
        <w:br/>
        <w:t xml:space="preserve">]);"</w:t>
      </w:r>
    </w:p>
    <w:p>
      <w:pPr>
        <w:pStyle w:val="FirstParagraph"/>
      </w:pPr>
      <w:r>
        <w:rPr>
          <w:b/>
          <w:bCs/>
          <w:lang w:val="pt-PT"/>
        </w:rPr>
        <w:t xml:space="preserve">Após a criação:</w:t>
      </w:r>
    </w:p>
    <w:p>
      <w:pPr>
        <w:pStyle w:val="Compact"/>
        <w:numPr>
          <w:ilvl w:val="0"/>
          <w:numId w:val="1033"/>
        </w:numPr>
      </w:pPr>
      <w:r>
        <w:rPr>
          <w:lang w:val="pt-PT"/>
        </w:rPr>
        <w:t xml:space="preserve">Faça login </w:t>
      </w:r>
      <w:r>
        <w:rPr>
          <w:lang w:val="pt-PT"/>
        </w:rPr>
        <w:t xml:space="preserve"/>
      </w:r>
      <w:r>
        <w:rPr>
          <w:b/>
          <w:bCs/>
          <w:lang w:val="pt-PT"/>
        </w:rPr>
        <w:t xml:space="preserve">e altere a senha </w:t>
      </w:r>
      <w:r>
        <w:rPr>
          <w:lang w:val="pt-PT"/>
        </w:rPr>
        <w:t xml:space="preserve"/>
      </w:r>
      <w:r>
        <w:rPr>
          <w:lang w:val="pt-PT"/>
        </w:rPr>
        <w:t xml:space="preserve">temporária.</w:t>
      </w:r>
    </w:p>
    <w:p>
      <w:pPr>
        <w:pStyle w:val="Compact"/>
        <w:numPr>
          <w:ilvl w:val="0"/>
          <w:numId w:val="1033"/>
        </w:numPr>
      </w:pPr>
      <w:r>
        <w:rPr>
          <w:b/>
          <w:bCs/>
          <w:lang w:val="pt-PT"/>
        </w:rPr>
        <w:t xml:space="preserve">Ative 2FA </w:t>
      </w:r>
      <w:r>
        <w:rPr>
          <w:lang w:val="pt-PT"/>
        </w:rPr>
        <w:t xml:space="preserve"/>
      </w:r>
      <w:r>
        <w:rPr>
          <w:lang w:val="pt-PT"/>
        </w:rPr>
        <w:t xml:space="preserve">imediatamente (consulte EXPL-06).</w:t>
      </w:r>
    </w:p>
    <w:p>
      <w:pPr>
        <w:pStyle w:val="Compact"/>
        <w:numPr>
          <w:ilvl w:val="0"/>
          <w:numId w:val="1033"/>
        </w:numPr>
      </w:pPr>
      <w:r>
        <w:rPr>
          <w:lang w:val="pt-PT"/>
        </w:rPr>
        <w:t xml:space="preserve">Criar contas operacionais nominativas; reserve super_admin para operações de administração.</w:t>
      </w:r>
    </w:p>
    <w:p>
      <w:r>
        <w:pict>
          <v:rect style="width:0;height:1.5pt" o:hralign="center" o:hrstd="t" o:hr="t"/>
        </w:pict>
      </w:r>
    </w:p>
    <w:bookmarkEnd w:id="123"/>
    <w:bookmarkStart w:id="124" w:name="expl-06--politique-2fa"/>
    <w:p>
      <w:pPr>
        <w:pStyle w:val="Heading2"/>
        <w:keepNext/>
        <w:keepLines/>
      </w:pPr>
      <w:r>
        <w:rPr>
          <w:color w:val="000000"/>
          <w:lang w:val="pt-PT"/>
        </w:rPr>
        <w:t xml:space="preserve">EXPL-06 — Política 2FA</w:t>
      </w:r>
    </w:p>
    <w:p>
      <w:pPr>
        <w:pStyle w:val="FirstParagraph"/>
      </w:pPr>
      <w:r>
        <w:rPr>
          <w:b/>
          <w:bCs/>
          <w:lang w:val="pt-PT"/>
        </w:rPr>
        <w:t xml:space="preserve">Objetivo: </w:t>
      </w:r>
      <w:r>
        <w:rPr>
          <w:lang w:val="pt-PT"/>
        </w:rPr>
        <w:t xml:space="preserve"/>
      </w:r>
      <w:r>
        <w:rPr>
          <w:lang w:val="pt-PT"/>
        </w:rPr>
        <w:t xml:space="preserve">fortalecer a autenticação de duplo fator.</w:t>
      </w:r>
    </w:p>
    <w:p>
      <w:pPr>
        <w:pStyle w:val="BodyText"/>
      </w:pPr>
      <w:r>
        <w:rPr>
          <w:b/>
          <w:bCs/>
          <w:lang w:val="pt-PT"/>
        </w:rPr>
        <w:t xml:space="preserve">Recursos:</w:t>
      </w:r>
    </w:p>
    <w:p>
      <w:pPr>
        <w:pStyle w:val="Compact"/>
        <w:numPr>
          <w:ilvl w:val="0"/>
          <w:numId w:val="1034"/>
        </w:numPr>
      </w:pPr>
      <w:r>
        <w:rPr>
          <w:lang w:val="pt-PT"/>
        </w:rPr>
        <w:t xml:space="preserve">2FA </w:t>
      </w:r>
      <w:r>
        <w:rPr>
          <w:lang w:val="pt-PT"/>
        </w:rPr>
        <w:t xml:space="preserve"/>
      </w:r>
      <w:r>
        <w:rPr>
          <w:b/>
          <w:bCs/>
          <w:lang w:val="pt-PT"/>
        </w:rPr>
        <w:t xml:space="preserve">TOTP </w:t>
      </w:r>
      <w:r>
        <w:rPr>
          <w:lang w:val="pt-PT"/>
        </w:rPr>
        <w:t xml:space="preserve"/>
      </w:r>
      <w:r>
        <w:rPr>
          <w:lang w:val="pt-PT"/>
        </w:rPr>
        <w:t xml:space="preserve">compatível com RFC 6238 (Google Authenticator, Authy, Microsoft Authenticator, compatível com 1Password).</w:t>
      </w:r>
    </w:p>
    <w:p>
      <w:pPr>
        <w:pStyle w:val="Compact"/>
        <w:numPr>
          <w:ilvl w:val="0"/>
          <w:numId w:val="1034"/>
        </w:numPr>
      </w:pPr>
      <w:r>
        <w:rPr>
          <w:lang w:val="pt-PT"/>
        </w:rPr>
        <w:t xml:space="preserve">Inscrição </w:t>
      </w:r>
      <w:r>
        <w:rPr>
          <w:lang w:val="pt-PT"/>
        </w:rPr>
        <w:t xml:space="preserve"/>
      </w:r>
      <w:r>
        <w:rPr>
          <w:b/>
          <w:bCs/>
          <w:lang w:val="pt-PT"/>
        </w:rPr>
        <w:t xml:space="preserve">configurável por </w:t>
      </w:r>
      <w:r>
        <w:rPr>
          <w:lang w:val="pt-PT"/>
        </w:rPr>
        <w:t xml:space="preserve">função.</w:t>
      </w:r>
    </w:p>
    <w:p>
      <w:pPr>
        <w:pStyle w:val="Compact"/>
        <w:numPr>
          <w:ilvl w:val="0"/>
          <w:numId w:val="1034"/>
        </w:numPr>
      </w:pPr>
      <w:r>
        <w:rPr>
          <w:lang w:val="pt-PT"/>
        </w:rPr>
        <w:t xml:space="preserve">Segredos 2FA cifrados básicos (AES-256-CBC).</w:t>
      </w:r>
    </w:p>
    <w:p>
      <w:pPr>
        <w:pStyle w:val="FirstParagraph"/>
      </w:pPr>
      <w:r>
        <w:rPr>
          <w:b/>
          <w:bCs/>
          <w:lang w:val="pt-PT"/>
        </w:rPr>
        <w:t xml:space="preserve">Política recomendada:</w:t>
      </w:r>
    </w:p>
    <w:p>
      <w:pPr>
        <w:pStyle w:val="Compact"/>
        <w:numPr>
          <w:ilvl w:val="0"/>
          <w:numId w:val="1035"/>
        </w:numPr>
      </w:pPr>
      <w:r>
        <w:rPr>
          <w:b/>
          <w:bCs/>
          <w:lang w:val="pt-PT"/>
        </w:rPr>
        <w:t xml:space="preserve">2FA necessário </w:t>
      </w:r>
      <w:r>
        <w:rPr>
          <w:lang w:val="pt-PT"/>
        </w:rPr>
        <w:t xml:space="preserve"/>
      </w:r>
      <w:r>
        <w:rPr>
          <w:lang w:val="pt-PT"/>
        </w:rPr>
        <w:t xml:space="preserve">para </w:t>
      </w:r>
      <w:r>
        <w:rPr>
          <w:lang w:val="pt-PT"/>
        </w:rPr>
        <w:t xml:space="preserve"/>
      </w:r>
      <w:r>
        <w:rPr>
          <w:rStyle w:val="VerbatimChar"/>
          <w:lang w:val="pt-PT"/>
        </w:rPr>
        <w:t xml:space="preserve">super_admin</w:t>
      </w:r>
      <w:r>
        <w:rPr>
          <w:lang w:val="pt-PT"/>
        </w:rPr>
        <w:t xml:space="preserve">, </w:t>
      </w:r>
      <w:r>
        <w:rPr>
          <w:lang w:val="pt-PT"/>
        </w:rPr>
        <w:t xml:space="preserve"/>
      </w:r>
      <w:r>
        <w:rPr>
          <w:rStyle w:val="VerbatimChar"/>
          <w:lang w:val="pt-PT"/>
        </w:rPr>
        <w:t xml:space="preserve">agent</w:t>
      </w:r>
      <w:r>
        <w:rPr>
          <w:lang w:val="pt-PT"/>
        </w:rPr>
        <w:t xml:space="preserve">/</w:t>
      </w:r>
      <w:r>
        <w:rPr>
          <w:rStyle w:val="VerbatimChar"/>
          <w:lang w:val="pt-PT"/>
        </w:rPr>
        <w:t xml:space="preserve">super_agent</w:t>
      </w:r>
      <w:r>
        <w:rPr>
          <w:lang w:val="pt-PT"/>
        </w:rPr>
        <w:t xml:space="preserve">, </w:t>
      </w:r>
      <w:r>
        <w:rPr>
          <w:lang w:val="pt-PT"/>
        </w:rPr>
        <w:t xml:space="preserve"/>
      </w:r>
      <w:r>
        <w:rPr>
          <w:rStyle w:val="VerbatimChar"/>
          <w:lang w:val="pt-PT"/>
        </w:rPr>
        <w:t xml:space="preserve">manager</w:t>
      </w:r>
      <w:r>
        <w:rPr>
          <w:lang w:val="pt-PT"/>
        </w:rPr>
        <w:t xml:space="preserve">.</w:t>
      </w:r>
    </w:p>
    <w:p>
      <w:pPr>
        <w:pStyle w:val="Compact"/>
        <w:numPr>
          <w:ilvl w:val="0"/>
          <w:numId w:val="1035"/>
        </w:numPr>
      </w:pPr>
      <w:r>
        <w:rPr>
          <w:lang w:val="pt-PT"/>
        </w:rPr>
        <w:t xml:space="preserve">2FA recomendado para </w:t>
      </w:r>
      <w:r>
        <w:rPr>
          <w:lang w:val="pt-PT"/>
        </w:rPr>
        <w:t xml:space="preserve"/>
      </w:r>
      <w:r>
        <w:rPr>
          <w:rStyle w:val="VerbatimChar"/>
          <w:lang w:val="pt-PT"/>
        </w:rPr>
        <w:t xml:space="preserve">team_lead</w:t>
      </w:r>
      <w:r>
        <w:rPr>
          <w:lang w:val="pt-PT"/>
        </w:rPr>
        <w:t xml:space="preserve"> </w:t>
      </w:r>
      <w:r>
        <w:rPr>
          <w:lang w:val="pt-PT"/>
        </w:rPr>
        <w:t xml:space="preserve"/>
      </w:r>
      <w:r>
        <w:rPr>
          <w:lang w:val="pt-PT"/>
        </w:rPr>
        <w:t xml:space="preserve">e </w:t>
      </w:r>
      <w:r>
        <w:rPr>
          <w:rStyle w:val="VerbatimChar"/>
          <w:lang w:val="pt-PT"/>
        </w:rPr>
        <w:t xml:space="preserve">user</w:t>
      </w:r>
      <w:r>
        <w:rPr>
          <w:lang w:val="pt-PT"/>
        </w:rPr>
        <w:t xml:space="preserve"> </w:t>
      </w:r>
      <w:r>
        <w:rPr>
          <w:lang w:val="pt-PT"/>
        </w:rPr>
        <w:t xml:space="preserve">(a ser arbitrado de acordo com a política do Cliente).</w:t>
      </w:r>
    </w:p>
    <w:p>
      <w:pPr>
        <w:pStyle w:val="Compact"/>
        <w:numPr>
          <w:ilvl w:val="0"/>
          <w:numId w:val="1035"/>
        </w:numPr>
      </w:pPr>
      <w:r>
        <w:rPr>
          <w:lang w:val="pt-PT"/>
        </w:rPr>
        <w:t xml:space="preserve">Procedimento </w:t>
      </w:r>
      <w:r>
        <w:rPr>
          <w:lang w:val="pt-PT"/>
        </w:rPr>
        <w:t xml:space="preserve"/>
      </w:r>
      <w:r>
        <w:rPr>
          <w:b/>
          <w:bCs/>
          <w:lang w:val="pt-PT"/>
        </w:rPr>
        <w:t xml:space="preserve">de redefinição 2FA </w:t>
      </w:r>
      <w:r>
        <w:rPr>
          <w:lang w:val="pt-PT"/>
        </w:rPr>
        <w:t xml:space="preserve"/>
      </w:r>
      <w:r>
        <w:rPr>
          <w:lang w:val="pt-PT"/>
        </w:rPr>
        <w:t xml:space="preserve">supervisionado (senha avançada, rastreabilidade) em caso de perda do terminal de autenticação.</w:t>
      </w:r>
    </w:p>
    <w:p>
      <w:r>
        <w:pict>
          <v:rect style="width:0;height:1.5pt" o:hralign="center" o:hrstd="t" o:hr="t"/>
        </w:pict>
      </w:r>
    </w:p>
    <w:bookmarkEnd w:id="124"/>
    <w:bookmarkStart w:id="125" w:name="Xcd28ef92a9658efe0f1a45b603e6396ca593b46"/>
    <w:p>
      <w:pPr>
        <w:pStyle w:val="Heading2"/>
        <w:keepNext/>
        <w:keepLines/>
      </w:pPr>
      <w:r>
        <w:rPr>
          <w:color w:val="000000"/>
          <w:lang w:val="pt-PT"/>
        </w:rPr>
        <w:t xml:space="preserve">EXPL-07 — Salvando configurações existentes</w:t>
      </w:r>
    </w:p>
    <w:p>
      <w:pPr>
        <w:pStyle w:val="FirstParagraph"/>
      </w:pPr>
      <w:r>
        <w:rPr>
          <w:b/>
          <w:bCs/>
          <w:lang w:val="pt-PT"/>
        </w:rPr>
        <w:t xml:space="preserve">Objectivo: </w:t>
      </w:r>
      <w:r>
        <w:rPr>
          <w:lang w:val="pt-PT"/>
        </w:rPr>
        <w:t xml:space="preserve"/>
      </w:r>
      <w:r>
        <w:rPr>
          <w:lang w:val="pt-PT"/>
        </w:rPr>
        <w:t xml:space="preserve">ser capaz de reconstruir a configuração da plataforma de forma idêntica.</w:t>
      </w:r>
    </w:p>
    <w:p>
      <w:pPr>
        <w:pStyle w:val="BodyText"/>
      </w:pPr>
      <w:r>
        <w:rPr>
          <w:b/>
          <w:bCs/>
          <w:lang w:val="pt-PT"/>
        </w:rPr>
        <w:t xml:space="preserve">Itens para fazer backup:</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Elemento</w:t>
            </w:r>
          </w:p>
        </w:tc>
        <w:tc>
          <w:tcPr/>
          <w:p>
            <w:pPr>
              <w:pStyle w:val="Compact"/>
            </w:pPr>
            <w:r>
              <w:rPr>
                <w:lang w:val="pt-PT"/>
              </w:rPr>
              <w:t xml:space="preserve">Caminho (tipo)</w:t>
            </w:r>
          </w:p>
        </w:tc>
        <w:tc>
          <w:tcPr/>
          <w:p>
            <w:pPr>
              <w:pStyle w:val="Compact"/>
            </w:pPr>
            <w:r>
              <w:rPr>
                <w:lang w:val="pt-PT"/>
              </w:rPr>
              <w:t xml:space="preserve">Natureza</w:t>
            </w:r>
          </w:p>
        </w:tc>
      </w:tr>
      <w:tr>
        <w:trPr>
          <w:cantSplit/>
        </w:trPr>
        <w:tc>
          <w:tcPr/>
          <w:p>
            <w:pPr>
              <w:pStyle w:val="Compact"/>
            </w:pPr>
            <w:r>
              <w:rPr>
                <w:lang w:val="pt-PT"/>
              </w:rPr>
              <w:t xml:space="preserve">Variáveis de ambiente raiz</w:t>
            </w:r>
          </w:p>
        </w:tc>
        <w:tc>
          <w:tcPr/>
          <w:p>
            <w:pPr>
              <w:pStyle w:val="Compact"/>
            </w:pPr>
            <w:r>
              <w:rPr>
                <w:rStyle w:val="VerbatimChar"/>
                <w:lang w:val="pt-PT"/>
              </w:rPr>
              <w:t xml:space="preserve">./.env</w:t>
            </w:r>
          </w:p>
        </w:tc>
        <w:tc>
          <w:tcPr/>
          <w:p>
            <w:pPr>
              <w:pStyle w:val="Compact"/>
            </w:pPr>
            <w:r>
              <w:rPr>
                <w:lang w:val="pt-PT"/>
              </w:rPr>
              <w:t xml:space="preserve">Configurações do Docker (BDD, Redis, portas)</w:t>
            </w:r>
          </w:p>
        </w:tc>
      </w:tr>
      <w:tr>
        <w:trPr>
          <w:cantSplit/>
        </w:trPr>
        <w:tc>
          <w:tcPr/>
          <w:p>
            <w:pPr>
              <w:pStyle w:val="Compact"/>
            </w:pPr>
            <w:r>
              <w:rPr>
                <w:lang w:val="pt-PT"/>
              </w:rPr>
              <w:t xml:space="preserve">Variáveis Laravel</w:t>
            </w:r>
          </w:p>
        </w:tc>
        <w:tc>
          <w:tcPr/>
          <w:p>
            <w:pPr>
              <w:pStyle w:val="Compact"/>
            </w:pPr>
            <w:r>
              <w:rPr>
                <w:rStyle w:val="VerbatimChar"/>
                <w:lang w:val="pt-PT"/>
              </w:rPr>
              <w:t xml:space="preserve">./backend/.env</w:t>
            </w:r>
          </w:p>
        </w:tc>
        <w:tc>
          <w:tcPr/>
          <w:p>
            <w:pPr>
              <w:pStyle w:val="Compact"/>
            </w:pPr>
            <w:r>
              <w:rPr>
                <w:lang w:val="pt-PT"/>
              </w:rPr>
              <w:t xml:space="preserve">Parâmetros do aplicativo (APP_KEY, Sanctum, LLM local)</w:t>
            </w:r>
          </w:p>
        </w:tc>
      </w:tr>
      <w:tr>
        <w:trPr>
          <w:cantSplit/>
        </w:trPr>
        <w:tc>
          <w:tcPr/>
          <w:p>
            <w:pPr>
              <w:pStyle w:val="Compact"/>
            </w:pPr>
            <w:r>
              <w:rPr>
                <w:lang w:val="pt-PT"/>
              </w:rPr>
              <w:t xml:space="preserve">Orquestração</w:t>
            </w:r>
          </w:p>
        </w:tc>
        <w:tc>
          <w:tcPr/>
          <w:p>
            <w:pPr>
              <w:pStyle w:val="Compact"/>
            </w:pPr>
            <w:r>
              <w:rPr>
                <w:rStyle w:val="VerbatimChar"/>
                <w:lang w:val="pt-PT"/>
              </w:rPr>
              <w:t xml:space="preserve">./docker-compose.yml</w:t>
            </w:r>
            <w:r>
              <w:rPr>
                <w:lang w:val="pt-PT"/>
              </w:rPr>
              <w:t xml:space="preserve"> </w:t>
            </w:r>
            <w:r>
              <w:rPr>
                <w:lang w:val="pt-PT"/>
              </w:rPr>
              <w:t xml:space="preserve">(+ overrides)</w:t>
            </w:r>
          </w:p>
        </w:tc>
        <w:tc>
          <w:tcPr/>
          <w:p>
            <w:pPr>
              <w:pStyle w:val="Compact"/>
            </w:pPr>
            <w:r>
              <w:rPr>
                <w:lang w:val="pt-PT"/>
              </w:rPr>
              <w:t xml:space="preserve">Definição de serviços</w:t>
            </w:r>
          </w:p>
        </w:tc>
      </w:tr>
      <w:tr>
        <w:trPr>
          <w:cantSplit/>
        </w:trPr>
        <w:tc>
          <w:tcPr/>
          <w:p>
            <w:pPr>
              <w:pStyle w:val="Compact"/>
            </w:pPr>
            <w:r>
              <w:rPr>
                <w:lang w:val="pt-PT"/>
              </w:rPr>
              <w:t xml:space="preserve">configuração nginx</w:t>
            </w:r>
          </w:p>
        </w:tc>
        <w:tc>
          <w:tcPr/>
          <w:p>
            <w:pPr>
              <w:pStyle w:val="Compact"/>
            </w:pPr>
            <w:r>
              <w:rPr>
                <w:rStyle w:val="VerbatimChar"/>
                <w:lang w:val="pt-PT"/>
              </w:rPr>
              <w:t xml:space="preserve">./docker/nginx/default.conf</w:t>
            </w:r>
          </w:p>
        </w:tc>
        <w:tc>
          <w:tcPr/>
          <w:p>
            <w:pPr>
              <w:pStyle w:val="Compact"/>
            </w:pPr>
            <w:r>
              <w:rPr>
                <w:lang w:val="pt-PT"/>
              </w:rPr>
              <w:t xml:space="preserve">Proxy reverso, cabeçalhos de segurança</w:t>
            </w:r>
          </w:p>
        </w:tc>
      </w:tr>
      <w:tr>
        <w:trPr>
          <w:cantSplit/>
        </w:trPr>
        <w:tc>
          <w:tcPr/>
          <w:p>
            <w:pPr>
              <w:pStyle w:val="Compact"/>
            </w:pPr>
            <w:r>
              <w:rPr>
                <w:lang w:val="pt-PT"/>
              </w:rPr>
              <w:t xml:space="preserve">Configuração/replicação do PostgreSQL</w:t>
            </w:r>
          </w:p>
        </w:tc>
        <w:tc>
          <w:tcPr/>
          <w:p>
            <w:pPr>
              <w:pStyle w:val="Compact"/>
            </w:pPr>
            <w:r>
              <w:rPr>
                <w:rStyle w:val="VerbatimChar"/>
                <w:lang w:val="pt-PT"/>
              </w:rPr>
              <w:t xml:space="preserve">[PARA SER INFORMADO]</w:t>
            </w:r>
          </w:p>
        </w:tc>
        <w:tc>
          <w:tcPr/>
          <w:p>
            <w:pPr>
              <w:pStyle w:val="Compact"/>
            </w:pPr>
            <w:r>
              <w:rPr>
                <w:lang w:val="pt-PT"/>
              </w:rPr>
              <w:t xml:space="preserve">Configurações de replicação para a sala B</w:t>
            </w:r>
          </w:p>
        </w:tc>
      </w:tr>
      <w:tr>
        <w:trPr>
          <w:cantSplit/>
        </w:trPr>
        <w:tc>
          <w:tcPr/>
          <w:p>
            <w:pPr>
              <w:pStyle w:val="Compact"/>
            </w:pPr>
            <w:r>
              <w:rPr>
                <w:lang w:val="pt-PT"/>
              </w:rPr>
              <w:t xml:space="preserve">Certificados TLS</w:t>
            </w:r>
          </w:p>
        </w:tc>
        <w:tc>
          <w:tcPr/>
          <w:p>
            <w:pPr>
              <w:pStyle w:val="Compact"/>
            </w:pPr>
            <w:r>
              <w:rPr>
                <w:rStyle w:val="VerbatimChar"/>
                <w:lang w:val="pt-PT"/>
              </w:rPr>
              <w:t xml:space="preserve">[PARA SER INFORMADO]</w:t>
            </w:r>
          </w:p>
        </w:tc>
        <w:tc>
          <w:tcPr/>
          <w:p>
            <w:pPr>
              <w:pStyle w:val="Compact"/>
            </w:pPr>
            <w:r>
              <w:rPr>
                <w:lang w:val="pt-PT"/>
              </w:rPr>
              <w:t xml:space="preserve">Certificados e chaves (a serem protegidos)</w:t>
            </w:r>
          </w:p>
        </w:tc>
      </w:tr>
    </w:tbl>
    <w:p>
      <w:pPr>
        <w:pStyle w:val="BodyText"/>
      </w:pPr>
      <w:r>
        <w:rPr>
          <w:b/>
          <w:bCs/>
          <w:lang w:val="pt-PT"/>
        </w:rPr>
        <w:t xml:space="preserve">Procedimento:</w:t>
      </w:r>
    </w:p>
    <w:p>
      <w:pPr>
        <w:pStyle w:val="Compact"/>
        <w:numPr>
          <w:ilvl w:val="0"/>
          <w:numId w:val="1036"/>
        </w:numPr>
      </w:pPr>
      <w:r>
        <w:rPr>
          <w:lang w:val="pt-PT"/>
        </w:rPr>
        <w:t xml:space="preserve">Cópia de </w:t>
      </w:r>
      <w:r>
        <w:rPr>
          <w:lang w:val="pt-PT"/>
        </w:rPr>
        <w:t xml:space="preserve"/>
      </w:r>
      <w:r>
        <w:rPr>
          <w:b/>
          <w:bCs/>
          <w:lang w:val="pt-PT"/>
        </w:rPr>
        <w:t xml:space="preserve">segurança </w:t>
      </w:r>
      <w:r>
        <w:rPr>
          <w:lang w:val="pt-PT"/>
        </w:rPr>
        <w:t xml:space="preserve"/>
      </w:r>
      <w:r>
        <w:rPr>
          <w:lang w:val="pt-PT"/>
        </w:rPr>
        <w:t xml:space="preserve">cifrada destes ficheiros (contêm segredos): cifragem com </w:t>
      </w:r>
      <w:r>
        <w:rPr>
          <w:lang w:val="pt-PT"/>
        </w:rPr>
        <w:t xml:space="preserve"/>
      </w:r>
      <w:r>
        <w:rPr>
          <w:rStyle w:val="VerbatimChar"/>
          <w:lang w:val="pt-PT"/>
        </w:rPr>
        <w:t xml:space="preserve">age</w:t>
      </w:r>
      <w:r>
        <w:rPr>
          <w:lang w:val="pt-PT"/>
        </w:rPr>
        <w:t xml:space="preserve">, </w:t>
      </w:r>
      <w:r>
        <w:rPr>
          <w:lang w:val="pt-PT"/>
        </w:rPr>
        <w:t xml:space="preserve">tal como para os dados (EXPL-08).</w:t>
      </w:r>
    </w:p>
    <w:p>
      <w:pPr>
        <w:pStyle w:val="Compact"/>
        <w:numPr>
          <w:ilvl w:val="0"/>
          <w:numId w:val="1036"/>
        </w:numPr>
      </w:pPr>
      <w:r>
        <w:rPr>
          <w:b/>
          <w:bCs/>
          <w:lang w:val="pt-PT"/>
        </w:rPr>
        <w:t xml:space="preserve">Ritmo: </w:t>
      </w:r>
      <w:r>
        <w:rPr>
          <w:lang w:val="pt-PT"/>
        </w:rPr>
        <w:t xml:space="preserve"/>
      </w:r>
      <w:r>
        <w:rPr>
          <w:lang w:val="pt-PT"/>
        </w:rPr>
        <w:t xml:space="preserve">a cada mudança de configuração e durante o backup diário.</w:t>
      </w:r>
    </w:p>
    <w:p>
      <w:pPr>
        <w:pStyle w:val="Compact"/>
        <w:numPr>
          <w:ilvl w:val="0"/>
          <w:numId w:val="1036"/>
        </w:numPr>
      </w:pPr>
      <w:r>
        <w:rPr>
          <w:b/>
          <w:bCs/>
          <w:lang w:val="pt-PT"/>
        </w:rPr>
        <w:t xml:space="preserve">Versionamento </w:t>
      </w:r>
      <w:r>
        <w:rPr>
          <w:lang w:val="pt-PT"/>
        </w:rPr>
        <w:t xml:space="preserve"/>
      </w:r>
      <w:r>
        <w:rPr>
          <w:lang w:val="pt-PT"/>
        </w:rPr>
        <w:t xml:space="preserve">recomendado de ficheiros de configuração (excluindo segredos) em um repositório interno do Cliente.</w:t>
      </w:r>
    </w:p>
    <w:p>
      <w:pPr>
        <w:pStyle w:val="Compact"/>
        <w:numPr>
          <w:ilvl w:val="0"/>
          <w:numId w:val="1036"/>
        </w:numPr>
      </w:pPr>
      <w:r>
        <w:rPr>
          <w:lang w:val="pt-PT"/>
        </w:rPr>
        <w:t xml:space="preserve">Os </w:t>
      </w:r>
      <w:r>
        <w:rPr>
          <w:lang w:val="pt-PT"/>
        </w:rPr>
        <w:t xml:space="preserve"/>
      </w:r>
      <w:r>
        <w:rPr>
          <w:b/>
          <w:bCs/>
          <w:lang w:val="pt-PT"/>
        </w:rPr>
        <w:t xml:space="preserve">segredos </w:t>
      </w:r>
      <w:r>
        <w:rPr>
          <w:lang w:val="pt-PT"/>
        </w:rPr>
        <w:t xml:space="preserve"/>
      </w:r>
      <w:r>
        <w:rPr>
          <w:lang w:val="pt-PT"/>
        </w:rPr>
        <w:t xml:space="preserve">(senhas, chaves) nunca devem </w:t>
      </w:r>
      <w:r>
        <w:rPr>
          <w:lang w:val="pt-PT"/>
        </w:rPr>
        <w:t xml:space="preserve"/>
      </w:r>
      <w:r>
        <w:rPr>
          <w:b/>
          <w:bCs/>
          <w:lang w:val="pt-PT"/>
        </w:rPr>
        <w:t xml:space="preserve">aparecer </w:t>
      </w:r>
      <w:r>
        <w:rPr>
          <w:lang w:val="pt-PT"/>
        </w:rPr>
        <w:t xml:space="preserve"/>
      </w:r>
      <w:r>
        <w:rPr>
          <w:lang w:val="pt-PT"/>
        </w:rPr>
        <w:t xml:space="preserve">em texto simples em um repositório; eles vivem em </w:t>
      </w:r>
      <w:r>
        <w:rPr>
          <w:lang w:val="pt-PT"/>
        </w:rPr>
        <w:t xml:space="preserve"/>
      </w:r>
      <w:r>
        <w:rPr>
          <w:rStyle w:val="VerbatimChar"/>
          <w:lang w:val="pt-PT"/>
        </w:rPr>
        <w:t xml:space="preserve">.env</w:t>
      </w:r>
      <w:r>
        <w:rPr>
          <w:lang w:val="pt-PT"/>
        </w:rPr>
        <w:t xml:space="preserve">s </w:t>
      </w:r>
      <w:r>
        <w:rPr>
          <w:lang w:val="pt-PT"/>
        </w:rPr>
        <w:t xml:space="preserve">protegidos ou em um </w:t>
      </w:r>
      <w:r>
        <w:rPr>
          <w:lang w:val="pt-PT"/>
        </w:rPr>
        <w:t xml:space="preserve"/>
      </w:r>
      <w:r>
        <w:rPr>
          <w:rStyle w:val="VerbatimChar"/>
          <w:lang w:val="pt-PT"/>
        </w:rPr>
        <w:t xml:space="preserve">cofre </w:t>
      </w:r>
      <w:r>
        <w:rPr>
          <w:lang w:val="pt-PT"/>
        </w:rPr>
        <w:t xml:space="preserve">[ATENÇÃO].</w:t>
      </w:r>
    </w:p>
    <w:p>
      <w:r>
        <w:pict>
          <v:rect style="width:0;height:1.5pt" o:hralign="center" o:hrstd="t" o:hr="t"/>
        </w:pict>
      </w:r>
    </w:p>
    <w:bookmarkEnd w:id="125"/>
    <w:bookmarkStart w:id="126" w:name="expl-08--sauvegarde-des-données"/>
    <w:p>
      <w:pPr>
        <w:pStyle w:val="Heading2"/>
        <w:keepNext/>
        <w:keepLines/>
      </w:pPr>
      <w:r>
        <w:rPr>
          <w:color w:val="000000"/>
          <w:lang w:val="pt-PT"/>
        </w:rPr>
        <w:t xml:space="preserve">EXPL-08 — Backup de dados</w:t>
      </w:r>
    </w:p>
    <w:p>
      <w:pPr>
        <w:pStyle w:val="FirstParagraph"/>
      </w:pPr>
      <w:r>
        <w:rPr>
          <w:b/>
          <w:bCs/>
          <w:lang w:val="pt-PT"/>
        </w:rPr>
        <w:t xml:space="preserve">Objetivo: </w:t>
      </w:r>
      <w:r>
        <w:rPr>
          <w:lang w:val="pt-PT"/>
        </w:rPr>
        <w:t xml:space="preserve"/>
      </w:r>
      <w:r>
        <w:rPr>
          <w:lang w:val="pt-PT"/>
        </w:rPr>
        <w:t xml:space="preserve">garantir a restaurabilidade dos dados (RPO ≤ 24 h).</w:t>
      </w:r>
    </w:p>
    <w:p>
      <w:pPr>
        <w:pStyle w:val="BodyText"/>
      </w:pPr>
      <w:r>
        <w:rPr>
          <w:b/>
          <w:bCs/>
          <w:lang w:val="pt-PT"/>
        </w:rPr>
        <w:t xml:space="preserve">Conteúdo salvo:</w:t>
      </w:r>
    </w:p>
    <w:p>
      <w:pPr>
        <w:pStyle w:val="Compact"/>
        <w:numPr>
          <w:ilvl w:val="0"/>
          <w:numId w:val="1037"/>
        </w:numPr>
      </w:pPr>
      <w:r>
        <w:rPr>
          <w:b/>
          <w:bCs/>
          <w:lang w:val="pt-PT"/>
        </w:rPr>
        <w:t xml:space="preserve">Dump PostgreSQL </w:t>
      </w:r>
      <w:r>
        <w:rPr>
          <w:lang w:val="pt-PT"/>
        </w:rPr>
        <w:t xml:space="preserve"/>
      </w:r>
      <w:r>
        <w:rPr>
          <w:lang w:val="pt-PT"/>
        </w:rPr>
        <w:t xml:space="preserve">(todas as organizações, esquema por organização).</w:t>
      </w:r>
    </w:p>
    <w:p>
      <w:pPr>
        <w:pStyle w:val="Compact"/>
        <w:numPr>
          <w:ilvl w:val="0"/>
          <w:numId w:val="1037"/>
        </w:numPr>
      </w:pPr>
      <w:r>
        <w:rPr>
          <w:b/>
          <w:bCs/>
          <w:lang w:val="pt-PT"/>
        </w:rPr>
        <w:t xml:space="preserve">Volumes de armazenamento: </w:t>
      </w:r>
      <w:r>
        <w:rPr>
          <w:lang w:val="pt-PT"/>
        </w:rPr>
        <w:t xml:space="preserve"/>
      </w:r>
      <w:r>
        <w:rPr>
          <w:lang w:val="pt-PT"/>
        </w:rPr>
        <w:t xml:space="preserve">ficheiros de áudio, documentos, exportações.</w:t>
      </w:r>
    </w:p>
    <w:p>
      <w:pPr>
        <w:pStyle w:val="FirstParagraph"/>
      </w:pPr>
      <w:r>
        <w:rPr>
          <w:b/>
          <w:bCs/>
          <w:lang w:val="pt-PT"/>
        </w:rPr>
        <w:t xml:space="preserve">Cifragem: os </w:t>
      </w:r>
      <w:r>
        <w:rPr>
          <w:lang w:val="pt-PT"/>
        </w:rPr>
        <w:t xml:space="preserve"/>
      </w:r>
      <w:r>
        <w:rPr>
          <w:lang w:val="pt-PT"/>
        </w:rPr>
        <w:t xml:space="preserve">backups são cifrados </w:t>
      </w:r>
      <w:r>
        <w:rPr>
          <w:lang w:val="pt-PT"/>
        </w:rPr>
        <w:t xml:space="preserve"/>
      </w:r>
      <w:r>
        <w:rPr>
          <w:b/>
          <w:bCs/>
          <w:lang w:val="pt-PT"/>
        </w:rPr>
        <w:t xml:space="preserve">antes de serem gravados </w:t>
      </w:r>
      <w:r>
        <w:rPr>
          <w:lang w:val="pt-PT"/>
        </w:rPr>
        <w:t xml:space="preserve"/>
      </w:r>
      <w:r>
        <w:rPr>
          <w:lang w:val="pt-PT"/>
        </w:rPr>
        <w:t xml:space="preserve">com </w:t>
      </w:r>
      <w:r>
        <w:rPr>
          <w:lang w:val="pt-PT"/>
        </w:rPr>
        <w:t xml:space="preserve">a </w:t>
      </w:r>
      <w:r>
        <w:rPr>
          <w:rStyle w:val="VerbatimChar"/>
          <w:lang w:val="pt-PT"/>
        </w:rPr>
        <w:t xml:space="preserve">age</w:t>
      </w:r>
      <w:r>
        <w:rPr>
          <w:lang w:val="pt-PT"/>
        </w:rPr>
        <w:t xml:space="preserve"> </w:t>
      </w:r>
      <w:r>
        <w:rPr>
          <w:lang w:val="pt-PT"/>
        </w:rPr>
        <w:t xml:space="preserve">(X25519 + ChaCha20-Poly1305). A chave de cifragem pública é implementada no servidor; a </w:t>
      </w:r>
      <w:r>
        <w:rPr>
          <w:lang w:val="pt-PT"/>
        </w:rPr>
        <w:t xml:space="preserve"/>
      </w:r>
      <w:r>
        <w:rPr>
          <w:b/>
          <w:bCs/>
          <w:lang w:val="pt-PT"/>
        </w:rPr>
        <w:t xml:space="preserve">chave privada é mantida pelo Cliente, </w:t>
      </w:r>
      <w:r>
        <w:rPr>
          <w:lang w:val="pt-PT"/>
        </w:rPr>
        <w:t xml:space="preserve">mantida fora dos servidores de backup.</w:t>
      </w:r>
    </w:p>
    <w:p>
      <w:pPr>
        <w:pStyle w:val="BodyText"/>
      </w:pPr>
      <w:r>
        <w:rPr>
          <w:b/>
          <w:bCs/>
          <w:lang w:val="pt-PT"/>
        </w:rPr>
        <w:t xml:space="preserve">Procedimento de referência:</w:t>
      </w:r>
    </w:p>
    <w:p>
      <w:pPr>
        <w:pStyle w:val="SourceCode"/>
      </w:pPr>
      <w:r>
        <w:rPr>
          <w:rStyle w:val="CommentTok"/>
          <w:rFonts w:ascii="Courier New" w:hAnsi="Courier New" w:eastAsia="Courier New" w:cs="Courier New"/>
          <w:sz w:val="17"/>
          <w:szCs w:val="17"/>
        </w:rPr>
        <w:t xml:space="preserve"># Cópia de segurança encriptada (script fornecido, a fixar na implementação)</w:t>
        <w:br/>
        <w:t xml:space="preserve">[A PREENCHER: p. ex. ./scripts/backup-offsite.sh]</w:t>
      </w:r>
    </w:p>
    <w:p>
      <w:pPr>
        <w:pStyle w:val="FirstParagraph"/>
      </w:pPr>
      <w:r>
        <w:rPr>
          <w:b/>
          <w:bCs/>
          <w:lang w:val="pt-PT"/>
        </w:rPr>
        <w:t xml:space="preserve">Ritmo e retenção:</w:t>
      </w:r>
    </w:p>
    <w:p>
      <w:pPr>
        <w:pStyle w:val="Compact"/>
        <w:numPr>
          <w:ilvl w:val="0"/>
          <w:numId w:val="1038"/>
        </w:numPr>
      </w:pPr>
      <w:r>
        <w:rPr>
          <w:b/>
          <w:bCs/>
          <w:lang w:val="pt-PT"/>
        </w:rPr>
        <w:t xml:space="preserve">Diariamente </w:t>
      </w:r>
      <w:r>
        <w:rPr>
          <w:lang w:val="pt-PT"/>
        </w:rPr>
        <w:t xml:space="preserve"/>
      </w:r>
      <w:r>
        <w:rPr>
          <w:lang w:val="pt-PT"/>
        </w:rPr>
        <w:t xml:space="preserve">(backup completo).</w:t>
      </w:r>
    </w:p>
    <w:p>
      <w:pPr>
        <w:pStyle w:val="Compact"/>
        <w:numPr>
          <w:ilvl w:val="0"/>
          <w:numId w:val="1038"/>
        </w:numPr>
      </w:pPr>
      <w:r>
        <w:rPr>
          <w:lang w:val="pt-PT"/>
        </w:rPr>
        <w:t xml:space="preserve">Retenção: </w:t>
      </w:r>
      <w:r>
        <w:rPr>
          <w:lang w:val="pt-PT"/>
        </w:rPr>
        <w:t xml:space="preserve"/>
      </w:r>
      <w:r>
        <w:rPr>
          <w:b/>
          <w:bCs/>
          <w:lang w:val="pt-PT"/>
        </w:rPr>
        <w:t xml:space="preserve">90 dias </w:t>
      </w:r>
      <w:r>
        <w:rPr>
          <w:lang w:val="pt-PT"/>
        </w:rPr>
        <w:t xml:space="preserve"/>
      </w:r>
      <w:r>
        <w:rPr>
          <w:lang w:val="pt-PT"/>
        </w:rPr>
        <w:t xml:space="preserve">(completo), </w:t>
      </w:r>
      <w:r>
        <w:rPr>
          <w:lang w:val="pt-PT"/>
        </w:rPr>
        <w:t xml:space="preserve"/>
      </w:r>
      <w:r>
        <w:rPr>
          <w:b/>
          <w:bCs/>
          <w:lang w:val="pt-PT"/>
        </w:rPr>
        <w:t xml:space="preserve">30 dias </w:t>
      </w:r>
      <w:r>
        <w:rPr>
          <w:lang w:val="pt-PT"/>
        </w:rPr>
        <w:t xml:space="preserve"/>
      </w:r>
      <w:r>
        <w:rPr>
          <w:lang w:val="pt-PT"/>
        </w:rPr>
        <w:t xml:space="preserve">por organização.</w:t>
      </w:r>
    </w:p>
    <w:p>
      <w:pPr>
        <w:pStyle w:val="Compact"/>
        <w:numPr>
          <w:ilvl w:val="0"/>
          <w:numId w:val="1038"/>
        </w:numPr>
      </w:pPr>
      <w:r>
        <w:rPr>
          <w:lang w:val="pt-PT"/>
        </w:rPr>
        <w:t xml:space="preserve">Destino: Armazenamento de backup interno do cliente (em variante isolada, </w:t>
      </w:r>
      <w:r>
        <w:rPr>
          <w:lang w:val="pt-PT"/>
        </w:rPr>
        <w:t xml:space="preserve"/>
      </w:r>
      <w:r>
        <w:rPr>
          <w:b/>
          <w:bCs/>
          <w:lang w:val="pt-PT"/>
        </w:rPr>
        <w:t xml:space="preserve">sem terceirização de </w:t>
      </w:r>
      <w:r>
        <w:rPr>
          <w:lang w:val="pt-PT"/>
        </w:rPr>
        <w:t xml:space="preserve">nuvem).</w:t>
      </w:r>
    </w:p>
    <w:p>
      <w:pPr>
        <w:pStyle w:val="FirstParagraph"/>
      </w:pPr>
      <w:r>
        <w:rPr>
          <w:b/>
          <w:bCs/>
          <w:lang w:val="pt-PT"/>
        </w:rPr>
        <w:t xml:space="preserve">Granularidade: </w:t>
      </w:r>
      <w:r>
        <w:rPr>
          <w:lang w:val="pt-PT"/>
        </w:rPr>
        <w:t xml:space="preserve"/>
      </w:r>
      <w:r>
        <w:rPr>
          <w:lang w:val="pt-PT"/>
        </w:rPr>
        <w:t xml:space="preserve">o backup/restauração é granular </w:t>
      </w:r>
      <w:r>
        <w:rPr>
          <w:lang w:val="pt-PT"/>
        </w:rPr>
        <w:t xml:space="preserve"/>
      </w:r>
      <w:r>
        <w:rPr>
          <w:b/>
          <w:bCs/>
          <w:lang w:val="pt-PT"/>
        </w:rPr>
        <w:t xml:space="preserve">por organização (esquema </w:t>
      </w:r>
      <w:r>
        <w:rPr>
          <w:lang w:val="pt-PT"/>
        </w:rPr>
        <w:t xml:space="preserve"/>
      </w:r>
      <w:r>
        <w:rPr>
          <w:lang w:val="pt-PT"/>
        </w:rPr>
        <w:t xml:space="preserve">PostgreSQL dedicado), o que permite a recuperação direcionada.</w:t>
      </w:r>
    </w:p>
    <w:p>
      <w:r>
        <w:pict>
          <v:rect style="width:0;height:1.5pt" o:hralign="center" o:hrstd="t" o:hr="t"/>
        </w:pict>
      </w:r>
    </w:p>
    <w:bookmarkEnd w:id="126"/>
    <w:bookmarkStart w:id="127" w:name="expl-09--restauration-des-données"/>
    <w:p>
      <w:pPr>
        <w:pStyle w:val="Heading2"/>
        <w:keepNext/>
        <w:keepLines/>
      </w:pPr>
      <w:r>
        <w:rPr>
          <w:color w:val="000000"/>
          <w:lang w:val="pt-PT"/>
        </w:rPr>
        <w:t xml:space="preserve">EXPL-09 — Restauração de dados</w:t>
      </w:r>
    </w:p>
    <w:p>
      <w:pPr>
        <w:pStyle w:val="FirstParagraph"/>
      </w:pPr>
      <w:r>
        <w:rPr>
          <w:b/>
          <w:bCs/>
          <w:lang w:val="pt-PT"/>
        </w:rPr>
        <w:t xml:space="preserve">Objetivo: </w:t>
      </w:r>
      <w:r>
        <w:rPr>
          <w:lang w:val="pt-PT"/>
        </w:rPr>
        <w:t xml:space="preserve"/>
      </w:r>
      <w:r>
        <w:rPr>
          <w:lang w:val="pt-PT"/>
        </w:rPr>
        <w:t xml:space="preserve">restaurar todos ou parte dos dados com segurança.</w:t>
      </w:r>
    </w:p>
    <w:p>
      <w:pPr>
        <w:pStyle w:val="BodyText"/>
      </w:pPr>
      <w:r>
        <w:rPr>
          <w:b/>
          <w:bCs/>
          <w:lang w:val="pt-PT"/>
        </w:rPr>
        <w:t xml:space="preserve">Princípio de segurança — snapshot anti-sobregravação: </w:t>
      </w:r>
      <w:r>
        <w:rPr>
          <w:lang w:val="pt-PT"/>
        </w:rPr>
        <w:t xml:space="preserve"/>
      </w:r>
      <w:r>
        <w:rPr>
          <w:lang w:val="pt-PT"/>
        </w:rPr>
        <w:t xml:space="preserve">antes de qualquer restauração, </w:t>
      </w:r>
      <w:r>
        <w:rPr>
          <w:lang w:val="pt-PT"/>
        </w:rPr>
        <w:t xml:space="preserve"/>
      </w:r>
      <w:r>
        <w:rPr>
          <w:b/>
          <w:bCs/>
          <w:lang w:val="pt-PT"/>
        </w:rPr>
        <w:t xml:space="preserve">é tirado um snapshot do </w:t>
      </w:r>
      <w:r>
        <w:rPr>
          <w:lang w:val="pt-PT"/>
        </w:rPr>
        <w:t xml:space="preserve">estado </w:t>
      </w:r>
      <w:r>
        <w:rPr>
          <w:lang w:val="pt-PT"/>
        </w:rPr>
        <w:t xml:space="preserve">atual para evitar qualquer sobrescrição irreversível.</w:t>
      </w:r>
    </w:p>
    <w:p>
      <w:pPr>
        <w:pStyle w:val="BodyText"/>
      </w:pPr>
      <w:r>
        <w:rPr>
          <w:b/>
          <w:bCs/>
          <w:lang w:val="pt-PT"/>
        </w:rPr>
        <w:t xml:space="preserve">Procedimento de referência:</w:t>
      </w:r>
    </w:p>
    <w:p>
      <w:pPr>
        <w:pStyle w:val="SourceCode"/>
      </w:pPr>
      <w:r>
        <w:rPr>
          <w:rStyle w:val="CommentTok"/>
          <w:rFonts w:ascii="Courier New" w:hAnsi="Courier New" w:eastAsia="Courier New" w:cs="Courier New"/>
          <w:sz w:val="16"/>
          <w:szCs w:val="16"/>
        </w:rPr>
        <w:t xml:space="preserve"># 1. Instantâneo de segurança do estado atual (automático no script)</w:t>
        <w:br/>
        <w:t xml:space="preserve"># 2. Desencriptação (chave age privada do Cliente necessária)</w:t>
        <w:br/>
        <w:t xml:space="preserve"># 3. Restauro</w:t>
        <w:br/>
        <w:t xml:space="preserve">[A PREENCHER: p. ex. ./scripts/restore-from-offsite.sh &lt;archive&gt; [--org &lt;schema&gt;]]</w:t>
        <w:br/>
        <w:t xml:space="preserve"># 4. Verificação de integridade (ver EXPL-03)</w:t>
      </w:r>
    </w:p>
    <w:p>
      <w:pPr>
        <w:pStyle w:val="FirstParagraph"/>
      </w:pPr>
      <w:r>
        <w:rPr>
          <w:b/>
          <w:bCs/>
          <w:lang w:val="pt-PT"/>
        </w:rPr>
        <w:t xml:space="preserve">Restauração granular: </w:t>
      </w:r>
      <w:r>
        <w:rPr>
          <w:lang w:val="pt-PT"/>
        </w:rPr>
        <w:t xml:space="preserve"/>
      </w:r>
      <w:r>
        <w:rPr>
          <w:lang w:val="pt-PT"/>
        </w:rPr>
        <w:t xml:space="preserve">a opção </w:t>
      </w:r>
      <w:r>
        <w:rPr>
          <w:lang w:val="pt-PT"/>
        </w:rPr>
        <w:t xml:space="preserve"/>
      </w:r>
      <w:r>
        <w:rPr>
          <w:rStyle w:val="VerbatimChar"/>
          <w:lang w:val="pt-PT"/>
        </w:rPr>
        <w:t xml:space="preserve">--org &lt;schema&gt;</w:t>
      </w:r>
      <w:r>
        <w:rPr>
          <w:lang w:val="pt-PT"/>
        </w:rPr>
        <w:t xml:space="preserve"> </w:t>
      </w:r>
      <w:r>
        <w:rPr>
          <w:lang w:val="pt-PT"/>
        </w:rPr>
        <w:t xml:space="preserve">(ou equivalente) restaura </w:t>
      </w:r>
      <w:r>
        <w:rPr>
          <w:lang w:val="pt-PT"/>
        </w:rPr>
        <w:t xml:space="preserve"/>
      </w:r>
      <w:r>
        <w:rPr>
          <w:b/>
          <w:bCs/>
          <w:lang w:val="pt-PT"/>
        </w:rPr>
        <w:t xml:space="preserve">uma única organização </w:t>
      </w:r>
      <w:r>
        <w:rPr>
          <w:lang w:val="pt-PT"/>
        </w:rPr>
        <w:t xml:space="preserve"/>
      </w:r>
      <w:r>
        <w:rPr>
          <w:lang w:val="pt-PT"/>
        </w:rPr>
        <w:t xml:space="preserve">sem afetar as outras.</w:t>
      </w:r>
    </w:p>
    <w:p>
      <w:pPr>
        <w:pStyle w:val="BodyText"/>
      </w:pPr>
      <w:r>
        <w:rPr>
          <w:b/>
          <w:bCs/>
          <w:lang w:val="pt-PT"/>
        </w:rPr>
        <w:t xml:space="preserve">Teste de restauro: </w:t>
      </w:r>
      <w:r>
        <w:rPr>
          <w:lang w:val="pt-PT"/>
        </w:rPr>
        <w:t xml:space="preserve"/>
      </w:r>
      <w:r>
        <w:rPr>
          <w:lang w:val="pt-PT"/>
        </w:rPr>
        <w:t xml:space="preserve"/>
      </w:r>
      <w:r>
        <w:rPr>
          <w:lang w:val="pt-PT"/>
        </w:rPr>
        <w:t xml:space="preserve">recomenda-se </w:t>
      </w:r>
      <w:r>
        <w:rPr>
          <w:b/>
          <w:bCs/>
          <w:lang w:val="pt-PT"/>
        </w:rPr>
        <w:t xml:space="preserve">um teste periódico de </w:t>
      </w:r>
      <w:r>
        <w:rPr>
          <w:lang w:val="pt-PT"/>
        </w:rPr>
        <w:t xml:space="preserve"/>
      </w:r>
      <w:r>
        <w:rPr>
          <w:lang w:val="pt-PT"/>
        </w:rPr>
        <w:t xml:space="preserve">restauro </w:t>
      </w:r>
      <w:r>
        <w:rPr>
          <w:lang w:val="pt-PT"/>
        </w:rPr>
        <w:t xml:space="preserve"/>
      </w:r>
      <w:r>
        <w:rPr>
          <w:b/>
          <w:bCs/>
          <w:lang w:val="pt-PT"/>
        </w:rPr>
        <w:t xml:space="preserve">(pelo </w:t>
      </w:r>
      <w:r>
        <w:rPr>
          <w:lang w:val="pt-PT"/>
        </w:rPr>
        <w:t xml:space="preserve">menos </w:t>
      </w:r>
      <w:r>
        <w:rPr>
          <w:lang w:val="pt-PT"/>
        </w:rPr>
        <w:t xml:space="preserve">trimestral), numa organização de teste, com verificação de integridade. Este teste integra o caderno de testes de aceitação (T-EXPL / T-BASCULE).</w:t>
      </w:r>
    </w:p>
    <w:p>
      <w:r>
        <w:pict>
          <v:rect style="width:0;height:1.5pt" o:hralign="center" o:hrstd="t" o:hr="t"/>
        </w:pict>
      </w:r>
    </w:p>
    <w:bookmarkEnd w:id="127"/>
    <w:bookmarkStart w:id="128" w:name="X21bbfe477be03a767150d07b102367141f8c55f"/>
    <w:p>
      <w:pPr>
        <w:pStyle w:val="Heading2"/>
        <w:keepNext/>
        <w:keepLines/>
      </w:pPr>
      <w:r>
        <w:rPr>
          <w:color w:val="000000"/>
          <w:lang w:val="pt-PT"/>
        </w:rPr>
        <w:t xml:space="preserve">EXPL-10 — Atualização e reversão de aplicativos</w:t>
      </w:r>
    </w:p>
    <w:p>
      <w:pPr>
        <w:pStyle w:val="FirstParagraph"/>
      </w:pPr>
      <w:r>
        <w:rPr>
          <w:b/>
          <w:bCs/>
          <w:lang w:val="pt-PT"/>
        </w:rPr>
        <w:t xml:space="preserve">Objetivo: </w:t>
      </w:r>
      <w:r>
        <w:rPr>
          <w:lang w:val="pt-PT"/>
        </w:rPr>
        <w:t xml:space="preserve"/>
      </w:r>
      <w:r>
        <w:rPr>
          <w:lang w:val="pt-PT"/>
        </w:rPr>
        <w:t xml:space="preserve">implantar uma nova versão de forma controlada e poder voltar atrás.</w:t>
      </w:r>
    </w:p>
    <w:p>
      <w:pPr>
        <w:pStyle w:val="BodyText"/>
      </w:pPr>
      <w:r>
        <w:rPr>
          <w:b/>
          <w:bCs/>
          <w:lang w:val="pt-PT"/>
        </w:rPr>
        <w:t xml:space="preserve">Princípio: </w:t>
      </w:r>
      <w:r>
        <w:rPr>
          <w:lang w:val="pt-PT"/>
        </w:rPr>
        <w:t xml:space="preserve"/>
      </w:r>
      <w:r>
        <w:rPr>
          <w:lang w:val="pt-PT"/>
        </w:rPr>
        <w:t xml:space="preserve">implementação </w:t>
      </w:r>
      <w:r>
        <w:rPr>
          <w:lang w:val="pt-PT"/>
        </w:rPr>
        <w:t xml:space="preserve"/>
      </w:r>
      <w:r>
        <w:rPr>
          <w:b/>
          <w:bCs/>
          <w:lang w:val="pt-PT"/>
        </w:rPr>
        <w:t xml:space="preserve">apenas por versão marcada </w:t>
      </w:r>
      <w:r>
        <w:rPr>
          <w:lang w:val="pt-PT"/>
        </w:rPr>
        <w:t xml:space="preserve"/>
      </w:r>
      <w:r>
        <w:rPr>
          <w:lang w:val="pt-PT"/>
        </w:rPr>
        <w:t xml:space="preserve">(sem implementação de uma filial móvel). Como variante isolada, a versão é fornecida através do </w:t>
      </w:r>
      <w:r>
        <w:rPr>
          <w:lang w:val="pt-PT"/>
        </w:rPr>
        <w:t xml:space="preserve"/>
      </w:r>
      <w:r>
        <w:rPr>
          <w:b/>
          <w:bCs/>
          <w:lang w:val="pt-PT"/>
        </w:rPr>
        <w:t xml:space="preserve">repositório/registo interno </w:t>
      </w:r>
      <w:r>
        <w:rPr>
          <w:lang w:val="pt-PT"/>
        </w:rPr>
        <w:t xml:space="preserve"/>
      </w:r>
      <w:r>
        <w:rPr>
          <w:lang w:val="pt-PT"/>
        </w:rPr>
        <w:t xml:space="preserve">(EXPL-13/DCD §11.5).</w:t>
      </w:r>
    </w:p>
    <w:p>
      <w:pPr>
        <w:pStyle w:val="BodyText"/>
      </w:pPr>
      <w:r>
        <w:rPr>
          <w:b/>
          <w:bCs/>
          <w:lang w:val="pt-PT"/>
        </w:rPr>
        <w:t xml:space="preserve">Procedimento de referência:</w:t>
      </w:r>
    </w:p>
    <w:p>
      <w:pPr>
        <w:pStyle w:val="SourceCode"/>
      </w:pPr>
      <w:r>
        <w:rPr>
          <w:rStyle w:val="BuiltInTok"/>
          <w:rFonts w:ascii="Courier New" w:hAnsi="Courier New" w:eastAsia="Courier New" w:cs="Courier New"/>
          <w:sz w:val="17"/>
          <w:szCs w:val="17"/>
        </w:rPr>
        <w:t xml:space="preserve">cd [A PREENCHER]</w:t>
        <w:br/>
        <w:t xml:space="preserve"># 1. Obter a versão de destino (tag) do repositório interno</w:t>
        <w:br/>
        <w:t xml:space="preserve"># 2. Reconstruir / recarregar as imagens da aplicação</w:t>
        <w:br/>
        <w:t xml:space="preserve">docker compose build app</w:t>
        <w:br/>
        <w:t xml:space="preserve"># 3. Aplicar as migrações da base de dados</w:t>
        <w:br/>
        <w:t xml:space="preserve">docker compose exec app php artisan migrate --force</w:t>
        <w:br/>
        <w:t xml:space="preserve"># 4. Limpar as caches</w:t>
        <w:br/>
        <w:t xml:space="preserve">docker compose exec app php artisan config:clear</w:t>
        <w:br/>
        <w:t xml:space="preserve">docker compose exec app php artisan cache:clear</w:t>
        <w:br/>
        <w:t xml:space="preserve"># 5. (se compilar frontend) reconstruir o frontend</w:t>
        <w:br/>
        <w:t xml:space="preserve"># 6. Reiniciar app + workers</w:t>
        <w:br/>
        <w:t xml:space="preserve">docker compose restart app queue queue-ai queue-media</w:t>
        <w:br/>
        <w:t xml:space="preserve"># 7. OBRIGATÓRIO: reiniciar nginx APÓS app (caso contrário, 502 Bad Gateway)</w:t>
        <w:br/>
        <w:t xml:space="preserve">sleep 2 &amp;&amp; docker compose restart nginx</w:t>
      </w:r>
    </w:p>
    <w:p>
      <w:pPr>
        <w:pStyle w:val="BlockText"/>
      </w:pPr>
      <w:r>
        <w:rPr>
          <w:b/>
          <w:bCs/>
          <w:lang w:val="pt-PT"/>
        </w:rPr>
        <w:t xml:space="preserve">Armadilha recorrente 502. </w:t>
      </w:r>
      <w:r>
        <w:rPr>
          <w:lang w:val="pt-PT"/>
        </w:rPr>
        <w:t xml:space="preserve"/>
      </w:r>
      <w:r>
        <w:rPr>
          <w:rStyle w:val="VerbatimChar"/>
          <w:lang w:val="pt-PT"/>
        </w:rPr>
        <w:t xml:space="preserve">docker compose restart app</w:t>
      </w:r>
      <w:r>
        <w:rPr>
          <w:lang w:val="pt-PT"/>
        </w:rPr>
        <w:t xml:space="preserve"> </w:t>
      </w:r>
      <w:r>
        <w:rPr>
          <w:lang w:val="pt-PT"/>
        </w:rPr>
        <w:t xml:space="preserve">corta e reinicia o PHP-FPM; O nginx mantém conexões inoperantes antigas com </w:t>
      </w:r>
      <w:r>
        <w:rPr>
          <w:lang w:val="pt-PT"/>
        </w:rPr>
        <w:t xml:space="preserve"/>
      </w:r>
      <w:r>
        <w:rPr>
          <w:rStyle w:val="VerbatimChar"/>
          <w:lang w:val="pt-PT"/>
        </w:rPr>
        <w:t xml:space="preserve">app:9000</w:t>
      </w:r>
      <w:r>
        <w:rPr>
          <w:lang w:val="pt-PT"/>
        </w:rPr>
        <w:t xml:space="preserve"> </w:t>
      </w:r>
      <w:r>
        <w:rPr>
          <w:lang w:val="pt-PT"/>
        </w:rPr>
        <w:t xml:space="preserve">→ 502. </w:t>
      </w:r>
      <w:r>
        <w:rPr>
          <w:lang w:val="pt-PT"/>
        </w:rPr>
        <w:t xml:space="preserve"/>
      </w:r>
      <w:r>
        <w:rPr>
          <w:b/>
          <w:bCs/>
          <w:lang w:val="pt-PT"/>
        </w:rPr>
        <w:t xml:space="preserve">Sempre </w:t>
      </w:r>
      <w:r>
        <w:rPr>
          <w:lang w:val="pt-PT"/>
        </w:rPr>
        <w:t xml:space="preserve"/>
      </w:r>
      <w:r>
        <w:rPr>
          <w:lang w:val="pt-PT"/>
        </w:rPr>
        <w:t xml:space="preserve">encadeie </w:t>
      </w:r>
      <w:r>
        <w:rPr>
          <w:lang w:val="pt-PT"/>
        </w:rPr>
        <w:t xml:space="preserve">o </w:t>
      </w:r>
      <w:r>
        <w:rPr>
          <w:rStyle w:val="VerbatimChar"/>
          <w:lang w:val="pt-PT"/>
        </w:rPr>
        <w:t xml:space="preserve">docker compose restart nginx</w:t>
      </w:r>
      <w:r>
        <w:rPr>
          <w:lang w:val="pt-PT"/>
        </w:rPr>
        <w:t xml:space="preserve"> </w:t>
      </w:r>
      <w:r>
        <w:rPr>
          <w:lang w:val="pt-PT"/>
        </w:rPr>
        <w:t xml:space="preserve">após reiniciar o aplicativo e os trabalhadores.</w:t>
      </w:r>
    </w:p>
    <w:p>
      <w:pPr>
        <w:pStyle w:val="FirstParagraph"/>
      </w:pPr>
      <w:r>
        <w:rPr>
          <w:b/>
          <w:bCs/>
          <w:lang w:val="pt-PT"/>
        </w:rPr>
        <w:t xml:space="preserve">Reversão:</w:t>
      </w:r>
    </w:p>
    <w:p>
      <w:pPr>
        <w:pStyle w:val="SourceCode"/>
      </w:pPr>
      <w:r>
        <w:rPr>
          <w:rStyle w:val="CommentTok"/>
          <w:rFonts w:ascii="Courier New" w:hAnsi="Courier New" w:eastAsia="Courier New" w:cs="Courier New"/>
          <w:sz w:val="17"/>
          <w:szCs w:val="17"/>
        </w:rPr>
        <w:t xml:space="preserve"># Regressar à versão anterior (tag) e repetir o procedimento</w:t>
        <w:br/>
        <w:t xml:space="preserve"># Verificar a compatibilidade retroativa das migrações antes de retroceder;</w:t>
        <w:br/>
        <w:t xml:space="preserve"># em caso de dúvida, restaurar a cópia anterior à atualização (EXPL-09).</w:t>
      </w:r>
    </w:p>
    <w:p>
      <w:pPr>
        <w:pStyle w:val="FirstParagraph"/>
      </w:pPr>
      <w:r>
        <w:rPr>
          <w:b/>
          <w:bCs/>
          <w:lang w:val="pt-PT"/>
        </w:rPr>
        <w:t xml:space="preserve">Melhores práticas:</w:t>
      </w:r>
    </w:p>
    <w:p>
      <w:pPr>
        <w:pStyle w:val="Compact"/>
        <w:numPr>
          <w:ilvl w:val="0"/>
          <w:numId w:val="1039"/>
        </w:numPr>
      </w:pPr>
      <w:r>
        <w:rPr>
          <w:lang w:val="pt-PT"/>
        </w:rPr>
        <w:t xml:space="preserve">Atualização validada primeiro no modo </w:t>
      </w:r>
      <w:r>
        <w:rPr>
          <w:lang w:val="pt-PT"/>
        </w:rPr>
        <w:t xml:space="preserve"/>
      </w:r>
      <w:r>
        <w:rPr>
          <w:b/>
          <w:bCs/>
          <w:lang w:val="pt-PT"/>
        </w:rPr>
        <w:t xml:space="preserve">de espera da Sala </w:t>
      </w:r>
      <w:r>
        <w:rPr>
          <w:lang w:val="pt-PT"/>
        </w:rPr>
        <w:t xml:space="preserve"/>
      </w:r>
      <w:r>
        <w:rPr>
          <w:lang w:val="pt-PT"/>
        </w:rPr>
        <w:t xml:space="preserve">B ou em um ambiente de aceitação, se disponível.</w:t>
      </w:r>
    </w:p>
    <w:p>
      <w:pPr>
        <w:pStyle w:val="Compact"/>
        <w:numPr>
          <w:ilvl w:val="0"/>
          <w:numId w:val="1039"/>
        </w:numPr>
      </w:pPr>
      <w:r>
        <w:rPr>
          <w:b/>
          <w:bCs/>
          <w:lang w:val="pt-PT"/>
        </w:rPr>
        <w:t xml:space="preserve">Backup prévio </w:t>
      </w:r>
      <w:r>
        <w:rPr>
          <w:lang w:val="pt-PT"/>
        </w:rPr>
        <w:t xml:space="preserve"/>
      </w:r>
      <w:r>
        <w:rPr>
          <w:lang w:val="pt-PT"/>
        </w:rPr>
        <w:t xml:space="preserve">sistemático (EXPL-08) antes de qualquer atualização.</w:t>
      </w:r>
    </w:p>
    <w:p>
      <w:pPr>
        <w:pStyle w:val="Compact"/>
        <w:numPr>
          <w:ilvl w:val="0"/>
          <w:numId w:val="1039"/>
        </w:numPr>
      </w:pPr>
      <w:r>
        <w:rPr>
          <w:lang w:val="pt-PT"/>
        </w:rPr>
        <w:t xml:space="preserve">Verificação de integridade pós-implementação (EXPL-03).</w:t>
      </w:r>
    </w:p>
    <w:p>
      <w:r>
        <w:pict>
          <v:rect style="width:0;height:1.5pt" o:hralign="center" o:hrstd="t" o:hr="t"/>
        </w:pict>
      </w:r>
    </w:p>
    <w:bookmarkEnd w:id="128"/>
    <w:bookmarkStart w:id="129" w:name="X166f4355a0cfd589e9fc4046b173033572981c2"/>
    <w:p>
      <w:pPr>
        <w:pStyle w:val="Heading2"/>
        <w:keepNext/>
        <w:keepLines/>
      </w:pPr>
      <w:r>
        <w:rPr>
          <w:color w:val="000000"/>
          <w:lang w:val="pt-PT"/>
        </w:rPr>
        <w:t xml:space="preserve">EXPL-11 — Renovação de certificados TLS</w:t>
      </w:r>
    </w:p>
    <w:p>
      <w:pPr>
        <w:pStyle w:val="FirstParagraph"/>
      </w:pPr>
      <w:r>
        <w:rPr>
          <w:b/>
          <w:bCs/>
          <w:lang w:val="pt-PT"/>
        </w:rPr>
        <w:t xml:space="preserve">Objetivo: </w:t>
      </w:r>
      <w:r>
        <w:rPr>
          <w:lang w:val="pt-PT"/>
        </w:rPr>
        <w:t xml:space="preserve"/>
      </w:r>
      <w:r>
        <w:rPr>
          <w:lang w:val="pt-PT"/>
        </w:rPr>
        <w:t xml:space="preserve">manter a validade dos certificados de ponto de entrada HTTPS.</w:t>
      </w:r>
    </w:p>
    <w:p>
      <w:pPr>
        <w:pStyle w:val="BodyText"/>
      </w:pPr>
      <w:r>
        <w:rPr>
          <w:b/>
          <w:bCs/>
          <w:lang w:val="pt-PT"/>
        </w:rPr>
        <w:t xml:space="preserve">Contexto local isolado: </w:t>
      </w:r>
      <w:r>
        <w:rPr>
          <w:lang w:val="pt-PT"/>
        </w:rPr>
        <w:t xml:space="preserve">na </w:t>
      </w:r>
      <w:r>
        <w:rPr>
          <w:lang w:val="pt-PT"/>
        </w:rPr>
        <w:t xml:space="preserve">ausência de Internet, </w:t>
      </w:r>
      <w:r>
        <w:rPr>
          <w:lang w:val="pt-PT"/>
        </w:rPr>
        <w:t xml:space="preserve"/>
      </w:r>
      <w:r>
        <w:rPr>
          <w:b/>
          <w:bCs/>
          <w:lang w:val="pt-PT"/>
        </w:rPr>
        <w:t xml:space="preserve">o Let's Encrypt não pode ser </w:t>
      </w:r>
      <w:r>
        <w:rPr>
          <w:lang w:val="pt-PT"/>
        </w:rPr>
        <w:t xml:space="preserve">usado. Os certificados são emitidos </w:t>
      </w:r>
      <w:r>
        <w:rPr>
          <w:lang w:val="pt-PT"/>
        </w:rPr>
        <w:t xml:space="preserve"/>
      </w:r>
      <w:r>
        <w:rPr>
          <w:b/>
          <w:bCs/>
          <w:lang w:val="pt-PT"/>
        </w:rPr>
        <w:t xml:space="preserve">pela PKI interna do </w:t>
      </w:r>
      <w:r>
        <w:rPr>
          <w:lang w:val="pt-PT"/>
        </w:rPr>
        <w:t xml:space="preserve"/>
      </w:r>
      <w:r>
        <w:rPr>
          <w:rStyle w:val="VerbatimChar"/>
          <w:lang w:val="pt-PT"/>
        </w:rPr>
        <w:t xml:space="preserve">Cliente [ATENÇÃO: autoridade de certificação interna, procedimento de emissão e </w:t>
      </w:r>
      <w:r>
        <w:rPr>
          <w:lang w:val="pt-PT"/>
        </w:rPr>
        <w:t xml:space="preserve">renovação].</w:t>
      </w:r>
    </w:p>
    <w:p>
      <w:pPr>
        <w:pStyle w:val="BodyText"/>
      </w:pPr>
      <w:r>
        <w:rPr>
          <w:b/>
          <w:bCs/>
          <w:lang w:val="pt-PT"/>
        </w:rPr>
        <w:t xml:space="preserve">Procedimento de referência:</w:t>
      </w:r>
    </w:p>
    <w:p>
      <w:pPr>
        <w:pStyle w:val="Compact"/>
        <w:numPr>
          <w:ilvl w:val="0"/>
          <w:numId w:val="1040"/>
        </w:numPr>
      </w:pPr>
      <w:r>
        <w:rPr>
          <w:lang w:val="pt-PT"/>
        </w:rPr>
        <w:t xml:space="preserve">Gere uma CSR (solicitação de certificado) para o nome do serviço da plataforma.</w:t>
      </w:r>
    </w:p>
    <w:p>
      <w:pPr>
        <w:pStyle w:val="Compact"/>
        <w:numPr>
          <w:ilvl w:val="0"/>
          <w:numId w:val="1040"/>
        </w:numPr>
      </w:pPr>
      <w:r>
        <w:rPr>
          <w:lang w:val="pt-PT"/>
        </w:rPr>
        <w:t xml:space="preserve">Faça com que seja assinado pela autoridade interna.</w:t>
      </w:r>
    </w:p>
    <w:p>
      <w:pPr>
        <w:pStyle w:val="Compact"/>
        <w:numPr>
          <w:ilvl w:val="0"/>
          <w:numId w:val="1040"/>
        </w:numPr>
      </w:pPr>
      <w:r>
        <w:rPr>
          <w:lang w:val="pt-PT"/>
        </w:rPr>
        <w:t xml:space="preserve">Implantar certificado + chave no endpoint TLS (proxy reverso/firewall LB) — caminhos </w:t>
      </w:r>
      <w:r>
        <w:rPr>
          <w:lang w:val="pt-PT"/>
        </w:rPr>
        <w:t xml:space="preserve"/>
      </w:r>
      <w:r>
        <w:rPr>
          <w:rStyle w:val="VerbatimChar"/>
          <w:lang w:val="pt-PT"/>
        </w:rPr>
        <w:t xml:space="preserve"/>
      </w:r>
      <w:r>
        <w:rPr>
          <w:lang w:val="pt-PT"/>
        </w:rPr>
        <w:t xml:space="preserve">[OBRIGATÓRIOS].</w:t>
      </w:r>
    </w:p>
    <w:p>
      <w:pPr>
        <w:pStyle w:val="Compact"/>
        <w:numPr>
          <w:ilvl w:val="0"/>
          <w:numId w:val="1040"/>
        </w:numPr>
      </w:pPr>
      <w:r>
        <w:rPr>
          <w:lang w:val="pt-PT"/>
        </w:rPr>
        <w:t xml:space="preserve">Recarregue o serviço TLS.</w:t>
      </w:r>
    </w:p>
    <w:p>
      <w:pPr>
        <w:pStyle w:val="Compact"/>
        <w:numPr>
          <w:ilvl w:val="0"/>
          <w:numId w:val="1040"/>
        </w:numPr>
      </w:pPr>
      <w:r>
        <w:rPr>
          <w:lang w:val="pt-PT"/>
        </w:rPr>
        <w:t xml:space="preserve">Verifique (string, data de validade, TLS ≥ 1.2, HSTS).</w:t>
      </w:r>
    </w:p>
    <w:p>
      <w:pPr>
        <w:pStyle w:val="FirstParagraph"/>
      </w:pPr>
      <w:r>
        <w:rPr>
          <w:b/>
          <w:bCs/>
          <w:lang w:val="pt-PT"/>
        </w:rPr>
        <w:t xml:space="preserve">Monitorização: </w:t>
      </w:r>
      <w:r>
        <w:rPr>
          <w:lang w:val="pt-PT"/>
        </w:rPr>
        <w:t xml:space="preserve"/>
      </w:r>
      <w:r>
        <w:rPr>
          <w:lang w:val="pt-PT"/>
        </w:rPr>
        <w:t xml:space="preserve">a expiração do certificado é um dos pontos monitorados (EXPL-12). Alerte pelo menos 30 </w:t>
      </w:r>
      <w:r>
        <w:rPr>
          <w:lang w:val="pt-PT"/>
        </w:rPr>
        <w:t xml:space="preserve"/>
      </w:r>
      <w:r>
        <w:rPr>
          <w:b/>
          <w:bCs/>
          <w:lang w:val="pt-PT"/>
        </w:rPr>
        <w:t xml:space="preserve">dias </w:t>
      </w:r>
      <w:r>
        <w:rPr>
          <w:lang w:val="pt-PT"/>
        </w:rPr>
        <w:t xml:space="preserve">antes </w:t>
      </w:r>
      <w:r>
        <w:rPr>
          <w:lang w:val="pt-PT"/>
        </w:rPr>
        <w:t xml:space="preserve">do vencimento.</w:t>
      </w:r>
    </w:p>
    <w:p>
      <w:r>
        <w:pict>
          <v:rect style="width:0;height:1.5pt" o:hralign="center" o:hrstd="t" o:hr="t"/>
        </w:pict>
      </w:r>
    </w:p>
    <w:bookmarkEnd w:id="129"/>
    <w:bookmarkStart w:id="130" w:name="expl-12--supervision-et-alertes"/>
    <w:p>
      <w:pPr>
        <w:pStyle w:val="Heading2"/>
        <w:keepNext/>
        <w:keepLines/>
      </w:pPr>
      <w:r>
        <w:rPr>
          <w:color w:val="000000"/>
          <w:lang w:val="pt-PT"/>
        </w:rPr>
        <w:t xml:space="preserve">EXPL-12 — Supervisão e alertas</w:t>
      </w:r>
    </w:p>
    <w:p>
      <w:pPr>
        <w:pStyle w:val="FirstParagraph"/>
      </w:pPr>
      <w:r>
        <w:rPr>
          <w:b/>
          <w:bCs/>
          <w:lang w:val="pt-PT"/>
        </w:rPr>
        <w:t xml:space="preserve">Objetivo: </w:t>
      </w:r>
      <w:r>
        <w:rPr>
          <w:lang w:val="pt-PT"/>
        </w:rPr>
        <w:t xml:space="preserve"/>
      </w:r>
      <w:r>
        <w:rPr>
          <w:lang w:val="pt-PT"/>
        </w:rPr>
        <w:t xml:space="preserve">detectar desvios e incidentes o mais cedo possível.</w:t>
      </w:r>
    </w:p>
    <w:p>
      <w:pPr>
        <w:pStyle w:val="BodyText"/>
      </w:pPr>
      <w:r>
        <w:rPr>
          <w:b/>
          <w:bCs/>
          <w:lang w:val="pt-PT"/>
        </w:rPr>
        <w:t xml:space="preserve">Coisas a serem observadas: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Artigo</w:t>
            </w:r>
          </w:p>
        </w:tc>
        <w:tc>
          <w:tcPr/>
          <w:p>
            <w:pPr>
              <w:pStyle w:val="Compact"/>
            </w:pPr>
            <w:r>
              <w:rPr>
                <w:lang w:val="pt-PT"/>
              </w:rPr>
              <w:t xml:space="preserve">Indicador</w:t>
            </w:r>
          </w:p>
        </w:tc>
        <w:tc>
          <w:tcPr/>
          <w:p>
            <w:pPr>
              <w:pStyle w:val="Compact"/>
            </w:pPr>
            <w:r>
              <w:rPr>
                <w:lang w:val="pt-PT"/>
              </w:rPr>
              <w:t xml:space="preserve">Limite/alerta (proposto)</w:t>
            </w:r>
          </w:p>
        </w:tc>
      </w:tr>
      <w:tr>
        <w:trPr>
          <w:cantSplit/>
        </w:trPr>
        <w:tc>
          <w:tcPr/>
          <w:p>
            <w:pPr>
              <w:pStyle w:val="Compact"/>
            </w:pPr>
            <w:r>
              <w:rPr>
                <w:lang w:val="pt-PT"/>
              </w:rPr>
              <w:t xml:space="preserve">Filas</w:t>
            </w:r>
          </w:p>
        </w:tc>
        <w:tc>
          <w:tcPr/>
          <w:p>
            <w:pPr>
              <w:pStyle w:val="Compact"/>
            </w:pPr>
            <w:r>
              <w:rPr>
                <w:lang w:val="pt-PT"/>
              </w:rPr>
              <w:t xml:space="preserve">Duração, trabalhos falhados, idade do trabalho mais antigo</w:t>
            </w:r>
          </w:p>
        </w:tc>
        <w:tc>
          <w:tcPr/>
          <w:p>
            <w:pPr>
              <w:pStyle w:val="Compact"/>
            </w:pPr>
            <w:r>
              <w:rPr>
                <w:lang w:val="pt-PT"/>
              </w:rPr>
              <w:t xml:space="preserve">Acumulação anormal/trabalhos bloqueados</w:t>
            </w:r>
          </w:p>
        </w:tc>
      </w:tr>
      <w:tr>
        <w:trPr>
          <w:cantSplit/>
        </w:trPr>
        <w:tc>
          <w:tcPr/>
          <w:p>
            <w:pPr>
              <w:pStyle w:val="Compact"/>
            </w:pPr>
            <w:r>
              <w:rPr>
                <w:lang w:val="pt-PT"/>
              </w:rPr>
              <w:t xml:space="preserve">Espaço em disco</w:t>
            </w:r>
          </w:p>
        </w:tc>
        <w:tc>
          <w:tcPr/>
          <w:p>
            <w:pPr>
              <w:pStyle w:val="Compact"/>
            </w:pPr>
            <w:r>
              <w:rPr>
                <w:lang w:val="pt-PT"/>
              </w:rPr>
              <w:t xml:space="preserve">% usado (dados, backups, logs)</w:t>
            </w:r>
          </w:p>
        </w:tc>
        <w:tc>
          <w:tcPr/>
          <w:p>
            <w:pPr>
              <w:pStyle w:val="Compact"/>
            </w:pPr>
            <w:r>
              <w:rPr>
                <w:lang w:val="pt-PT"/>
              </w:rPr>
              <w:t xml:space="preserve">80% alerta, 90% crítico</w:t>
            </w:r>
          </w:p>
        </w:tc>
      </w:tr>
      <w:tr>
        <w:trPr>
          <w:cantSplit/>
        </w:trPr>
        <w:tc>
          <w:tcPr/>
          <w:p>
            <w:pPr>
              <w:pStyle w:val="Compact"/>
            </w:pPr>
            <w:r>
              <w:rPr>
                <w:lang w:val="pt-PT"/>
              </w:rPr>
              <w:t xml:space="preserve">Certificados TLS</w:t>
            </w:r>
          </w:p>
        </w:tc>
        <w:tc>
          <w:tcPr/>
          <w:p>
            <w:pPr>
              <w:pStyle w:val="Compact"/>
            </w:pPr>
            <w:r>
              <w:rPr>
                <w:lang w:val="pt-PT"/>
              </w:rPr>
              <w:t xml:space="preserve">Dias até o vencimento</w:t>
            </w:r>
          </w:p>
        </w:tc>
        <w:tc>
          <w:tcPr/>
          <w:p>
            <w:pPr>
              <w:pStyle w:val="Compact"/>
            </w:pPr>
            <w:r>
              <w:rPr>
                <w:lang w:val="pt-PT"/>
              </w:rPr>
              <w:t xml:space="preserve">Alerta de 30 dias</w:t>
            </w:r>
          </w:p>
        </w:tc>
      </w:tr>
      <w:tr>
        <w:trPr>
          <w:cantSplit/>
        </w:trPr>
        <w:tc>
          <w:tcPr/>
          <w:p>
            <w:pPr>
              <w:pStyle w:val="Compact"/>
            </w:pPr>
            <w:r>
              <w:rPr>
                <w:lang w:val="pt-PT"/>
              </w:rPr>
              <w:t xml:space="preserve">Trabalhadores</w:t>
            </w:r>
          </w:p>
        </w:tc>
        <w:tc>
          <w:tcPr/>
          <w:p>
            <w:pPr>
              <w:pStyle w:val="Compact"/>
            </w:pPr>
            <w:r>
              <w:rPr>
                <w:lang w:val="pt-PT"/>
              </w:rPr>
              <w:t xml:space="preserve">Processos </w:t>
            </w:r>
            <w:r>
              <w:rPr>
                <w:lang w:val="pt-PT"/>
              </w:rPr>
              <w:t xml:space="preserve"/>
            </w:r>
            <w:r>
              <w:rPr>
                <w:rStyle w:val="VerbatimChar"/>
                <w:lang w:val="pt-PT"/>
              </w:rPr>
              <w:t xml:space="preserve">queue:work</w:t>
            </w:r>
            <w:r>
              <w:rPr>
                <w:lang w:val="pt-PT"/>
              </w:rPr>
              <w:t xml:space="preserve"> </w:t>
            </w:r>
            <w:r>
              <w:rPr>
                <w:lang w:val="pt-PT"/>
              </w:rPr>
              <w:t xml:space="preserve">vivos</w:t>
            </w:r>
          </w:p>
        </w:tc>
        <w:tc>
          <w:tcPr/>
          <w:p>
            <w:pPr>
              <w:pStyle w:val="Compact"/>
            </w:pPr>
            <w:r>
              <w:rPr>
                <w:lang w:val="pt-PT"/>
              </w:rPr>
              <w:t xml:space="preserve">Falta de processo</w:t>
            </w:r>
          </w:p>
        </w:tc>
      </w:tr>
      <w:tr>
        <w:trPr>
          <w:cantSplit/>
        </w:trPr>
        <w:tc>
          <w:tcPr/>
          <w:p>
            <w:pPr>
              <w:pStyle w:val="Compact"/>
            </w:pPr>
            <w:r>
              <w:rPr>
                <w:lang w:val="pt-PT"/>
              </w:rPr>
              <w:t xml:space="preserve">Integridade do contêiner</w:t>
            </w:r>
          </w:p>
        </w:tc>
        <w:tc>
          <w:tcPr/>
          <w:p>
            <w:pPr>
              <w:pStyle w:val="Compact"/>
            </w:pPr>
            <w:r>
              <w:rPr>
                <w:lang w:val="pt-PT"/>
              </w:rPr>
              <w:t xml:space="preserve">Status </w:t>
            </w:r>
            <w:r>
              <w:rPr>
                <w:lang w:val="pt-PT"/>
              </w:rPr>
              <w:t xml:space="preserve"/>
            </w:r>
            <w:r>
              <w:rPr>
                <w:rStyle w:val="VerbatimChar"/>
                <w:lang w:val="pt-PT"/>
              </w:rPr>
              <w:t xml:space="preserve">healthy</w:t>
            </w:r>
          </w:p>
        </w:tc>
        <w:tc>
          <w:tcPr/>
          <w:p>
            <w:pPr>
              <w:pStyle w:val="Compact"/>
            </w:pPr>
            <w:r>
              <w:rPr>
                <w:lang w:val="pt-PT"/>
              </w:rPr>
              <w:t xml:space="preserve">Contêiner não íntegro/reinicializações repetidas</w:t>
            </w:r>
          </w:p>
        </w:tc>
      </w:tr>
      <w:tr>
        <w:trPr>
          <w:cantSplit/>
        </w:trPr>
        <w:tc>
          <w:tcPr/>
          <w:p>
            <w:pPr>
              <w:pStyle w:val="Compact"/>
            </w:pPr>
            <w:r>
              <w:rPr>
                <w:lang w:val="pt-PT"/>
              </w:rPr>
              <w:t xml:space="preserve">Replicação (ativa)</w:t>
            </w:r>
          </w:p>
        </w:tc>
        <w:tc>
          <w:tcPr/>
          <w:p>
            <w:pPr>
              <w:pStyle w:val="Compact"/>
            </w:pPr>
            <w:r>
              <w:rPr>
                <w:lang w:val="pt-PT"/>
              </w:rPr>
              <w:t xml:space="preserve">Atraso de replicação (atraso) para a sala B</w:t>
            </w:r>
          </w:p>
        </w:tc>
        <w:tc>
          <w:tcPr/>
          <w:p>
            <w:pPr>
              <w:pStyle w:val="Compact"/>
            </w:pPr>
            <w:r>
              <w:rPr>
                <w:lang w:val="pt-PT"/>
              </w:rPr>
              <w:t xml:space="preserve">Atraso &gt; limite </w:t>
            </w:r>
            <w:r>
              <w:rPr>
                <w:lang w:val="pt-PT"/>
              </w:rPr>
              <w:t xml:space="preserve"/>
            </w:r>
            <w:r>
              <w:rPr>
                <w:rStyle w:val="VerbatimChar"/>
                <w:lang w:val="pt-PT"/>
              </w:rPr>
              <w:t xml:space="preserve">[A SER DEFINIDO na aceitação]</w:t>
            </w:r>
          </w:p>
        </w:tc>
      </w:tr>
      <w:tr>
        <w:trPr>
          <w:cantSplit/>
        </w:trPr>
        <w:tc>
          <w:tcPr/>
          <w:p>
            <w:pPr>
              <w:pStyle w:val="Compact"/>
            </w:pPr>
            <w:r>
              <w:rPr>
                <w:lang w:val="pt-PT"/>
              </w:rPr>
              <w:t xml:space="preserve">Base/Redis</w:t>
            </w:r>
          </w:p>
        </w:tc>
        <w:tc>
          <w:tcPr/>
          <w:p>
            <w:pPr>
              <w:pStyle w:val="Compact"/>
            </w:pPr>
            <w:r>
              <w:rPr>
                <w:lang w:val="pt-PT"/>
              </w:rPr>
              <w:t xml:space="preserve">Disponibilidade, conexões</w:t>
            </w:r>
          </w:p>
        </w:tc>
        <w:tc>
          <w:tcPr/>
          <w:p>
            <w:pPr>
              <w:pStyle w:val="Compact"/>
            </w:pPr>
            <w:r>
              <w:rPr>
                <w:lang w:val="pt-PT"/>
              </w:rPr>
              <w:t xml:space="preserve">Indisponibilidade</w:t>
            </w:r>
          </w:p>
        </w:tc>
      </w:tr>
      <w:tr>
        <w:trPr>
          <w:cantSplit/>
        </w:trPr>
        <w:tc>
          <w:tcPr/>
          <w:p>
            <w:pPr>
              <w:pStyle w:val="Compact"/>
            </w:pPr>
            <w:r>
              <w:rPr>
                <w:lang w:val="pt-PT"/>
              </w:rPr>
              <w:t xml:space="preserve">Antivírus</w:t>
            </w:r>
          </w:p>
        </w:tc>
        <w:tc>
          <w:tcPr/>
          <w:p>
            <w:pPr>
              <w:pStyle w:val="Compact"/>
            </w:pPr>
            <w:r>
              <w:rPr>
                <w:lang w:val="pt-PT"/>
              </w:rPr>
              <w:t xml:space="preserve">Disponibilidade do ClamAV, atualização das assinaturas</w:t>
            </w:r>
          </w:p>
        </w:tc>
        <w:tc>
          <w:tcPr/>
          <w:p>
            <w:pPr>
              <w:pStyle w:val="Compact"/>
            </w:pPr>
            <w:r>
              <w:rPr>
                <w:lang w:val="pt-PT"/>
              </w:rPr>
              <w:t xml:space="preserve">Scanner indisponível (fail-open registado), assinaturas antigas</w:t>
            </w:r>
          </w:p>
        </w:tc>
      </w:tr>
      <w:tr>
        <w:trPr>
          <w:cantSplit/>
        </w:trPr>
        <w:tc>
          <w:tcPr/>
          <w:p>
            <w:pPr>
              <w:pStyle w:val="Compact"/>
            </w:pPr>
            <w:r>
              <w:rPr>
                <w:lang w:val="pt-PT"/>
              </w:rPr>
              <w:t xml:space="preserve">GPU/transcrição</w:t>
            </w:r>
          </w:p>
        </w:tc>
        <w:tc>
          <w:tcPr/>
          <w:p>
            <w:pPr>
              <w:pStyle w:val="Compact"/>
            </w:pPr>
            <w:r>
              <w:rPr>
                <w:lang w:val="pt-PT"/>
              </w:rPr>
              <w:t xml:space="preserve">Disponibilidade, rendimento, trabalhos bloqueados</w:t>
            </w:r>
          </w:p>
        </w:tc>
        <w:tc>
          <w:tcPr/>
          <w:p>
            <w:pPr>
              <w:pStyle w:val="Compact"/>
            </w:pPr>
            <w:r>
              <w:rPr>
                <w:lang w:val="pt-PT"/>
              </w:rPr>
              <w:t xml:space="preserve">Watchdog de retomada (processamento bloqueado)</w:t>
            </w:r>
          </w:p>
        </w:tc>
      </w:tr>
    </w:tbl>
    <w:p>
      <w:pPr>
        <w:pStyle w:val="BodyText"/>
      </w:pPr>
      <w:r>
        <w:rPr>
          <w:b/>
          <w:bCs/>
          <w:lang w:val="pt-PT"/>
        </w:rPr>
        <w:t xml:space="preserve">Watchdog: </w:t>
      </w:r>
      <w:r>
        <w:rPr>
          <w:lang w:val="pt-PT"/>
        </w:rPr>
        <w:t xml:space="preserve"/>
      </w:r>
      <w:r>
        <w:rPr>
          <w:lang w:val="pt-PT"/>
        </w:rPr>
        <w:t xml:space="preserve">um mecanismo de recuperação automática reinicia o processamento bloqueado (ciclo de alguns minutos).</w:t>
      </w:r>
    </w:p>
    <w:p>
      <w:pPr>
        <w:pStyle w:val="BodyText"/>
      </w:pPr>
      <w:r>
        <w:rPr>
          <w:b/>
          <w:bCs/>
          <w:lang w:val="pt-PT"/>
        </w:rPr>
        <w:t xml:space="preserve">Alertas: </w:t>
      </w:r>
      <w:r>
        <w:rPr>
          <w:lang w:val="pt-PT"/>
        </w:rPr>
        <w:t xml:space="preserve"/>
      </w:r>
      <w:r>
        <w:rPr>
          <w:lang w:val="pt-PT"/>
        </w:rPr>
        <w:t xml:space="preserve">em ambiente isolado, os alertas são encaminhados para os canais internos </w:t>
      </w:r>
      <w:r>
        <w:rPr>
          <w:lang w:val="pt-PT"/>
        </w:rPr>
        <w:t xml:space="preserve"/>
      </w:r>
      <w:r>
        <w:rPr>
          <w:b/>
          <w:bCs/>
          <w:lang w:val="pt-PT"/>
        </w:rPr>
        <w:t xml:space="preserve">do </w:t>
      </w:r>
      <w:r>
        <w:rPr>
          <w:lang w:val="pt-PT"/>
        </w:rPr>
        <w:t xml:space="preserve"/>
      </w:r>
      <w:r>
        <w:rPr>
          <w:lang w:val="pt-PT"/>
        </w:rPr>
        <w:t xml:space="preserve">Cliente (mensagens internas, supervisão) — o destino externo do Slack/e-mail utilizado no SaaS não é aplicável. </w:t>
      </w:r>
      <w:r>
        <w:rPr>
          <w:lang w:val="pt-PT"/>
        </w:rPr>
        <w:t xml:space="preserve"/>
      </w:r>
      <w:r>
        <w:rPr>
          <w:b/>
          <w:bCs/>
          <w:lang w:val="pt-PT"/>
        </w:rPr>
        <w:t xml:space="preserve"/>
      </w:r>
      <w:r>
        <w:rPr>
          <w:lang w:val="pt-PT"/>
        </w:rPr>
        <w:t xml:space="preserve"/>
      </w:r>
      <w:r>
        <w:rPr>
          <w:lang w:val="pt-PT"/>
        </w:rPr>
        <w:t xml:space="preserve">Destinos [A INFORMAR com o </w:t>
      </w:r>
      <w:r>
        <w:rPr>
          <w:lang w:val="pt-PT"/>
        </w:rPr>
        <w:t xml:space="preserve"/>
      </w:r>
      <w:r>
        <w:rPr>
          <w:rStyle w:val="VerbatimChar"/>
          <w:lang w:val="pt-PT"/>
        </w:rPr>
        <w:t xml:space="preserve">Departamento de </w:t>
      </w:r>
      <w:r>
        <w:rPr>
          <w:lang w:val="pt-PT"/>
        </w:rPr>
        <w:t xml:space="preserve">Informática].</w:t>
      </w:r>
    </w:p>
    <w:p>
      <w:r>
        <w:pict>
          <v:rect style="width:0;height:1.5pt" o:hralign="center" o:hrstd="t" o:hr="t"/>
        </w:pict>
      </w:r>
    </w:p>
    <w:bookmarkEnd w:id="130"/>
    <w:bookmarkStart w:id="131" w:name="Xe8ee0f4b9740ce3d381797b48af7a7b8d727655"/>
    <w:p>
      <w:pPr>
        <w:pStyle w:val="Heading2"/>
        <w:keepNext/>
        <w:keepLines/>
      </w:pPr>
      <w:r>
        <w:rPr>
          <w:color w:val="000000"/>
          <w:lang w:val="pt-PT"/>
        </w:rPr>
        <w:t xml:space="preserve">EXPL-13 — Antivírus: assinaturas em ambiente isolado</w:t>
      </w:r>
    </w:p>
    <w:p>
      <w:pPr>
        <w:pStyle w:val="FirstParagraph"/>
      </w:pPr>
      <w:r>
        <w:rPr>
          <w:b/>
          <w:bCs/>
          <w:lang w:val="pt-PT"/>
        </w:rPr>
        <w:t xml:space="preserve">Objetivo: </w:t>
      </w:r>
      <w:r>
        <w:rPr>
          <w:lang w:val="pt-PT"/>
        </w:rPr>
        <w:t xml:space="preserve"/>
      </w:r>
      <w:r>
        <w:rPr>
          <w:lang w:val="pt-PT"/>
        </w:rPr>
        <w:t xml:space="preserve">manter o ClamAV atualizado sem acesso à Internet.</w:t>
      </w:r>
    </w:p>
    <w:p>
      <w:pPr>
        <w:pStyle w:val="BodyText"/>
      </w:pPr>
      <w:r>
        <w:rPr>
          <w:b/>
          <w:bCs/>
          <w:lang w:val="pt-PT"/>
        </w:rPr>
        <w:t xml:space="preserve">Recordatório de funcionamento: </w:t>
      </w:r>
      <w:r>
        <w:rPr>
          <w:lang w:val="pt-PT"/>
        </w:rPr>
        <w:t xml:space="preserve"/>
      </w:r>
      <w:r>
        <w:rPr>
          <w:lang w:val="pt-PT"/>
        </w:rPr>
        <w:t xml:space="preserve">cada carregamento é analisado pelo ClamAV antes da escrita em disco (limite de 2 GB). Um ficheiro </w:t>
      </w:r>
      <w:r>
        <w:rPr>
          <w:lang w:val="pt-PT"/>
        </w:rPr>
        <w:t xml:space="preserve">infetado </w:t>
      </w:r>
      <w:r>
        <w:rPr>
          <w:b/>
          <w:bCs/>
          <w:lang w:val="pt-PT"/>
        </w:rPr>
        <w:t xml:space="preserve">é </w:t>
      </w:r>
      <w:r>
        <w:rPr>
          <w:lang w:val="pt-PT"/>
        </w:rPr>
        <w:t xml:space="preserve">rejeitado, registado e desencadeia um alerta. O sidecar está configurado </w:t>
      </w:r>
      <w:r>
        <w:rPr>
          <w:lang w:val="pt-PT"/>
        </w:rPr>
        <w:t xml:space="preserve"/>
      </w:r>
      <w:r>
        <w:rPr>
          <w:b/>
          <w:bCs/>
          <w:lang w:val="pt-PT"/>
        </w:rPr>
        <w:t xml:space="preserve">em modo fail-open com </w:t>
      </w:r>
      <w:r>
        <w:rPr>
          <w:lang w:val="pt-PT"/>
        </w:rPr>
        <w:t xml:space="preserve"/>
      </w:r>
      <w:r>
        <w:rPr>
          <w:lang w:val="pt-PT"/>
        </w:rPr>
        <w:t xml:space="preserve">registo: se o scanner estiver indisponível, o evento fica registado (a incluir na análise de risco).</w:t>
      </w:r>
    </w:p>
    <w:p>
      <w:pPr>
        <w:pStyle w:val="BodyText"/>
      </w:pPr>
      <w:r>
        <w:rPr>
          <w:b/>
          <w:bCs/>
          <w:lang w:val="pt-PT"/>
        </w:rPr>
        <w:t xml:space="preserve">Atualização de assinatura offline (freshclam):</w:t>
      </w:r>
    </w:p>
    <w:p>
      <w:pPr>
        <w:pStyle w:val="Compact"/>
        <w:numPr>
          <w:ilvl w:val="0"/>
          <w:numId w:val="1041"/>
        </w:numPr>
      </w:pPr>
      <w:r>
        <w:rPr>
          <w:lang w:val="pt-PT"/>
        </w:rPr>
        <w:t xml:space="preserve">Em uma </w:t>
      </w:r>
      <w:r>
        <w:rPr>
          <w:lang w:val="pt-PT"/>
        </w:rPr>
        <w:t xml:space="preserve"/>
      </w:r>
      <w:r>
        <w:rPr>
          <w:b/>
          <w:bCs/>
          <w:lang w:val="pt-PT"/>
        </w:rPr>
        <w:t xml:space="preserve">estação de trabalho conectada </w:t>
      </w:r>
      <w:r>
        <w:rPr>
          <w:lang w:val="pt-PT"/>
        </w:rPr>
        <w:t xml:space="preserve">controlada, recupere os bases de dados de assinatura ClamAV.</w:t>
      </w:r>
    </w:p>
    <w:p>
      <w:pPr>
        <w:pStyle w:val="Compact"/>
        <w:numPr>
          <w:ilvl w:val="0"/>
          <w:numId w:val="1041"/>
        </w:numPr>
      </w:pPr>
      <w:r>
        <w:rPr>
          <w:lang w:val="pt-PT"/>
        </w:rPr>
        <w:t xml:space="preserve">Verifique sua integridade.</w:t>
      </w:r>
    </w:p>
    <w:p>
      <w:pPr>
        <w:pStyle w:val="Compact"/>
        <w:numPr>
          <w:ilvl w:val="0"/>
          <w:numId w:val="1041"/>
        </w:numPr>
      </w:pPr>
      <w:r>
        <w:rPr>
          <w:lang w:val="pt-PT"/>
        </w:rPr>
        <w:t xml:space="preserve">Transfira os bases de dados para o servidor </w:t>
      </w:r>
      <w:r>
        <w:rPr>
          <w:lang w:val="pt-PT"/>
        </w:rPr>
        <w:t xml:space="preserve"/>
      </w:r>
      <w:r>
        <w:rPr>
          <w:b/>
          <w:bCs/>
          <w:lang w:val="pt-PT"/>
        </w:rPr>
        <w:t xml:space="preserve">por meio de um meio/canal </w:t>
      </w:r>
      <w:r>
        <w:rPr>
          <w:lang w:val="pt-PT"/>
        </w:rPr>
        <w:t xml:space="preserve"/>
      </w:r>
      <w:r>
        <w:rPr>
          <w:lang w:val="pt-PT"/>
        </w:rPr>
        <w:t xml:space="preserve">controlado (sem fluxo direto de Internet da produção).</w:t>
      </w:r>
    </w:p>
    <w:p>
      <w:pPr>
        <w:pStyle w:val="Compact"/>
        <w:numPr>
          <w:ilvl w:val="0"/>
          <w:numId w:val="1041"/>
        </w:numPr>
      </w:pPr>
      <w:r>
        <w:rPr>
          <w:lang w:val="pt-PT"/>
        </w:rPr>
        <w:t xml:space="preserve">Recarregue o ClamAV.</w:t>
      </w:r>
    </w:p>
    <w:p>
      <w:pPr>
        <w:pStyle w:val="FirstParagraph"/>
      </w:pPr>
      <w:r>
        <w:rPr>
          <w:rStyle w:val="VerbatimChar"/>
          <w:lang w:val="pt-PT"/>
        </w:rPr>
        <w:t xml:space="preserve">[Procedimento a definir precisamente com o departamento de TI: origem das assinaturas, ritmo (recomendado semanalmente), responsável, verificação de integridade.]</w:t>
      </w:r>
    </w:p>
    <w:p>
      <w:r>
        <w:pict>
          <v:rect style="width:0;height:1.5pt" o:hralign="center" o:hrstd="t" o:hr="t"/>
        </w:pict>
      </w:r>
    </w:p>
    <w:bookmarkEnd w:id="131"/>
    <w:bookmarkStart w:id="132" w:name="X0751b25d694d771b27f5931d1d2914150609312"/>
    <w:p>
      <w:pPr>
        <w:pStyle w:val="Heading2"/>
        <w:keepNext/>
        <w:keepLines/>
      </w:pPr>
      <w:r>
        <w:rPr>
          <w:color w:val="000000"/>
          <w:lang w:val="pt-PT"/>
        </w:rPr>
        <w:t xml:space="preserve">EXPL-14 — Visualizando logs de auditoria e exportações</w:t>
      </w:r>
    </w:p>
    <w:p>
      <w:pPr>
        <w:pStyle w:val="FirstParagraph"/>
      </w:pPr>
      <w:r>
        <w:rPr>
          <w:b/>
          <w:bCs/>
          <w:lang w:val="pt-PT"/>
        </w:rPr>
        <w:t xml:space="preserve">Objetivo: </w:t>
      </w:r>
      <w:r>
        <w:rPr>
          <w:lang w:val="pt-PT"/>
        </w:rPr>
        <w:t xml:space="preserve"/>
      </w:r>
      <w:r>
        <w:rPr>
          <w:lang w:val="pt-PT"/>
        </w:rPr>
        <w:t xml:space="preserve">consultar rastreabilidade para operação e auditoria.</w:t>
      </w:r>
    </w:p>
    <w:p>
      <w:pPr>
        <w:pStyle w:val="BodyText"/>
      </w:pPr>
      <w:r>
        <w:rPr>
          <w:b/>
          <w:bCs/>
          <w:lang w:val="pt-PT"/>
        </w:rPr>
        <w:t xml:space="preserve">Fontes dos registos: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Fonte</w:t>
            </w:r>
          </w:p>
        </w:tc>
        <w:tc>
          <w:tcPr/>
          <w:p>
            <w:pPr>
              <w:pStyle w:val="Compact"/>
            </w:pPr>
            <w:r>
              <w:rPr>
                <w:lang w:val="pt-PT"/>
              </w:rPr>
              <w:t xml:space="preserve">Conteúdo</w:t>
            </w:r>
          </w:p>
        </w:tc>
      </w:tr>
      <w:tr>
        <w:trPr>
          <w:cantSplit/>
        </w:trPr>
        <w:tc>
          <w:tcPr/>
          <w:p>
            <w:pPr>
              <w:pStyle w:val="Compact"/>
            </w:pPr>
            <w:r>
              <w:rPr>
                <w:rStyle w:val="VerbatimChar"/>
                <w:lang w:val="pt-PT"/>
              </w:rPr>
              <w:t xml:space="preserve">activity_logs</w:t>
            </w:r>
            <w:r>
              <w:rPr>
                <w:lang w:val="pt-PT"/>
              </w:rPr>
              <w:t xml:space="preserve"> </w:t>
            </w:r>
            <w:r>
              <w:rPr>
                <w:lang w:val="pt-PT"/>
              </w:rPr>
              <w:t xml:space="preserve">(por organização)</w:t>
            </w:r>
          </w:p>
        </w:tc>
        <w:tc>
          <w:tcPr/>
          <w:p>
            <w:pPr>
              <w:pStyle w:val="Compact"/>
            </w:pPr>
            <w:r>
              <w:rPr>
                <w:lang w:val="pt-PT"/>
              </w:rPr>
              <w:t xml:space="preserve">Log de atividades do aplicativo específico do locatário</w:t>
            </w:r>
          </w:p>
        </w:tc>
      </w:tr>
      <w:tr>
        <w:trPr>
          <w:cantSplit/>
        </w:trPr>
        <w:tc>
          <w:tcPr/>
          <w:p>
            <w:pPr>
              <w:pStyle w:val="Compact"/>
            </w:pPr>
            <w:r>
              <w:rPr>
                <w:rStyle w:val="VerbatimChar"/>
                <w:lang w:val="pt-PT"/>
              </w:rPr>
              <w:t xml:space="preserve">public.audit_logs</w:t>
            </w:r>
            <w:r>
              <w:rPr>
                <w:lang w:val="pt-PT"/>
              </w:rPr>
              <w:t xml:space="preserve"> </w:t>
            </w:r>
            <w:r>
              <w:rPr>
                <w:lang w:val="pt-PT"/>
              </w:rPr>
              <w:t xml:space="preserve">(plataforma)</w:t>
            </w:r>
          </w:p>
        </w:tc>
        <w:tc>
          <w:tcPr/>
          <w:p>
            <w:pPr>
              <w:pStyle w:val="Compact"/>
            </w:pPr>
            <w:r>
              <w:rPr>
                <w:lang w:val="pt-PT"/>
              </w:rPr>
              <w:t xml:space="preserve">Eventos de administração transversal</w:t>
            </w:r>
          </w:p>
        </w:tc>
      </w:tr>
      <w:tr>
        <w:trPr>
          <w:cantSplit/>
        </w:trPr>
        <w:tc>
          <w:tcPr/>
          <w:p>
            <w:pPr>
              <w:pStyle w:val="Compact"/>
            </w:pPr>
            <w:r>
              <w:rPr>
                <w:lang w:val="pt-PT"/>
              </w:rPr>
              <w:t xml:space="preserve">Registos de contêiner (</w:t>
            </w:r>
            <w:r>
              <w:rPr>
                <w:rStyle w:val="VerbatimChar"/>
                <w:lang w:val="pt-PT"/>
              </w:rPr>
              <w:t xml:space="preserve">docker compose logs</w:t>
            </w:r>
            <w:r>
              <w:rPr>
                <w:lang w:val="pt-PT"/>
              </w:rPr>
              <w:t xml:space="preserve">)</w:t>
            </w:r>
          </w:p>
        </w:tc>
        <w:tc>
          <w:tcPr/>
          <w:p>
            <w:pPr>
              <w:pStyle w:val="Compact"/>
            </w:pPr>
            <w:r>
              <w:rPr>
                <w:lang w:val="pt-PT"/>
              </w:rPr>
              <w:t xml:space="preserve">Registos técnicos por serviço (rotação de 10 MB × 3)</w:t>
            </w:r>
          </w:p>
        </w:tc>
      </w:tr>
    </w:tbl>
    <w:p>
      <w:pPr>
        <w:pStyle w:val="BodyText"/>
      </w:pPr>
      <w:r>
        <w:rPr>
          <w:b/>
          <w:bCs/>
          <w:lang w:val="pt-PT"/>
        </w:rPr>
        <w:t xml:space="preserve">Exportações de </w:t>
      </w:r>
      <w:r>
        <w:rPr>
          <w:lang w:val="pt-PT"/>
        </w:rPr>
        <w:t xml:space="preserve"/>
      </w:r>
      <w:r>
        <w:rPr>
          <w:lang w:val="pt-PT"/>
        </w:rPr>
        <w:t xml:space="preserve">auditoria: os logs de auditoria </w:t>
      </w:r>
      <w:r>
        <w:rPr>
          <w:lang w:val="pt-PT"/>
        </w:rPr>
        <w:t xml:space="preserve"/>
      </w:r>
      <w:r>
        <w:rPr>
          <w:b/>
          <w:bCs/>
          <w:lang w:val="pt-PT"/>
        </w:rPr>
        <w:t xml:space="preserve">podem ser exportados em CSV ou </w:t>
      </w:r>
      <w:r>
        <w:rPr>
          <w:lang w:val="pt-PT"/>
        </w:rPr>
        <w:t xml:space="preserve"/>
      </w:r>
      <w:r>
        <w:rPr>
          <w:lang w:val="pt-PT"/>
        </w:rPr>
        <w:t xml:space="preserve">JSON para fins de auditoria e monitorização.</w:t>
      </w:r>
    </w:p>
    <w:p>
      <w:pPr>
        <w:pStyle w:val="BodyText"/>
      </w:pPr>
      <w:r>
        <w:rPr>
          <w:b/>
          <w:bCs/>
          <w:lang w:val="pt-PT"/>
        </w:rPr>
        <w:t xml:space="preserve">Consulta de referência:</w:t>
      </w:r>
    </w:p>
    <w:p>
      <w:pPr>
        <w:pStyle w:val="SourceCode"/>
      </w:pPr>
      <w:r>
        <w:rPr>
          <w:rStyle w:val="ExtensionTok"/>
          <w:rFonts w:ascii="Courier New" w:hAnsi="Courier New" w:eastAsia="Courier New" w:cs="Courier New"/>
          <w:sz w:val="20"/>
          <w:szCs w:val="20"/>
        </w:rPr>
        <w:t xml:space="preserve">docker compose logs -f app           # registos da aplicação</w:t>
        <w:br/>
        <w:t xml:space="preserve">docker compose logs -f queue         # registos dos workers</w:t>
        <w:br/>
        <w:t xml:space="preserve">docker compose logs nginx            # registos do proxy inverso</w:t>
      </w:r>
    </w:p>
    <w:p>
      <w:pPr>
        <w:pStyle w:val="FirstParagraph"/>
      </w:pPr>
      <w:r>
        <w:rPr>
          <w:b/>
          <w:bCs/>
          <w:lang w:val="pt-PT"/>
        </w:rPr>
        <w:t xml:space="preserve">Conservação (valores predefinidos, configuráveis): </w:t>
      </w:r>
      <w:r>
        <w:rPr>
          <w:lang w:val="pt-PT"/>
        </w:rPr>
        <w:t xml:space="preserve"/>
      </w:r>
      <w:r>
        <w:rPr>
          <w:lang w:val="pt-PT"/>
        </w:rPr>
        <w:t xml:space="preserve">registos de auditoria ≤ 12 meses; registos técnicos ≈ 90 dias.</w:t>
      </w:r>
    </w:p>
    <w:p>
      <w:r>
        <w:pict>
          <v:rect style="width:0;height:1.5pt" o:hralign="center" o:hrstd="t" o:hr="t"/>
        </w:pict>
      </w:r>
    </w:p>
    <w:bookmarkEnd w:id="132"/>
    <w:bookmarkStart w:id="133" w:name="expl-15--gestion-dun-incident"/>
    <w:p>
      <w:pPr>
        <w:pStyle w:val="Heading2"/>
        <w:keepNext/>
        <w:keepLines/>
      </w:pPr>
      <w:r>
        <w:rPr>
          <w:color w:val="000000"/>
          <w:lang w:val="pt-PT"/>
        </w:rPr>
        <w:t xml:space="preserve">EXPL-15 — Gerenciamento de incidentes</w:t>
      </w:r>
    </w:p>
    <w:p>
      <w:pPr>
        <w:pStyle w:val="FirstParagraph"/>
      </w:pPr>
      <w:r>
        <w:rPr>
          <w:b/>
          <w:bCs/>
          <w:lang w:val="pt-PT"/>
        </w:rPr>
        <w:t xml:space="preserve">Objetivo: </w:t>
      </w:r>
      <w:r>
        <w:rPr>
          <w:lang w:val="pt-PT"/>
        </w:rPr>
        <w:t xml:space="preserve"/>
      </w:r>
      <w:r>
        <w:rPr>
          <w:lang w:val="pt-PT"/>
        </w:rPr>
        <w:t xml:space="preserve">definir as ações a serem tomadas em caso de incidente operacional.</w:t>
      </w:r>
    </w:p>
    <w:p>
      <w:pPr>
        <w:pStyle w:val="BodyText"/>
      </w:pPr>
      <w:r>
        <w:rPr>
          <w:b/>
          <w:bCs/>
          <w:lang w:val="pt-PT"/>
        </w:rPr>
        <w:t xml:space="preserve">Etapas:</w:t>
      </w:r>
    </w:p>
    <w:p>
      <w:pPr>
        <w:pStyle w:val="Compact"/>
        <w:numPr>
          <w:ilvl w:val="0"/>
          <w:numId w:val="1042"/>
        </w:numPr>
      </w:pPr>
      <w:r>
        <w:rPr>
          <w:b/>
          <w:bCs/>
          <w:lang w:val="pt-PT"/>
        </w:rPr>
        <w:t xml:space="preserve">Qualificação: </w:t>
      </w:r>
      <w:r>
        <w:rPr>
          <w:lang w:val="pt-PT"/>
        </w:rPr>
        <w:t xml:space="preserve"/>
      </w:r>
      <w:r>
        <w:rPr>
          <w:lang w:val="pt-PT"/>
        </w:rPr>
        <w:t xml:space="preserve">natureza (indisponibilidade, degradação, corrupção, incidente de segurança), perímetro (um serviço/servidor/uma sala/uma organização), gravidade.</w:t>
      </w:r>
    </w:p>
    <w:p>
      <w:pPr>
        <w:pStyle w:val="Compact"/>
        <w:numPr>
          <w:ilvl w:val="0"/>
          <w:numId w:val="1042"/>
        </w:numPr>
      </w:pPr>
      <w:r>
        <w:rPr>
          <w:b/>
          <w:bCs/>
          <w:lang w:val="pt-PT"/>
        </w:rPr>
        <w:t xml:space="preserve">Contenção: </w:t>
      </w:r>
      <w:r>
        <w:rPr>
          <w:lang w:val="pt-PT"/>
        </w:rPr>
        <w:t xml:space="preserve"/>
      </w:r>
      <w:r>
        <w:rPr>
          <w:lang w:val="pt-PT"/>
        </w:rPr>
        <w:t xml:space="preserve">isolar o componente em questão; no caso de um incidente de segurança, consulte </w:t>
      </w:r>
      <w:r>
        <w:rPr>
          <w:lang w:val="pt-PT"/>
        </w:rPr>
        <w:t xml:space="preserve"/>
      </w:r>
      <w:r>
        <w:rPr>
          <w:rStyle w:val="VerbatimChar"/>
          <w:lang w:val="pt-PT"/>
        </w:rPr>
        <w:t xml:space="preserve">04_Plan_Assurance_Securite.md</w:t>
      </w:r>
      <w:r>
        <w:rPr>
          <w:lang w:val="pt-PT"/>
        </w:rPr>
        <w:t xml:space="preserve">.</w:t>
      </w:r>
    </w:p>
    <w:p>
      <w:pPr>
        <w:pStyle w:val="Compact"/>
        <w:numPr>
          <w:ilvl w:val="0"/>
          <w:numId w:val="1042"/>
        </w:numPr>
      </w:pPr>
      <w:r>
        <w:rPr>
          <w:b/>
          <w:bCs/>
          <w:lang w:val="pt-PT"/>
        </w:rPr>
        <w:t xml:space="preserve">Recuperação: </w:t>
      </w:r>
      <w:r>
        <w:rPr>
          <w:lang w:val="pt-PT"/>
        </w:rPr>
        <w:t xml:space="preserve">aplique </w:t>
      </w:r>
      <w:r>
        <w:rPr>
          <w:lang w:val="pt-PT"/>
        </w:rPr>
        <w:t xml:space="preserve">o cenário apropriado (DCD §13: reinicialização do serviço, comutação da Sala B, restauração).</w:t>
      </w:r>
    </w:p>
    <w:p>
      <w:pPr>
        <w:pStyle w:val="Compact"/>
        <w:numPr>
          <w:ilvl w:val="0"/>
          <w:numId w:val="1042"/>
        </w:numPr>
      </w:pPr>
      <w:r>
        <w:rPr>
          <w:b/>
          <w:bCs/>
          <w:lang w:val="pt-PT"/>
        </w:rPr>
        <w:t xml:space="preserve">Rastreabilidade: </w:t>
      </w:r>
      <w:r>
        <w:rPr>
          <w:lang w:val="pt-PT"/>
        </w:rPr>
        <w:t xml:space="preserve"/>
      </w:r>
      <w:r>
        <w:rPr>
          <w:lang w:val="pt-PT"/>
        </w:rPr>
        <w:t xml:space="preserve">registre o incidente (detecção, ações, carimbo de data/hora) a partir de logs (EXPL-14).</w:t>
      </w:r>
    </w:p>
    <w:p>
      <w:pPr>
        <w:pStyle w:val="Compact"/>
        <w:numPr>
          <w:ilvl w:val="0"/>
          <w:numId w:val="1042"/>
        </w:numPr>
      </w:pPr>
      <w:r>
        <w:rPr>
          <w:b/>
          <w:bCs/>
          <w:lang w:val="pt-PT"/>
        </w:rPr>
        <w:t xml:space="preserve">Notificação: em caso </w:t>
      </w:r>
      <w:r>
        <w:rPr>
          <w:lang w:val="pt-PT"/>
        </w:rPr>
        <w:t xml:space="preserve">de </w:t>
      </w:r>
      <w:r>
        <w:rPr>
          <w:lang w:val="pt-PT"/>
        </w:rPr>
        <w:t xml:space="preserve">violação de dados pessoais, alertar o Cliente sem demora injustificada após ter conhecimento, incluindo fora dos dias úteis; transmitir os primeiros elementos disponíveis e completá-los sem aguardar o fim da investigação (PAS e DPA).</w:t>
      </w:r>
    </w:p>
    <w:p>
      <w:pPr>
        <w:pStyle w:val="Compact"/>
        <w:numPr>
          <w:ilvl w:val="0"/>
          <w:numId w:val="1042"/>
        </w:numPr>
      </w:pPr>
      <w:r>
        <w:rPr>
          <w:b/>
          <w:bCs/>
          <w:lang w:val="pt-PT"/>
        </w:rPr>
        <w:t xml:space="preserve">Feedback: análise </w:t>
      </w:r>
      <w:r>
        <w:rPr>
          <w:lang w:val="pt-PT"/>
        </w:rPr>
        <w:t xml:space="preserve"/>
      </w:r>
      <w:r>
        <w:rPr>
          <w:lang w:val="pt-PT"/>
        </w:rPr>
        <w:t xml:space="preserve">de causas, ações corretivas.</w:t>
      </w:r>
    </w:p>
    <w:p>
      <w:pPr>
        <w:pStyle w:val="FirstParagraph"/>
      </w:pPr>
      <w:r>
        <w:rPr>
          <w:b/>
          <w:bCs/>
          <w:lang w:val="pt-PT"/>
        </w:rPr>
        <w:t xml:space="preserve">Contactos do Incidente:</w:t>
      </w:r>
    </w:p>
    <w:p>
      <w:pPr>
        <w:pStyle w:val="Compact"/>
        <w:numPr>
          <w:ilvl w:val="0"/>
          <w:numId w:val="1043"/>
        </w:numPr>
      </w:pPr>
      <w:r>
        <w:rPr>
          <w:lang w:val="pt-PT"/>
        </w:rPr>
        <w:t xml:space="preserve">Cliente Interno: </w:t>
      </w:r>
      <w:r>
        <w:rPr>
          <w:lang w:val="pt-PT"/>
        </w:rPr>
        <w:t xml:space="preserve"/>
      </w:r>
      <w:r>
        <w:rPr>
          <w:rStyle w:val="VerbatimChar"/>
          <w:lang w:val="pt-PT"/>
        </w:rPr>
        <w:t xml:space="preserve">[ATENÇÃO: plantão / departamento de </w:t>
      </w:r>
      <w:r>
        <w:rPr>
          <w:lang w:val="pt-PT"/>
        </w:rPr>
        <w:t xml:space="preserve">TI].</w:t>
      </w:r>
    </w:p>
    <w:p>
      <w:pPr>
        <w:pStyle w:val="Compact"/>
        <w:numPr>
          <w:ilvl w:val="0"/>
          <w:numId w:val="1043"/>
        </w:numPr>
      </w:pPr>
      <w:r>
        <w:rPr>
          <w:lang w:val="pt-PT"/>
        </w:rPr>
        <w:t xml:space="preserve">Editor/mantenedor (mídia OHADJA): consulte EXPL-16.</w:t>
      </w:r>
    </w:p>
    <w:p>
      <w:r>
        <w:pict>
          <v:rect style="width:0;height:1.5pt" o:hralign="center" o:hrstd="t" o:hr="t"/>
        </w:pict>
      </w:r>
    </w:p>
    <w:bookmarkEnd w:id="133"/>
    <w:bookmarkStart w:id="135" w:name="expl-16--modalités-daccès-au-support"/>
    <w:p>
      <w:pPr>
        <w:pStyle w:val="Heading2"/>
        <w:keepNext/>
        <w:keepLines/>
      </w:pPr>
      <w:r>
        <w:rPr>
          <w:color w:val="000000"/>
          <w:lang w:val="pt-PT"/>
        </w:rPr>
        <w:t xml:space="preserve">EXPL-16 — Condições de acesso ao suporte</w:t>
      </w:r>
    </w:p>
    <w:p>
      <w:pPr>
        <w:pStyle w:val="FirstParagraph"/>
      </w:pPr>
      <w:r>
        <w:rPr>
          <w:b/>
          <w:bCs/>
          <w:lang w:val="pt-PT"/>
        </w:rPr>
        <w:t xml:space="preserve">Objetivo: </w:t>
      </w:r>
      <w:r>
        <w:rPr>
          <w:lang w:val="pt-PT"/>
        </w:rPr>
        <w:t xml:space="preserve"/>
      </w:r>
      <w:r>
        <w:rPr>
          <w:lang w:val="pt-PT"/>
        </w:rPr>
        <w:t xml:space="preserve">permitir que o Cliente solicite suporte do editor/mantenedor OHADJA.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Editor/mantenedor</w:t>
            </w:r>
          </w:p>
        </w:tc>
        <w:tc>
          <w:tcPr/>
          <w:p>
            <w:pPr>
              <w:pStyle w:val="Compact"/>
            </w:pPr>
            <w:r>
              <w:rPr>
                <w:lang w:val="pt-PT"/>
              </w:rPr>
              <w:t xml:space="preserve">OHADJA — 60 rue François 1er, 75008 Paris</w:t>
            </w:r>
          </w:p>
        </w:tc>
      </w:tr>
      <w:tr>
        <w:trPr>
          <w:cantSplit/>
        </w:trPr>
        <w:tc>
          <w:tcPr/>
          <w:p>
            <w:pPr>
              <w:pStyle w:val="Compact"/>
            </w:pPr>
            <w:r>
              <w:rPr>
                <w:lang w:val="pt-PT"/>
              </w:rPr>
              <w:t xml:space="preserve">Canal</w:t>
            </w:r>
          </w:p>
        </w:tc>
        <w:tc>
          <w:tcPr/>
          <w:p>
            <w:pPr>
              <w:pStyle w:val="Compact"/>
            </w:pPr>
            <w:r>
              <w:rPr>
                <w:lang w:val="pt-PT"/>
              </w:rPr>
              <w:t xml:space="preserve">E-mail: </w:t>
            </w:r>
            <w:r>
              <w:rPr>
                <w:lang w:val="pt-PT"/>
              </w:rPr>
              <w:t xml:space="preserve"/>
            </w:r>
            <w:hyperlink r:id="rId134">
              <w:r>
                <w:rPr>
                  <w:rStyle w:val="Hyperlink"/>
                  <w:lang w:val="pt-PT"/>
                </w:rPr>
                <w:t xml:space="preserve">support@transcribia.eu</w:t>
              </w:r>
            </w:hyperlink>
          </w:p>
        </w:tc>
      </w:tr>
      <w:tr>
        <w:trPr>
          <w:cantSplit/>
        </w:trPr>
        <w:tc>
          <w:tcPr/>
          <w:p>
            <w:pPr>
              <w:pStyle w:val="Compact"/>
            </w:pPr>
            <w:r>
              <w:rPr>
                <w:lang w:val="pt-PT"/>
              </w:rPr>
              <w:t xml:space="preserve">Horários</w:t>
            </w:r>
          </w:p>
        </w:tc>
        <w:tc>
          <w:tcPr/>
          <w:p>
            <w:pPr>
              <w:pStyle w:val="Compact"/>
            </w:pPr>
            <w:r>
              <w:rPr>
                <w:lang w:val="pt-PT"/>
              </w:rPr>
              <w:t xml:space="preserve">Dias úteis [A </w:t>
            </w:r>
            <w:r>
              <w:rPr>
                <w:lang w:val="pt-PT"/>
              </w:rPr>
              <w:t xml:space="preserve"/>
            </w:r>
            <w:r>
              <w:rPr>
                <w:rStyle w:val="VerbatimChar"/>
                <w:lang w:val="pt-PT"/>
              </w:rPr>
              <w:t xml:space="preserve">PREENCHER: horário, por exemplo, 09:00–18:00]</w:t>
            </w:r>
          </w:p>
        </w:tc>
      </w:tr>
      <w:tr>
        <w:trPr>
          <w:cantSplit/>
        </w:trPr>
        <w:tc>
          <w:tcPr/>
          <w:p>
            <w:pPr>
              <w:pStyle w:val="Compact"/>
            </w:pPr>
            <w:r>
              <w:rPr>
                <w:lang w:val="pt-PT"/>
              </w:rPr>
              <w:t xml:space="preserve">Idioma</w:t>
            </w:r>
          </w:p>
        </w:tc>
        <w:tc>
          <w:tcPr/>
          <w:p>
            <w:pPr>
              <w:pStyle w:val="Compact"/>
            </w:pPr>
            <w:r>
              <w:rPr>
                <w:lang w:val="pt-PT"/>
              </w:rPr>
              <w:t xml:space="preserve">Francês</w:t>
            </w:r>
          </w:p>
        </w:tc>
      </w:tr>
      <w:tr>
        <w:trPr>
          <w:cantSplit/>
        </w:trPr>
        <w:tc>
          <w:tcPr/>
          <w:p>
            <w:pPr>
              <w:pStyle w:val="Compact"/>
            </w:pPr>
            <w:r>
              <w:rPr>
                <w:lang w:val="pt-PT"/>
              </w:rPr>
              <w:t xml:space="preserve">Referente de segurança do editor</w:t>
            </w:r>
          </w:p>
        </w:tc>
        <w:tc>
          <w:tcPr/>
          <w:p>
            <w:pPr>
              <w:pStyle w:val="Compact"/>
            </w:pPr>
            <w:r>
              <w:rPr>
                <w:lang w:val="pt-PT"/>
              </w:rPr>
              <w:t xml:space="preserve">Olivier Dupont (CTO, cofundador OHADJA) </w:t>
            </w:r>
            <w:r>
              <w:rPr>
                <w:lang w:val="pt-PT"/>
              </w:rPr>
              <w:t xml:space="preserve">— </w:t>
            </w:r>
            <w:r>
              <w:rPr>
                <w:rStyle w:val="VerbatimChar"/>
                <w:lang w:val="pt-PT"/>
              </w:rPr>
              <w:t xml:space="preserve">privacy@transcribia.eu</w:t>
            </w:r>
          </w:p>
        </w:tc>
      </w:tr>
    </w:tbl>
    <w:p>
      <w:pPr>
        <w:pStyle w:val="BodyText"/>
      </w:pPr>
      <w:r>
        <w:rPr>
          <w:b/>
          <w:bCs/>
          <w:lang w:val="pt-PT"/>
        </w:rPr>
        <w:t xml:space="preserve">Informações a fornecer ao fazer uma solicitação:</w:t>
      </w:r>
    </w:p>
    <w:p>
      <w:pPr>
        <w:pStyle w:val="Compact"/>
        <w:numPr>
          <w:ilvl w:val="0"/>
          <w:numId w:val="1044"/>
        </w:numPr>
      </w:pPr>
      <w:r>
        <w:rPr>
          <w:b/>
          <w:bCs/>
          <w:lang w:val="pt-PT"/>
        </w:rPr>
        <w:t xml:space="preserve">Número da versão </w:t>
      </w:r>
      <w:r>
        <w:rPr>
          <w:lang w:val="pt-PT"/>
        </w:rPr>
        <w:t xml:space="preserve"/>
      </w:r>
      <w:r>
        <w:rPr>
          <w:lang w:val="pt-PT"/>
        </w:rPr>
        <w:t xml:space="preserve">da plataforma em produção.</w:t>
      </w:r>
    </w:p>
    <w:p>
      <w:pPr>
        <w:pStyle w:val="Compact"/>
        <w:numPr>
          <w:ilvl w:val="0"/>
          <w:numId w:val="1044"/>
        </w:numPr>
      </w:pPr>
      <w:r>
        <w:rPr>
          <w:b/>
          <w:bCs/>
          <w:lang w:val="pt-PT"/>
        </w:rPr>
        <w:t xml:space="preserve">Identificador de instalação </w:t>
      </w:r>
      <w:r>
        <w:rPr>
          <w:lang w:val="pt-PT"/>
        </w:rPr>
        <w:t xml:space="preserve"/>
      </w:r>
      <w:r>
        <w:rPr>
          <w:rStyle w:val="VerbatimChar"/>
          <w:lang w:val="pt-PT"/>
        </w:rPr>
        <w:t xml:space="preserve">[S/N a definir na </w:t>
      </w:r>
      <w:r>
        <w:rPr>
          <w:lang w:val="pt-PT"/>
        </w:rPr>
        <w:t xml:space="preserve">instalação].</w:t>
      </w:r>
    </w:p>
    <w:p>
      <w:pPr>
        <w:pStyle w:val="Compact"/>
        <w:numPr>
          <w:ilvl w:val="0"/>
          <w:numId w:val="1044"/>
        </w:numPr>
      </w:pPr>
      <w:r>
        <w:rPr>
          <w:lang w:val="pt-PT"/>
        </w:rPr>
        <w:t xml:space="preserve">Descrição do problema, carimbo de data/hora, âmbito.</w:t>
      </w:r>
    </w:p>
    <w:p>
      <w:pPr>
        <w:pStyle w:val="Compact"/>
        <w:numPr>
          <w:ilvl w:val="0"/>
          <w:numId w:val="1044"/>
        </w:numPr>
      </w:pPr>
      <w:r>
        <w:rPr>
          <w:b/>
          <w:bCs/>
          <w:lang w:val="pt-PT"/>
        </w:rPr>
        <w:t xml:space="preserve">Exportação de </w:t>
      </w:r>
      <w:r>
        <w:rPr>
          <w:lang w:val="pt-PT"/>
        </w:rPr>
        <w:t xml:space="preserve"/>
      </w:r>
      <w:r>
        <w:rPr>
          <w:lang w:val="pt-PT"/>
        </w:rPr>
        <w:t xml:space="preserve">logs relevantes (EXPL-14) — após remoção de quaisquer dados confidenciais de acordo com a política do Cliente.</w:t>
      </w:r>
    </w:p>
    <w:p>
      <w:pPr>
        <w:pStyle w:val="FirstParagraph"/>
      </w:pPr>
      <w:r>
        <w:rPr>
          <w:b/>
          <w:bCs/>
          <w:lang w:val="pt-PT"/>
        </w:rPr>
        <w:t xml:space="preserve">Níveis de gravidade: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Gravidade</w:t>
            </w:r>
          </w:p>
        </w:tc>
        <w:tc>
          <w:tcPr/>
          <w:p>
            <w:pPr>
              <w:pStyle w:val="Compact"/>
            </w:pPr>
            <w:r>
              <w:rPr>
                <w:lang w:val="pt-PT"/>
              </w:rPr>
              <w:t xml:space="preserve">Definição</w:t>
            </w:r>
          </w:p>
        </w:tc>
      </w:tr>
      <w:tr>
        <w:trPr>
          <w:cantSplit/>
        </w:trPr>
        <w:tc>
          <w:tcPr/>
          <w:p>
            <w:pPr>
              <w:pStyle w:val="Compact"/>
            </w:pPr>
            <w:r>
              <w:rPr>
                <w:lang w:val="pt-PT"/>
              </w:rPr>
              <w:t xml:space="preserve">Bloqueio</w:t>
            </w:r>
          </w:p>
        </w:tc>
        <w:tc>
          <w:tcPr/>
          <w:p>
            <w:pPr>
              <w:pStyle w:val="Compact"/>
            </w:pPr>
            <w:r>
              <w:rPr>
                <w:lang w:val="pt-PT"/>
              </w:rPr>
              <w:t xml:space="preserve">Serviço indisponível ou função crítica inutilizável, sem bypass</w:t>
            </w:r>
          </w:p>
        </w:tc>
      </w:tr>
      <w:tr>
        <w:trPr>
          <w:cantSplit/>
        </w:trPr>
        <w:tc>
          <w:tcPr/>
          <w:p>
            <w:pPr>
              <w:pStyle w:val="Compact"/>
            </w:pPr>
            <w:r>
              <w:rPr>
                <w:lang w:val="pt-PT"/>
              </w:rPr>
              <w:t xml:space="preserve">Principal</w:t>
            </w:r>
          </w:p>
        </w:tc>
        <w:tc>
          <w:tcPr/>
          <w:p>
            <w:pPr>
              <w:pStyle w:val="Compact"/>
            </w:pPr>
            <w:r>
              <w:rPr>
                <w:lang w:val="pt-PT"/>
              </w:rPr>
              <w:t xml:space="preserve">Função importante degradada, solução alternativa possível</w:t>
            </w:r>
          </w:p>
        </w:tc>
      </w:tr>
      <w:tr>
        <w:trPr>
          <w:cantSplit/>
        </w:trPr>
        <w:tc>
          <w:tcPr/>
          <w:p>
            <w:pPr>
              <w:pStyle w:val="Compact"/>
            </w:pPr>
            <w:r>
              <w:rPr>
                <w:lang w:val="pt-PT"/>
              </w:rPr>
              <w:t xml:space="preserve">Menor</w:t>
            </w:r>
          </w:p>
        </w:tc>
        <w:tc>
          <w:tcPr/>
          <w:p>
            <w:pPr>
              <w:pStyle w:val="Compact"/>
            </w:pPr>
            <w:r>
              <w:rPr>
                <w:lang w:val="pt-PT"/>
              </w:rPr>
              <w:t xml:space="preserve">Anomalia sem impacto operacional significativo</w:t>
            </w:r>
          </w:p>
        </w:tc>
      </w:tr>
    </w:tbl>
    <w:p>
      <w:r>
        <w:pict>
          <v:rect style="width:0;height:1.5pt" o:hralign="center" o:hrstd="t" o:hr="t"/>
        </w:pict>
      </w:r>
    </w:p>
    <w:bookmarkEnd w:id="135"/>
    <w:bookmarkStart w:id="136" w:name="Xd30854a3fdc6798f46b192de01e8524b1ba6921"/>
    <w:p>
      <w:pPr>
        <w:pStyle w:val="Heading2"/>
        <w:keepNext/>
        <w:keepLines/>
      </w:pPr>
      <w:r>
        <w:rPr>
          <w:color w:val="000000"/>
          <w:lang w:val="pt-PT"/>
        </w:rPr>
        <w:t xml:space="preserve">EXPL-17 — Lembrete de compromissos de nível de serviço</w:t>
      </w:r>
    </w:p>
    <w:p>
      <w:pPr>
        <w:pStyle w:val="FirstParagraph"/>
      </w:pPr>
      <w:r>
        <w:rPr>
          <w:b/>
          <w:bCs/>
          <w:lang w:val="pt-PT"/>
        </w:rPr>
        <w:t xml:space="preserve">Objetivo: </w:t>
      </w:r>
      <w:r>
        <w:rPr>
          <w:lang w:val="pt-PT"/>
        </w:rPr>
        <w:t xml:space="preserve"/>
      </w:r>
      <w:r>
        <w:rPr>
          <w:lang w:val="pt-PT"/>
        </w:rPr>
        <w:t xml:space="preserve">relembrar os compromissos propostos (a confirmar no contrato).</w:t>
      </w:r>
    </w:p>
    <w:p>
      <w:pPr>
        <w:pStyle w:val="BodyText"/>
      </w:pPr>
      <w:r>
        <w:rPr>
          <w:b/>
          <w:bCs/>
          <w:lang w:val="pt-PT"/>
        </w:rPr>
        <w:t xml:space="preserve">Garantias de tempo de resposta (GTI) — proposta padrão:</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Gravidade</w:t>
            </w:r>
          </w:p>
        </w:tc>
        <w:tc>
          <w:tcPr/>
          <w:p>
            <w:pPr>
              <w:pStyle w:val="Compact"/>
            </w:pPr>
            <w:r>
              <w:rPr>
                <w:lang w:val="pt-PT"/>
              </w:rPr>
              <w:t xml:space="preserve">GTI proposto</w:t>
            </w:r>
          </w:p>
        </w:tc>
        <w:tc>
          <w:tcPr/>
          <w:p>
            <w:pPr>
              <w:pStyle w:val="Compact"/>
            </w:pPr>
            <w:r>
              <w:rPr>
                <w:lang w:val="pt-PT"/>
              </w:rPr>
              <w:t xml:space="preserve">Estado</w:t>
            </w:r>
          </w:p>
        </w:tc>
      </w:tr>
      <w:tr>
        <w:trPr>
          <w:cantSplit/>
        </w:trPr>
        <w:tc>
          <w:tcPr/>
          <w:p>
            <w:pPr>
              <w:pStyle w:val="Compact"/>
            </w:pPr>
            <w:r>
              <w:rPr>
                <w:lang w:val="pt-PT"/>
              </w:rPr>
              <w:t xml:space="preserve">Bloqueio</w:t>
            </w:r>
          </w:p>
        </w:tc>
        <w:tc>
          <w:tcPr/>
          <w:p>
            <w:pPr>
              <w:pStyle w:val="Compact"/>
            </w:pPr>
            <w:r>
              <w:rPr>
                <w:lang w:val="pt-PT"/>
              </w:rPr>
              <w:t xml:space="preserve">4 horas de trabalho</w:t>
            </w:r>
          </w:p>
        </w:tc>
        <w:tc>
          <w:tcPr/>
          <w:p>
            <w:pPr>
              <w:pStyle w:val="Compact"/>
            </w:pPr>
            <w:r>
              <w:rPr>
                <w:lang w:val="pt-PT"/>
              </w:rPr>
              <w:t xml:space="preserve">[proposta padrão — a ser confirmada no contrato]</w:t>
            </w:r>
          </w:p>
        </w:tc>
      </w:tr>
      <w:tr>
        <w:trPr>
          <w:cantSplit/>
        </w:trPr>
        <w:tc>
          <w:tcPr/>
          <w:p>
            <w:pPr>
              <w:pStyle w:val="Compact"/>
            </w:pPr>
            <w:r>
              <w:rPr>
                <w:lang w:val="pt-PT"/>
              </w:rPr>
              <w:t xml:space="preserve">Principal</w:t>
            </w:r>
          </w:p>
        </w:tc>
        <w:tc>
          <w:tcPr/>
          <w:p>
            <w:pPr>
              <w:pStyle w:val="Compact"/>
            </w:pPr>
            <w:r>
              <w:rPr>
                <w:lang w:val="pt-PT"/>
              </w:rPr>
              <w:t xml:space="preserve">1 dia útil</w:t>
            </w:r>
          </w:p>
        </w:tc>
        <w:tc>
          <w:tcPr/>
          <w:p>
            <w:pPr>
              <w:pStyle w:val="Compact"/>
            </w:pPr>
            <w:r>
              <w:rPr>
                <w:lang w:val="pt-PT"/>
              </w:rPr>
              <w:t xml:space="preserve">[proposta padrão — a ser confirmada no contrato]</w:t>
            </w:r>
          </w:p>
        </w:tc>
      </w:tr>
      <w:tr>
        <w:trPr>
          <w:cantSplit/>
        </w:trPr>
        <w:tc>
          <w:tcPr/>
          <w:p>
            <w:pPr>
              <w:pStyle w:val="Compact"/>
            </w:pPr>
            <w:r>
              <w:rPr>
                <w:lang w:val="pt-PT"/>
              </w:rPr>
              <w:t xml:space="preserve">Menor</w:t>
            </w:r>
          </w:p>
        </w:tc>
        <w:tc>
          <w:tcPr/>
          <w:p>
            <w:pPr>
              <w:pStyle w:val="Compact"/>
            </w:pPr>
            <w:r>
              <w:rPr>
                <w:lang w:val="pt-PT"/>
              </w:rPr>
              <w:t xml:space="preserve">Melhor esforço</w:t>
            </w:r>
          </w:p>
        </w:tc>
        <w:tc>
          <w:tcPr/>
          <w:p>
            <w:pPr>
              <w:pStyle w:val="Compact"/>
            </w:pPr>
            <w:r>
              <w:rPr>
                <w:lang w:val="pt-PT"/>
              </w:rPr>
              <w:t xml:space="preserve">[proposta padrão — a ser confirmada no contrato]</w:t>
            </w:r>
          </w:p>
        </w:tc>
      </w:tr>
    </w:tbl>
    <w:p>
      <w:pPr>
        <w:pStyle w:val="BodyText"/>
      </w:pPr>
      <w:r>
        <w:rPr>
          <w:b/>
          <w:bCs/>
          <w:lang w:val="pt-PT"/>
        </w:rPr>
        <w:t xml:space="preserve">Objetivos de continuidade (arquitetura alvo):</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Objetivo</w:t>
            </w:r>
          </w:p>
        </w:tc>
        <w:tc>
          <w:tcPr/>
          <w:p>
            <w:pPr>
              <w:pStyle w:val="Compact"/>
            </w:pPr>
            <w:r>
              <w:rPr>
                <w:lang w:val="pt-PT"/>
              </w:rPr>
              <w:t xml:space="preserve">Valor</w:t>
            </w:r>
          </w:p>
        </w:tc>
        <w:tc>
          <w:tcPr/>
          <w:p>
            <w:pPr>
              <w:pStyle w:val="Compact"/>
            </w:pPr>
            <w:r>
              <w:rPr>
                <w:lang w:val="pt-PT"/>
              </w:rPr>
              <w:t xml:space="preserve">Estado</w:t>
            </w:r>
          </w:p>
        </w:tc>
      </w:tr>
      <w:tr>
        <w:trPr>
          <w:cantSplit/>
        </w:trPr>
        <w:tc>
          <w:tcPr/>
          <w:p>
            <w:pPr>
              <w:pStyle w:val="Compact"/>
            </w:pPr>
            <w:r>
              <w:rPr>
                <w:lang w:val="pt-PT"/>
              </w:rPr>
              <w:t xml:space="preserve">RPO</w:t>
            </w:r>
          </w:p>
        </w:tc>
        <w:tc>
          <w:tcPr/>
          <w:p>
            <w:pPr>
              <w:pStyle w:val="Compact"/>
            </w:pPr>
            <w:r>
              <w:rPr>
                <w:lang w:val="pt-PT"/>
              </w:rPr>
              <w:t xml:space="preserve">≤ 24 h (alvo ≤ 15 min em replicação contínua)</w:t>
            </w:r>
          </w:p>
        </w:tc>
        <w:tc>
          <w:tcPr/>
          <w:p>
            <w:pPr>
              <w:pStyle w:val="Compact"/>
            </w:pPr>
            <w:r>
              <w:rPr>
                <w:lang w:val="pt-PT"/>
              </w:rPr>
              <w:t xml:space="preserve">Objetivo arquitetônico — a ser validado na aceitação</w:t>
            </w:r>
          </w:p>
        </w:tc>
      </w:tr>
      <w:tr>
        <w:trPr>
          <w:cantSplit/>
        </w:trPr>
        <w:tc>
          <w:tcPr/>
          <w:p>
            <w:pPr>
              <w:pStyle w:val="Compact"/>
            </w:pPr>
            <w:r>
              <w:rPr>
                <w:lang w:val="pt-PT"/>
              </w:rPr>
              <w:t xml:space="preserve">RTO</w:t>
            </w:r>
          </w:p>
        </w:tc>
        <w:tc>
          <w:tcPr/>
          <w:p>
            <w:pPr>
              <w:pStyle w:val="Compact"/>
            </w:pPr>
            <w:r>
              <w:rPr>
                <w:lang w:val="pt-PT"/>
              </w:rPr>
              <w:t xml:space="preserve">≤ 4 h</w:t>
            </w:r>
          </w:p>
        </w:tc>
        <w:tc>
          <w:tcPr/>
          <w:p>
            <w:pPr>
              <w:pStyle w:val="Compact"/>
            </w:pPr>
            <w:r>
              <w:rPr>
                <w:lang w:val="pt-PT"/>
              </w:rPr>
              <w:t xml:space="preserve">Objetivo arquitetônico — a ser validado na aceitação</w:t>
            </w:r>
          </w:p>
        </w:tc>
      </w:tr>
    </w:tbl>
    <w:p>
      <w:pPr>
        <w:pStyle w:val="BlockText"/>
      </w:pPr>
      <w:r>
        <w:rPr>
          <w:lang w:val="pt-PT"/>
        </w:rPr>
        <w:t xml:space="preserve">Os GTIs e objetivos acima são </w:t>
      </w:r>
      <w:r>
        <w:rPr>
          <w:lang w:val="pt-PT"/>
        </w:rPr>
        <w:t xml:space="preserve"/>
      </w:r>
      <w:r>
        <w:rPr>
          <w:b/>
          <w:bCs/>
          <w:lang w:val="pt-PT"/>
        </w:rPr>
        <w:t xml:space="preserve">propostas; seus </w:t>
      </w:r>
      <w:r>
        <w:rPr>
          <w:lang w:val="pt-PT"/>
        </w:rPr>
        <w:t xml:space="preserve"/>
      </w:r>
      <w:r>
        <w:rPr>
          <w:lang w:val="pt-PT"/>
        </w:rPr>
        <w:t xml:space="preserve">valores finais dependem do contrato de manutenção e dos resultados de aceitação.</w:t>
      </w:r>
    </w:p>
    <w:p>
      <w:r>
        <w:pict>
          <v:rect style="width:0;height:1.5pt" o:hralign="center" o:hrstd="t" o:hr="t"/>
        </w:pict>
      </w:r>
    </w:p>
    <w:p>
      <w:pPr>
        <w:pStyle w:val="FirstParagraph"/>
      </w:pPr>
      <w:r>
        <w:rPr>
          <w:i/>
          <w:iCs/>
          <w:lang w:val="pt-PT"/>
        </w:rPr>
        <w:t xml:space="preserve">Documento de trabalho elaborado por OHADJA (editor/mantenedor) — procedimentos operacionais a serem adaptados à instalação real do Cliente. Os comandos exatos (scripts, Makefile, caminhos) serão corrigidos durante a fase de implementação.</w:t>
      </w:r>
    </w:p>
    <w:p>
      <w:r>
        <w:br w:type="page"/>
      </w:r>
    </w:p>
    <w:bookmarkEnd w:id="136"/>
    <w:bookmarkEnd w:id="137"/>
    <w:bookmarkStart w:id="158" w:name="X4b2c663eaab4fc589c4d36f90a56a2bb2f8a047"/>
    <w:p>
      <w:pPr>
        <w:pStyle w:val="Heading1"/>
        <w:keepNext/>
        <w:keepLines/>
      </w:pPr>
      <w:r>
        <w:rPr>
          <w:color w:val="000000"/>
          <w:lang w:val="pt-PT"/>
        </w:rPr>
        <w:t xml:space="preserve">Dossier de qualificação — Caderno de testes de aceitação — TranscribIA local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pt-PT"/>
              </w:rPr>
              <w:t xml:space="preserve">Referência</w:t>
            </w:r>
          </w:p>
        </w:tc>
        <w:tc>
          <w:tcPr/>
          <w:p>
            <w:pPr>
              <w:pStyle w:val="Compact"/>
            </w:pPr>
            <w:r>
              <w:rPr>
                <w:lang w:val="pt-PT"/>
              </w:rPr>
              <w:t xml:space="preserve">OHA-ONPREM-RECETTE-2026-001</w:t>
            </w:r>
          </w:p>
        </w:tc>
      </w:tr>
      <w:tr>
        <w:trPr>
          <w:cantSplit/>
        </w:trPr>
        <w:tc>
          <w:tcPr/>
          <w:p>
            <w:pPr>
              <w:pStyle w:val="Compact"/>
            </w:pPr>
            <w:r>
              <w:rPr>
                <w:b/>
                <w:bCs/>
                <w:lang w:val="pt-PT"/>
              </w:rPr>
              <w:t xml:space="preserve">Versão</w:t>
            </w:r>
          </w:p>
        </w:tc>
        <w:tc>
          <w:tcPr/>
          <w:p>
            <w:pPr>
              <w:pStyle w:val="Compact"/>
            </w:pPr>
            <w:r>
              <w:rPr>
                <w:lang w:val="pt-PT"/>
              </w:rPr>
              <w:t xml:space="preserve">1.0</w:t>
            </w:r>
          </w:p>
        </w:tc>
      </w:tr>
      <w:tr>
        <w:trPr>
          <w:cantSplit/>
        </w:trPr>
        <w:tc>
          <w:tcPr/>
          <w:p>
            <w:pPr>
              <w:pStyle w:val="Compact"/>
            </w:pPr>
            <w:r>
              <w:rPr>
                <w:b/>
                <w:bCs/>
                <w:lang w:val="pt-PT"/>
              </w:rPr>
              <w:t xml:space="preserve">Data</w:t>
            </w:r>
          </w:p>
        </w:tc>
        <w:tc>
          <w:tcPr/>
          <w:p>
            <w:pPr>
              <w:pStyle w:val="Compact"/>
            </w:pPr>
            <w:r>
              <w:rPr>
                <w:lang w:val="pt-PT"/>
              </w:rPr>
              <w:t xml:space="preserve">2026-07-24</w:t>
            </w:r>
          </w:p>
        </w:tc>
      </w:tr>
      <w:tr>
        <w:trPr>
          <w:cantSplit/>
        </w:trPr>
        <w:tc>
          <w:tcPr/>
          <w:p>
            <w:pPr>
              <w:pStyle w:val="Compact"/>
            </w:pPr>
            <w:r>
              <w:rPr>
                <w:b/>
                <w:bCs/>
                <w:lang w:val="pt-PT"/>
              </w:rPr>
              <w:t xml:space="preserve">Editor/editor</w:t>
            </w:r>
          </w:p>
        </w:tc>
        <w:tc>
          <w:tcPr/>
          <w:p>
            <w:pPr>
              <w:pStyle w:val="Compact"/>
            </w:pPr>
            <w:r>
              <w:rPr>
                <w:lang w:val="pt-PT"/>
              </w:rPr>
              <w:t xml:space="preserve">OHADJA — editor e mantenedor do software TranscribIA — 60 rue François 1er, 75008 Paris</w:t>
            </w:r>
          </w:p>
        </w:tc>
      </w:tr>
      <w:tr>
        <w:trPr>
          <w:cantSplit/>
        </w:trPr>
        <w:tc>
          <w:tcPr/>
          <w:p>
            <w:pPr>
              <w:pStyle w:val="Compact"/>
            </w:pPr>
            <w:r>
              <w:rPr>
                <w:b/>
                <w:bCs/>
                <w:lang w:val="pt-PT"/>
              </w:rPr>
              <w:t xml:space="preserve">Integrador/distribuidor</w:t>
            </w:r>
          </w:p>
        </w:tc>
        <w:tc>
          <w:tcPr/>
          <w:p>
            <w:pPr>
              <w:pStyle w:val="Compact"/>
            </w:pPr>
            <w:r>
              <w:rPr>
                <w:lang w:val="pt-PT"/>
              </w:rPr>
              <w:t xml:space="preserve">Seu integrador (a especificar dependendo do projeto)</w:t>
            </w:r>
          </w:p>
        </w:tc>
      </w:tr>
      <w:tr>
        <w:trPr>
          <w:cantSplit/>
        </w:trPr>
        <w:tc>
          <w:tcPr/>
          <w:p>
            <w:pPr>
              <w:pStyle w:val="Compact"/>
            </w:pPr>
            <w:r>
              <w:rPr>
                <w:b/>
                <w:bCs/>
                <w:lang w:val="pt-PT"/>
              </w:rPr>
              <w:t xml:space="preserve">Revendedor comercial</w:t>
            </w:r>
          </w:p>
        </w:tc>
        <w:tc>
          <w:tcPr/>
          <w:p>
            <w:pPr>
              <w:pStyle w:val="Compact"/>
            </w:pPr>
            <w:r>
              <w:rPr>
                <w:lang w:val="pt-PT"/>
              </w:rPr>
              <w:t xml:space="preserve">AMBASSADIA SARL (Mónaco e França) — apenas função comercial, sem exploração ou acesso a dados de produção</w:t>
            </w:r>
          </w:p>
        </w:tc>
      </w:tr>
      <w:tr>
        <w:trPr>
          <w:cantSplit/>
        </w:trPr>
        <w:tc>
          <w:tcPr/>
          <w:p>
            <w:pPr>
              <w:pStyle w:val="Compact"/>
            </w:pPr>
            <w:r>
              <w:rPr>
                <w:b/>
                <w:bCs/>
                <w:lang w:val="pt-PT"/>
              </w:rPr>
              <w:t xml:space="preserve">Destinatário</w:t>
            </w:r>
          </w:p>
        </w:tc>
        <w:tc>
          <w:tcPr/>
          <w:p>
            <w:pPr>
              <w:pStyle w:val="Compact"/>
            </w:pPr>
            <w:r>
              <w:rPr>
                <w:lang w:val="pt-PT"/>
              </w:rPr>
              <w:t xml:space="preserve">Cliente — Direção de Sistemas de Informação (a personalizar durante o projeto)</w:t>
            </w:r>
          </w:p>
        </w:tc>
      </w:tr>
      <w:tr>
        <w:trPr>
          <w:cantSplit/>
        </w:trPr>
        <w:tc>
          <w:tcPr/>
          <w:p>
            <w:pPr>
              <w:pStyle w:val="Compact"/>
            </w:pPr>
            <w:r>
              <w:rPr>
                <w:b/>
                <w:bCs/>
                <w:lang w:val="pt-PT"/>
              </w:rPr>
              <w:t xml:space="preserve">Classificação</w:t>
            </w:r>
          </w:p>
        </w:tc>
        <w:tc>
          <w:tcPr/>
          <w:p>
            <w:pPr>
              <w:pStyle w:val="Compact"/>
            </w:pPr>
            <w:r>
              <w:rPr>
                <w:lang w:val="pt-PT"/>
              </w:rPr>
              <w:t xml:space="preserve">Público — documento padrão, adaptado para cada projeto de implementação</w:t>
            </w:r>
          </w:p>
        </w:tc>
      </w:tr>
    </w:tbl>
    <w:p>
      <w:pPr>
        <w:pStyle w:val="BlockText"/>
      </w:pPr>
      <w:r>
        <w:rPr>
          <w:lang w:val="pt-PT"/>
        </w:rPr>
        <w:t xml:space="preserve">Este arquivo define os testes de qualificação e aceitação para a implementação local de TranscribIA (variante isolada, arquitetura ativa Sala A / backup passivo Sala B). Cada teste possui uma coluna Status </w:t>
      </w:r>
      <w:r>
        <w:rPr>
          <w:lang w:val="pt-PT"/>
        </w:rPr>
        <w:t xml:space="preserve">a </w:t>
      </w:r>
      <w:r>
        <w:rPr>
          <w:b/>
          <w:bCs/>
          <w:lang w:val="pt-PT"/>
        </w:rPr>
        <w:t xml:space="preserve">ser </w:t>
      </w:r>
      <w:r>
        <w:rPr>
          <w:lang w:val="pt-PT"/>
        </w:rPr>
        <w:t xml:space="preserve"/>
      </w:r>
      <w:r>
        <w:rPr>
          <w:lang w:val="pt-PT"/>
        </w:rPr>
        <w:t xml:space="preserve">inserida durante a aceitação (Conforme/Não conforme/Não aplicável). Os valores-alvo dependentes de hardware são relatados [a serem </w:t>
      </w:r>
      <w:r>
        <w:rPr>
          <w:lang w:val="pt-PT"/>
        </w:rPr>
        <w:t xml:space="preserve"/>
      </w:r>
      <w:r>
        <w:rPr>
          <w:rStyle w:val="VerbatimChar"/>
          <w:lang w:val="pt-PT"/>
        </w:rPr>
        <w:t xml:space="preserve">estabelecidos na configuração </w:t>
      </w:r>
      <w:r>
        <w:rPr>
          <w:lang w:val="pt-PT"/>
        </w:rPr>
        <w:t xml:space="preserve">escolhida].</w:t>
      </w:r>
    </w:p>
    <w:p>
      <w:r>
        <w:pict>
          <v:rect style="width:0;height:1.5pt" o:hralign="center" o:hrstd="t" o:hr="t"/>
        </w:pict>
      </w:r>
    </w:p>
    <w:bookmarkStart w:id="140" w:name="X1b5385844c82e0364776f08473af03501281c3a"/>
    <w:p>
      <w:pPr>
        <w:pStyle w:val="Heading2"/>
        <w:keepNext/>
        <w:keepLines/>
      </w:pPr>
      <w:r>
        <w:rPr>
          <w:color w:val="000000"/>
          <w:lang w:val="pt-PT"/>
        </w:rPr>
        <w:t xml:space="preserve">1. Âmbito e pré-requisitos</w:t>
      </w:r>
    </w:p>
    <w:bookmarkStart w:id="138" w:name="X169fe6c72c832537c26008364d44c8d2275b61d"/>
    <w:p>
      <w:pPr>
        <w:pStyle w:val="Heading3"/>
        <w:keepNext/>
        <w:keepLines/>
      </w:pPr>
      <w:r>
        <w:rPr>
          <w:color w:val="000000"/>
          <w:lang w:val="pt-PT"/>
        </w:rPr>
        <w:t xml:space="preserve">1.1 Âmbito da aceitação</w:t>
      </w:r>
    </w:p>
    <w:p>
      <w:pPr>
        <w:pStyle w:val="FirstParagraph"/>
      </w:pPr>
      <w:r>
        <w:rPr>
          <w:lang w:val="pt-PT"/>
        </w:rPr>
        <w:t xml:space="preserve">A aceitação cobre:</w:t>
      </w:r>
    </w:p>
    <w:p>
      <w:pPr>
        <w:pStyle w:val="Compact"/>
        <w:numPr>
          <w:ilvl w:val="0"/>
          <w:numId w:val="1045"/>
        </w:numPr>
      </w:pPr>
      <w:r>
        <w:rPr>
          <w:lang w:val="pt-PT"/>
        </w:rPr>
        <w:t xml:space="preserve">funções </w:t>
      </w:r>
      <w:r>
        <w:rPr>
          <w:lang w:val="pt-PT"/>
        </w:rPr>
        <w:t xml:space="preserve"/>
      </w:r>
      <w:r>
        <w:rPr>
          <w:b/>
          <w:bCs/>
          <w:lang w:val="pt-PT"/>
        </w:rPr>
        <w:t xml:space="preserve">do aplicativo </w:t>
      </w:r>
      <w:r>
        <w:rPr>
          <w:lang w:val="pt-PT"/>
        </w:rPr>
        <w:t xml:space="preserve"/>
      </w:r>
      <w:r>
        <w:rPr>
          <w:lang w:val="pt-PT"/>
        </w:rPr>
        <w:t xml:space="preserve">(criação de organizações e utilizadores, envio de áudio, transcrição ponta a ponta, diarização, edição, geração de IA em LLM local, exportação de Word, exclusão);</w:t>
      </w:r>
    </w:p>
    <w:p>
      <w:pPr>
        <w:pStyle w:val="Compact"/>
        <w:numPr>
          <w:ilvl w:val="0"/>
          <w:numId w:val="1045"/>
        </w:numPr>
      </w:pPr>
      <w:r>
        <w:rPr>
          <w:lang w:val="pt-PT"/>
        </w:rPr>
        <w:t xml:space="preserve">segurança </w:t>
      </w:r>
      <w:r>
        <w:rPr>
          <w:lang w:val="pt-PT"/>
        </w:rPr>
        <w:t xml:space="preserve"/>
      </w:r>
      <w:r>
        <w:rPr>
          <w:b/>
          <w:bCs/>
          <w:lang w:val="pt-PT"/>
        </w:rPr>
        <w:t xml:space="preserve"/>
      </w:r>
      <w:r>
        <w:rPr>
          <w:lang w:val="pt-PT"/>
        </w:rPr>
        <w:t xml:space="preserve"/>
      </w:r>
      <w:r>
        <w:rPr>
          <w:lang w:val="pt-PT"/>
        </w:rPr>
        <w:t xml:space="preserve">(autenticação, 2FA, RBAC, isolamento multilocatário, antivírus, TLS, bloqueio/limitação de taxa, trilha de auditoria);</w:t>
      </w:r>
    </w:p>
    <w:p>
      <w:pPr>
        <w:pStyle w:val="Compact"/>
        <w:numPr>
          <w:ilvl w:val="0"/>
          <w:numId w:val="1045"/>
        </w:numPr>
      </w:pPr>
      <w:r>
        <w:rPr>
          <w:lang w:val="pt-PT"/>
        </w:rPr>
        <w:t xml:space="preserve">desempenho </w:t>
      </w:r>
      <w:r>
        <w:rPr>
          <w:lang w:val="pt-PT"/>
        </w:rPr>
        <w:t xml:space="preserve"/>
      </w:r>
      <w:r>
        <w:rPr>
          <w:b/>
          <w:bCs/>
          <w:lang w:val="pt-PT"/>
        </w:rPr>
        <w:t xml:space="preserve"/>
      </w:r>
      <w:r>
        <w:rPr>
          <w:lang w:val="pt-PT"/>
        </w:rPr>
        <w:t xml:space="preserve"/>
      </w:r>
      <w:r>
        <w:rPr>
          <w:lang w:val="pt-PT"/>
        </w:rPr>
        <w:t xml:space="preserve">(transcrição de ficheiro de referência, carga simultânea, tempo de resposta da API);</w:t>
      </w:r>
    </w:p>
    <w:p>
      <w:pPr>
        <w:pStyle w:val="Compact"/>
        <w:numPr>
          <w:ilvl w:val="0"/>
          <w:numId w:val="1045"/>
        </w:numPr>
      </w:pPr>
      <w:r>
        <w:rPr>
          <w:lang w:val="pt-PT"/>
        </w:rPr>
        <w:t xml:space="preserve">comutação </w:t>
      </w:r>
      <w:r>
        <w:rPr>
          <w:lang w:val="pt-PT"/>
        </w:rPr>
        <w:t xml:space="preserve"/>
      </w:r>
      <w:r>
        <w:rPr>
          <w:b/>
          <w:bCs/>
          <w:lang w:val="pt-PT"/>
        </w:rPr>
        <w:t xml:space="preserve">e recuperação </w:t>
      </w:r>
      <w:r>
        <w:rPr>
          <w:lang w:val="pt-PT"/>
        </w:rPr>
        <w:t xml:space="preserve"/>
      </w:r>
      <w:r>
        <w:rPr>
          <w:lang w:val="pt-PT"/>
        </w:rPr>
        <w:t xml:space="preserve">(falha de serviço, falha de servidor, perda da Sala A → promoção da Sala B, restaurações);</w:t>
      </w:r>
    </w:p>
    <w:p>
      <w:pPr>
        <w:pStyle w:val="Compact"/>
        <w:numPr>
          <w:ilvl w:val="0"/>
          <w:numId w:val="1045"/>
        </w:numPr>
      </w:pPr>
      <w:r>
        <w:rPr>
          <w:lang w:val="pt-PT"/>
        </w:rPr>
        <w:t xml:space="preserve">operação </w:t>
      </w:r>
      <w:r>
        <w:rPr>
          <w:b/>
          <w:bCs/>
          <w:lang w:val="pt-PT"/>
        </w:rPr>
        <w:t xml:space="preserve"/>
      </w:r>
      <w:r>
        <w:rPr>
          <w:lang w:val="pt-PT"/>
        </w:rPr>
        <w:t xml:space="preserve"/>
      </w:r>
      <w:r>
        <w:rPr>
          <w:lang w:val="pt-PT"/>
        </w:rPr>
        <w:t xml:space="preserve">(backup/restauração de configuração, atualização + rollback, supervisão/alerta).</w:t>
      </w:r>
    </w:p>
    <w:bookmarkEnd w:id="138"/>
    <w:bookmarkStart w:id="139" w:name="Xeeda15796ab1fa420d65e685d089bc042ce4ccf"/>
    <w:p>
      <w:pPr>
        <w:pStyle w:val="Heading3"/>
        <w:keepNext/>
        <w:keepLines/>
      </w:pPr>
      <w:r>
        <w:rPr>
          <w:color w:val="000000"/>
          <w:lang w:val="pt-PT"/>
        </w:rPr>
        <w:t xml:space="preserve">1.2 Pré-requisitos para a aceitação</w:t>
      </w:r>
    </w:p>
    <w:p>
      <w:pPr>
        <w:pStyle w:val="Compact"/>
        <w:numPr>
          <w:ilvl w:val="0"/>
          <w:numId w:val="1046"/>
        </w:numPr>
      </w:pPr>
      <w:r>
        <w:rPr>
          <w:lang w:val="pt-PT"/>
        </w:rPr>
        <w:t xml:space="preserve">Instalação realizada de acordo com DCD (</w:t>
      </w:r>
      <w:r>
        <w:rPr>
          <w:rStyle w:val="VerbatimChar"/>
          <w:lang w:val="pt-PT"/>
        </w:rPr>
        <w:t xml:space="preserve">01_Dossier_Conception_Detaillee.md</w:t>
      </w:r>
      <w:r>
        <w:rPr>
          <w:lang w:val="pt-PT"/>
        </w:rPr>
        <w:t xml:space="preserve">).</w:t>
      </w:r>
    </w:p>
    <w:p>
      <w:pPr>
        <w:pStyle w:val="Compact"/>
        <w:numPr>
          <w:ilvl w:val="0"/>
          <w:numId w:val="1046"/>
        </w:numPr>
      </w:pPr>
      <w:r>
        <w:rPr>
          <w:lang w:val="pt-PT"/>
        </w:rPr>
        <w:t xml:space="preserve">Pilha iniciada e íntegra (EXPL-03).</w:t>
      </w:r>
    </w:p>
    <w:p>
      <w:pPr>
        <w:pStyle w:val="Compact"/>
        <w:numPr>
          <w:ilvl w:val="0"/>
          <w:numId w:val="1046"/>
        </w:numPr>
      </w:pPr>
      <w:r>
        <w:rPr>
          <w:lang w:val="pt-PT"/>
        </w:rPr>
        <w:t xml:space="preserve">Local ativo Sala A e local de emergência Sala B operacionais, replicação estabelecida.</w:t>
      </w:r>
    </w:p>
    <w:p>
      <w:pPr>
        <w:pStyle w:val="Compact"/>
        <w:numPr>
          <w:ilvl w:val="0"/>
          <w:numId w:val="1046"/>
        </w:numPr>
      </w:pPr>
      <w:r>
        <w:rPr>
          <w:lang w:val="pt-PT"/>
        </w:rPr>
        <w:t xml:space="preserve">Servidor GPU (transcrição + LLM local) operacional.</w:t>
      </w:r>
    </w:p>
    <w:p>
      <w:pPr>
        <w:pStyle w:val="Compact"/>
        <w:numPr>
          <w:ilvl w:val="0"/>
          <w:numId w:val="1046"/>
        </w:numPr>
      </w:pPr>
      <w:r>
        <w:rPr>
          <w:lang w:val="pt-PT"/>
        </w:rPr>
        <w:t xml:space="preserve">Conjuntos de dados de teste: ficheiro de áudio de referência, ficheiro de áudio de 1 hora, ficheiro de teste EICAR (antivírus).</w:t>
      </w:r>
    </w:p>
    <w:p>
      <w:pPr>
        <w:pStyle w:val="Compact"/>
        <w:numPr>
          <w:ilvl w:val="0"/>
          <w:numId w:val="1046"/>
        </w:numPr>
      </w:pPr>
      <w:r>
        <w:rPr>
          <w:lang w:val="pt-PT"/>
        </w:rPr>
        <w:t xml:space="preserve">Contas de teste criadas (aceitação super_admin + contas por função + duas organizações separadas).</w:t>
      </w:r>
    </w:p>
    <w:p>
      <w:r>
        <w:pict>
          <v:rect style="width:0;height:1.5pt" o:hralign="center" o:hrstd="t" o:hr="t"/>
        </w:pict>
      </w:r>
    </w:p>
    <w:bookmarkEnd w:id="139"/>
    <w:bookmarkEnd w:id="140"/>
    <w:bookmarkStart w:id="141" w:name="X37f93053696ce43626004ff7c02dd854a71bb10"/>
    <w:p>
      <w:pPr>
        <w:pStyle w:val="Heading2"/>
        <w:keepNext/>
        <w:keepLines/>
      </w:pPr>
      <w:r>
        <w:rPr>
          <w:color w:val="000000"/>
          <w:lang w:val="pt-PT"/>
        </w:rPr>
        <w:t xml:space="preserve">2. Ambiente de aceitação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Plataforma</w:t>
            </w:r>
          </w:p>
        </w:tc>
        <w:tc>
          <w:tcPr/>
          <w:p>
            <w:pPr>
              <w:pStyle w:val="Compact"/>
            </w:pPr>
            <w:r>
              <w:rPr>
                <w:lang w:val="pt-PT"/>
              </w:rPr>
              <w:t xml:space="preserve">Instalação no local do cliente (sala ativa A/sala de backup B)</w:t>
            </w:r>
          </w:p>
        </w:tc>
      </w:tr>
      <w:tr>
        <w:trPr>
          <w:cantSplit/>
        </w:trPr>
        <w:tc>
          <w:tcPr/>
          <w:p>
            <w:pPr>
              <w:pStyle w:val="Compact"/>
            </w:pPr>
            <w:r>
              <w:rPr>
                <w:lang w:val="pt-PT"/>
              </w:rPr>
              <w:t xml:space="preserve">Versão testada</w:t>
            </w:r>
          </w:p>
        </w:tc>
        <w:tc>
          <w:tcPr/>
          <w:p>
            <w:pPr>
              <w:pStyle w:val="Compact"/>
            </w:pPr>
            <w:r>
              <w:rPr>
                <w:rStyle w:val="VerbatimChar"/>
                <w:lang w:val="pt-PT"/>
              </w:rPr>
              <w:t xml:space="preserve">[ATENÇÃO: tag de versão]</w:t>
            </w:r>
          </w:p>
        </w:tc>
      </w:tr>
      <w:tr>
        <w:trPr>
          <w:cantSplit/>
        </w:trPr>
        <w:tc>
          <w:tcPr/>
          <w:p>
            <w:pPr>
              <w:pStyle w:val="Compact"/>
            </w:pPr>
            <w:r>
              <w:rPr>
                <w:lang w:val="pt-PT"/>
              </w:rPr>
              <w:t xml:space="preserve">Acesso</w:t>
            </w:r>
          </w:p>
        </w:tc>
        <w:tc>
          <w:tcPr/>
          <w:p>
            <w:pPr>
              <w:pStyle w:val="Compact"/>
            </w:pPr>
            <w:r>
              <w:rPr>
                <w:lang w:val="pt-PT"/>
              </w:rPr>
              <w:t xml:space="preserve">Aplicativo VIP </w:t>
            </w:r>
            <w:r>
              <w:rPr>
                <w:lang w:val="pt-PT"/>
              </w:rPr>
              <w:t xml:space="preserve"/>
            </w:r>
            <w:r>
              <w:rPr>
                <w:rStyle w:val="VerbatimChar"/>
                <w:lang w:val="pt-PT"/>
              </w:rPr>
              <w:t xml:space="preserve">[OBRIGATÓRIO], </w:t>
            </w:r>
            <w:r>
              <w:rPr>
                <w:lang w:val="pt-PT"/>
              </w:rPr>
              <w:t xml:space="preserve">HTTPS 443</w:t>
            </w:r>
          </w:p>
        </w:tc>
      </w:tr>
      <w:tr>
        <w:trPr>
          <w:cantSplit/>
        </w:trPr>
        <w:tc>
          <w:tcPr/>
          <w:p>
            <w:pPr>
              <w:pStyle w:val="Compact"/>
            </w:pPr>
            <w:r>
              <w:rPr>
                <w:lang w:val="pt-PT"/>
              </w:rPr>
              <w:t xml:space="preserve">Testando organizações</w:t>
            </w:r>
          </w:p>
        </w:tc>
        <w:tc>
          <w:tcPr/>
          <w:p>
            <w:pPr>
              <w:pStyle w:val="Compact"/>
            </w:pPr>
            <w:r>
              <w:rPr>
                <w:lang w:val="pt-PT"/>
              </w:rPr>
              <w:t xml:space="preserve">ORG-A, ORG-B (esquemas separados)</w:t>
            </w:r>
          </w:p>
        </w:tc>
      </w:tr>
      <w:tr>
        <w:trPr>
          <w:cantSplit/>
        </w:trPr>
        <w:tc>
          <w:tcPr/>
          <w:p>
            <w:pPr>
              <w:pStyle w:val="Compact"/>
            </w:pPr>
            <w:r>
              <w:rPr>
                <w:lang w:val="pt-PT"/>
              </w:rPr>
              <w:t xml:space="preserve">Ficheiros de teste</w:t>
            </w:r>
          </w:p>
        </w:tc>
        <w:tc>
          <w:tcPr/>
          <w:p>
            <w:pPr>
              <w:pStyle w:val="Compact"/>
            </w:pPr>
            <w:r>
              <w:rPr>
                <w:rStyle w:val="VerbatimChar"/>
                <w:lang w:val="pt-PT"/>
              </w:rPr>
              <w:t xml:space="preserve">audio_ref</w:t>
            </w:r>
            <w:r>
              <w:rPr>
                <w:lang w:val="pt-PT"/>
              </w:rPr>
              <w:t xml:space="preserve"> </w:t>
            </w:r>
            <w:r>
              <w:rPr>
                <w:lang w:val="pt-PT"/>
              </w:rPr>
              <w:t xml:space="preserve">(referência curta), </w:t>
            </w:r>
            <w:r>
              <w:rPr>
                <w:lang w:val="pt-PT"/>
              </w:rPr>
              <w:t xml:space="preserve"/>
            </w:r>
            <w:r>
              <w:rPr>
                <w:rStyle w:val="VerbatimChar"/>
                <w:lang w:val="pt-PT"/>
              </w:rPr>
              <w:t xml:space="preserve">audio_1h</w:t>
            </w:r>
            <w:r>
              <w:rPr>
                <w:lang w:val="pt-PT"/>
              </w:rPr>
              <w:t xml:space="preserve"> </w:t>
            </w:r>
            <w:r>
              <w:rPr>
                <w:lang w:val="pt-PT"/>
              </w:rPr>
              <w:t xml:space="preserve">(1 h), </w:t>
            </w:r>
            <w:r>
              <w:rPr>
                <w:lang w:val="pt-PT"/>
              </w:rPr>
              <w:t xml:space="preserve"/>
            </w:r>
            <w:r>
              <w:rPr>
                <w:rStyle w:val="VerbatimChar"/>
                <w:lang w:val="pt-PT"/>
              </w:rPr>
              <w:t xml:space="preserve">EICAR.txt</w:t>
            </w:r>
          </w:p>
        </w:tc>
      </w:tr>
      <w:tr>
        <w:trPr>
          <w:cantSplit/>
        </w:trPr>
        <w:tc>
          <w:tcPr/>
          <w:p>
            <w:pPr>
              <w:pStyle w:val="Compact"/>
            </w:pPr>
            <w:r>
              <w:rPr>
                <w:lang w:val="pt-PT"/>
              </w:rPr>
              <w:t xml:space="preserve">Ferramentas</w:t>
            </w:r>
          </w:p>
        </w:tc>
        <w:tc>
          <w:tcPr/>
          <w:p>
            <w:pPr>
              <w:pStyle w:val="Compact"/>
            </w:pPr>
            <w:r>
              <w:rPr>
                <w:lang w:val="pt-PT"/>
              </w:rPr>
              <w:t xml:space="preserve">Navegador, cliente API (curl/Postman), ferramenta de carregamento </w:t>
            </w:r>
            <w:r>
              <w:rPr>
                <w:lang w:val="pt-PT"/>
              </w:rPr>
              <w:t xml:space="preserve"/>
            </w:r>
            <w:r>
              <w:rPr>
                <w:rStyle w:val="VerbatimChar"/>
                <w:lang w:val="pt-PT"/>
              </w:rPr>
              <w:t xml:space="preserve">[A PREENCHER]</w:t>
            </w:r>
          </w:p>
        </w:tc>
      </w:tr>
    </w:tbl>
    <w:p>
      <w:r>
        <w:pict>
          <v:rect style="width:0;height:1.5pt" o:hralign="center" o:hrstd="t" o:hr="t"/>
        </w:pict>
      </w:r>
    </w:p>
    <w:bookmarkEnd w:id="141"/>
    <w:bookmarkStart w:id="142" w:name="Xded8403895f993be6f77a5151c81243656521af"/>
    <w:p>
      <w:pPr>
        <w:pStyle w:val="Heading2"/>
        <w:keepNext/>
        <w:keepLines/>
      </w:pPr>
      <w:r>
        <w:rPr>
          <w:color w:val="000000"/>
          <w:lang w:val="pt-PT"/>
        </w:rPr>
        <w:t xml:space="preserve">3. Critérios de aceitação</w:t>
      </w:r>
    </w:p>
    <w:p>
      <w:pPr>
        <w:pStyle w:val="Compact"/>
        <w:numPr>
          <w:ilvl w:val="0"/>
          <w:numId w:val="1047"/>
        </w:numPr>
      </w:pPr>
      <w:r>
        <w:rPr>
          <w:b/>
          <w:bCs/>
          <w:lang w:val="pt-PT"/>
        </w:rPr>
        <w:t xml:space="preserve">100% </w:t>
      </w:r>
      <w:r>
        <w:rPr>
          <w:lang w:val="pt-PT"/>
        </w:rPr>
        <w:t xml:space="preserve"/>
      </w:r>
      <w:r>
        <w:rPr>
          <w:lang w:val="pt-PT"/>
        </w:rPr>
        <w:t xml:space="preserve">dos testes T-FONC e T-SEC em status </w:t>
      </w:r>
      <w:r>
        <w:rPr>
          <w:lang w:val="pt-PT"/>
        </w:rPr>
        <w:t xml:space="preserve"/>
      </w:r>
      <w:r>
        <w:rPr>
          <w:b/>
          <w:bCs/>
          <w:lang w:val="pt-PT"/>
        </w:rPr>
        <w:t xml:space="preserve"/>
      </w:r>
      <w:r>
        <w:rPr>
          <w:lang w:val="pt-PT"/>
        </w:rPr>
        <w:t xml:space="preserve">Compliant.</w:t>
      </w:r>
    </w:p>
    <w:p>
      <w:pPr>
        <w:pStyle w:val="Compact"/>
        <w:numPr>
          <w:ilvl w:val="0"/>
          <w:numId w:val="1047"/>
        </w:numPr>
      </w:pPr>
      <w:r>
        <w:rPr>
          <w:lang w:val="pt-PT"/>
        </w:rPr>
        <w:t xml:space="preserve">Testes T-BASCULE </w:t>
      </w:r>
      <w:r>
        <w:rPr>
          <w:lang w:val="pt-PT"/>
        </w:rPr>
        <w:t xml:space="preserve"/>
      </w:r>
      <w:r>
        <w:rPr>
          <w:b/>
          <w:bCs/>
          <w:lang w:val="pt-PT"/>
        </w:rPr>
        <w:t xml:space="preserve">Em </w:t>
      </w:r>
      <w:r>
        <w:rPr>
          <w:lang w:val="pt-PT"/>
        </w:rPr>
        <w:t xml:space="preserve">conformidade, com RTO </w:t>
      </w:r>
      <w:r>
        <w:rPr>
          <w:lang w:val="pt-PT"/>
        </w:rPr>
        <w:t xml:space="preserve">medido </w:t>
      </w:r>
      <w:r>
        <w:rPr>
          <w:b/>
          <w:bCs/>
          <w:lang w:val="pt-PT"/>
        </w:rPr>
        <w:t xml:space="preserve">≤ </w:t>
      </w:r>
      <w:r>
        <w:rPr>
          <w:lang w:val="pt-PT"/>
        </w:rPr>
        <w:t xml:space="preserve">4 </w:t>
      </w:r>
      <w:r>
        <w:rPr>
          <w:lang w:val="pt-PT"/>
        </w:rPr>
        <w:t xml:space="preserve">h e RPO medido </w:t>
      </w:r>
      <w:r>
        <w:rPr>
          <w:lang w:val="pt-PT"/>
        </w:rPr>
        <w:t xml:space="preserve"/>
      </w:r>
      <w:r>
        <w:rPr>
          <w:b/>
          <w:bCs/>
          <w:lang w:val="pt-PT"/>
        </w:rPr>
        <w:t xml:space="preserve">≤ 24 h </w:t>
      </w:r>
      <w:r>
        <w:rPr>
          <w:lang w:val="pt-PT"/>
        </w:rPr>
        <w:t xml:space="preserve"/>
      </w:r>
      <w:r>
        <w:rPr>
          <w:lang w:val="pt-PT"/>
        </w:rPr>
        <w:t xml:space="preserve">(alvo ≤ 15 min a ser documentado).</w:t>
      </w:r>
    </w:p>
    <w:p>
      <w:pPr>
        <w:pStyle w:val="Compact"/>
        <w:numPr>
          <w:ilvl w:val="0"/>
          <w:numId w:val="1047"/>
        </w:numPr>
      </w:pPr>
      <w:r>
        <w:rPr>
          <w:lang w:val="pt-PT"/>
        </w:rPr>
        <w:t xml:space="preserve">Os testes T-PERF obedecem aos limites </w:t>
      </w:r>
      <w:r>
        <w:rPr>
          <w:lang w:val="pt-PT"/>
        </w:rPr>
        <w:t xml:space="preserve"/>
      </w:r>
      <w:r>
        <w:rPr>
          <w:rStyle w:val="VerbatimChar"/>
          <w:lang w:val="pt-PT"/>
        </w:rPr>
        <w:t xml:space="preserve">[a estabelecer na configuração </w:t>
      </w:r>
      <w:r>
        <w:rPr>
          <w:lang w:val="pt-PT"/>
        </w:rPr>
        <w:t xml:space="preserve">escolhida], ou desvios justificados e aceites pelo Cliente.</w:t>
      </w:r>
    </w:p>
    <w:p>
      <w:pPr>
        <w:pStyle w:val="Compact"/>
        <w:numPr>
          <w:ilvl w:val="0"/>
          <w:numId w:val="1047"/>
        </w:numPr>
      </w:pPr>
      <w:r>
        <w:rPr>
          <w:lang w:val="pt-PT"/>
        </w:rPr>
        <w:t xml:space="preserve">Compatível com </w:t>
      </w:r>
      <w:r>
        <w:rPr>
          <w:lang w:val="pt-PT"/>
        </w:rPr>
        <w:t xml:space="preserve"/>
      </w:r>
      <w:r>
        <w:rPr>
          <w:b/>
          <w:bCs/>
          <w:lang w:val="pt-PT"/>
        </w:rPr>
        <w:t xml:space="preserve">testes </w:t>
      </w:r>
      <w:r>
        <w:rPr>
          <w:lang w:val="pt-PT"/>
        </w:rPr>
        <w:t xml:space="preserve">T-EXPL.</w:t>
      </w:r>
    </w:p>
    <w:p>
      <w:pPr>
        <w:pStyle w:val="Compact"/>
        <w:numPr>
          <w:ilvl w:val="0"/>
          <w:numId w:val="1047"/>
        </w:numPr>
      </w:pPr>
      <w:r>
        <w:rPr>
          <w:lang w:val="pt-PT"/>
        </w:rPr>
        <w:t xml:space="preserve">Qualquer incumprimento é objeto de uma ficha de anomalia e de um plano de correção antes da emissão da aceitação.</w:t>
      </w:r>
    </w:p>
    <w:p>
      <w:r>
        <w:pict>
          <v:rect style="width:0;height:1.5pt" o:hralign="center" o:hrstd="t" o:hr="t"/>
        </w:pict>
      </w:r>
    </w:p>
    <w:bookmarkEnd w:id="142"/>
    <w:bookmarkStart w:id="143" w:name="X89f8bc10a7f8f1f76d3a2e7c806170bccc65b8d"/>
    <w:p>
      <w:pPr>
        <w:pStyle w:val="Heading2"/>
        <w:keepNext/>
        <w:keepLines/>
      </w:pPr>
      <w:r>
        <w:rPr>
          <w:color w:val="000000"/>
          <w:lang w:val="pt-PT"/>
        </w:rPr>
        <w:t xml:space="preserve">4. Testes funcionais (T-FONC)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pt-PT"/>
              </w:rPr>
              <w:t xml:space="preserve">ID</w:t>
            </w:r>
          </w:p>
        </w:tc>
        <w:tc>
          <w:tcPr>
            <w:tcW w:type="dxa" w:w="1560"/>
            <w:tcMar>
              <w:left w:type="dxa" w:w="80"/>
              <w:right w:type="dxa" w:w="80"/>
            </w:tcMar>
          </w:tcPr>
          <w:p>
            <w:pPr>
              <w:pStyle w:val="Compact"/>
            </w:pPr>
            <w:r>
              <w:rPr>
                <w:sz w:val="19"/>
                <w:szCs w:val="19"/>
                <w:lang w:val="pt-PT"/>
              </w:rPr>
              <w:t xml:space="preserve">Objetivo</w:t>
            </w:r>
          </w:p>
        </w:tc>
        <w:tc>
          <w:tcPr>
            <w:tcW w:type="dxa" w:w="1560"/>
            <w:tcMar>
              <w:left w:type="dxa" w:w="80"/>
              <w:right w:type="dxa" w:w="80"/>
            </w:tcMar>
          </w:tcPr>
          <w:p>
            <w:pPr>
              <w:pStyle w:val="Compact"/>
            </w:pPr>
            <w:r>
              <w:rPr>
                <w:sz w:val="19"/>
                <w:szCs w:val="19"/>
                <w:lang w:val="pt-PT"/>
              </w:rPr>
              <w:t xml:space="preserve">Pré-requisitos</w:t>
            </w:r>
          </w:p>
        </w:tc>
        <w:tc>
          <w:tcPr>
            <w:tcW w:type="dxa" w:w="1560"/>
            <w:tcMar>
              <w:left w:type="dxa" w:w="80"/>
              <w:right w:type="dxa" w:w="80"/>
            </w:tcMar>
          </w:tcPr>
          <w:p>
            <w:pPr>
              <w:pStyle w:val="Compact"/>
            </w:pPr>
            <w:r>
              <w:rPr>
                <w:sz w:val="19"/>
                <w:szCs w:val="19"/>
                <w:lang w:val="pt-PT"/>
              </w:rPr>
              <w:t xml:space="preserve">Passos</w:t>
            </w:r>
          </w:p>
        </w:tc>
        <w:tc>
          <w:tcPr>
            <w:tcW w:type="dxa" w:w="1560"/>
            <w:tcMar>
              <w:left w:type="dxa" w:w="80"/>
              <w:right w:type="dxa" w:w="80"/>
            </w:tcMar>
          </w:tcPr>
          <w:p>
            <w:pPr>
              <w:pStyle w:val="Compact"/>
            </w:pPr>
            <w:r>
              <w:rPr>
                <w:sz w:val="19"/>
                <w:szCs w:val="19"/>
                <w:lang w:val="pt-PT"/>
              </w:rPr>
              <w:t xml:space="preserve">Resultado esperado</w:t>
            </w:r>
          </w:p>
        </w:tc>
        <w:tc>
          <w:tcPr>
            <w:tcW w:type="dxa" w:w="1560"/>
            <w:tcMar>
              <w:left w:type="dxa" w:w="80"/>
              <w:right w:type="dxa" w:w="80"/>
            </w:tcMar>
          </w:tcPr>
          <w:p>
            <w:pPr>
              <w:pStyle w:val="Compact"/>
            </w:pPr>
            <w:r>
              <w:rPr>
                <w:sz w:val="19"/>
                <w:szCs w:val="19"/>
                <w:lang w:val="pt-PT"/>
              </w:rPr>
              <w:t xml:space="preserve">Estado</w:t>
            </w:r>
          </w:p>
        </w:tc>
      </w:tr>
      <w:tr>
        <w:trPr>
          <w:cantSplit/>
        </w:trPr>
        <w:tc>
          <w:tcPr>
            <w:tcW w:type="dxa" w:w="1560"/>
            <w:tcMar>
              <w:left w:type="dxa" w:w="80"/>
              <w:right w:type="dxa" w:w="80"/>
            </w:tcMar>
          </w:tcPr>
          <w:p>
            <w:pPr>
              <w:pStyle w:val="Compact"/>
            </w:pPr>
            <w:r>
              <w:rPr>
                <w:sz w:val="19"/>
                <w:szCs w:val="19"/>
                <w:lang w:val="pt-PT"/>
              </w:rPr>
              <w:t xml:space="preserve">T-FONC-01</w:t>
            </w:r>
          </w:p>
        </w:tc>
        <w:tc>
          <w:tcPr>
            <w:tcW w:type="dxa" w:w="1560"/>
            <w:tcMar>
              <w:left w:type="dxa" w:w="80"/>
              <w:right w:type="dxa" w:w="80"/>
            </w:tcMar>
          </w:tcPr>
          <w:p>
            <w:pPr>
              <w:pStyle w:val="Compact"/>
            </w:pPr>
            <w:r>
              <w:rPr>
                <w:sz w:val="19"/>
                <w:szCs w:val="19"/>
                <w:lang w:val="pt-PT"/>
              </w:rPr>
              <w:t xml:space="preserve">Criação de organização</w:t>
            </w:r>
          </w:p>
        </w:tc>
        <w:tc>
          <w:tcPr>
            <w:tcW w:type="dxa" w:w="1560"/>
            <w:tcMar>
              <w:left w:type="dxa" w:w="80"/>
              <w:right w:type="dxa" w:w="80"/>
            </w:tcMar>
          </w:tcPr>
          <w:p>
            <w:pPr>
              <w:pStyle w:val="Compact"/>
            </w:pPr>
            <w:r>
              <w:rPr>
                <w:sz w:val="19"/>
                <w:szCs w:val="19"/>
                <w:lang w:val="pt-PT"/>
              </w:rPr>
              <w:t xml:space="preserve">super_admin logado</w:t>
            </w:r>
          </w:p>
        </w:tc>
        <w:tc>
          <w:tcPr>
            <w:tcW w:type="dxa" w:w="1560"/>
            <w:tcMar>
              <w:left w:type="dxa" w:w="80"/>
              <w:right w:type="dxa" w:w="80"/>
            </w:tcMar>
          </w:tcPr>
          <w:p>
            <w:pPr>
              <w:pStyle w:val="Compact"/>
            </w:pPr>
            <w:r>
              <w:rPr>
                <w:sz w:val="19"/>
                <w:szCs w:val="19"/>
                <w:lang w:val="pt-PT"/>
              </w:rPr>
              <w:t xml:space="preserve">1. Admin → Organizações → Criar ORG-A (modelo de administração). 2. Verifique a criação do esquema.</w:t>
            </w:r>
          </w:p>
        </w:tc>
        <w:tc>
          <w:tcPr>
            <w:tcW w:type="dxa" w:w="1560"/>
            <w:tcMar>
              <w:left w:type="dxa" w:w="80"/>
              <w:right w:type="dxa" w:w="80"/>
            </w:tcMar>
          </w:tcPr>
          <w:p>
            <w:pPr>
              <w:pStyle w:val="Compact"/>
            </w:pPr>
            <w:r>
              <w:rPr>
                <w:sz w:val="19"/>
                <w:szCs w:val="19"/>
                <w:lang w:val="pt-PT"/>
              </w:rPr>
              <w:t xml:space="preserve">ORG-A criada, esquema dedicado provisionado, modelo aplicado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T-FONC-02</w:t>
            </w:r>
          </w:p>
        </w:tc>
        <w:tc>
          <w:tcPr>
            <w:tcW w:type="dxa" w:w="1560"/>
            <w:tcMar>
              <w:left w:type="dxa" w:w="80"/>
              <w:right w:type="dxa" w:w="80"/>
            </w:tcMar>
          </w:tcPr>
          <w:p>
            <w:pPr>
              <w:pStyle w:val="Compact"/>
            </w:pPr>
            <w:r>
              <w:rPr>
                <w:sz w:val="19"/>
                <w:szCs w:val="19"/>
                <w:lang w:val="pt-PT"/>
              </w:rPr>
              <w:t xml:space="preserve">Criação de utilizador</w:t>
            </w:r>
          </w:p>
        </w:tc>
        <w:tc>
          <w:tcPr>
            <w:tcW w:type="dxa" w:w="1560"/>
            <w:tcMar>
              <w:left w:type="dxa" w:w="80"/>
              <w:right w:type="dxa" w:w="80"/>
            </w:tcMar>
          </w:tcPr>
          <w:p>
            <w:pPr>
              <w:pStyle w:val="Compact"/>
            </w:pPr>
            <w:r>
              <w:rPr>
                <w:sz w:val="19"/>
                <w:szCs w:val="19"/>
                <w:lang w:val="pt-PT"/>
              </w:rPr>
              <w:t xml:space="preserve">ORG-A existente</w:t>
            </w:r>
          </w:p>
        </w:tc>
        <w:tc>
          <w:tcPr>
            <w:tcW w:type="dxa" w:w="1560"/>
            <w:tcMar>
              <w:left w:type="dxa" w:w="80"/>
              <w:right w:type="dxa" w:w="80"/>
            </w:tcMar>
          </w:tcPr>
          <w:p>
            <w:pPr>
              <w:pStyle w:val="Compact"/>
            </w:pPr>
            <w:r>
              <w:rPr>
                <w:sz w:val="19"/>
                <w:szCs w:val="19"/>
                <w:lang w:val="pt-PT"/>
              </w:rPr>
              <w:t xml:space="preserve">1. Crie um </w:t>
            </w:r>
            <w:r>
              <w:rPr>
                <w:sz w:val="19"/>
                <w:szCs w:val="19"/>
                <w:lang w:val="pt-PT"/>
              </w:rPr>
              <w:t xml:space="preserve"/>
            </w:r>
            <w:r>
              <w:rPr>
                <w:rStyle w:val="VerbatimChar"/>
                <w:sz w:val="19"/>
                <w:szCs w:val="19"/>
                <w:lang w:val="pt-PT"/>
              </w:rPr>
              <w:t xml:space="preserve">manager</w:t>
            </w:r>
            <w:r>
              <w:rPr>
                <w:sz w:val="19"/>
                <w:szCs w:val="19"/>
                <w:lang w:val="pt-PT"/>
              </w:rPr>
              <w:t xml:space="preserve">, </w:t>
            </w:r>
            <w:r>
              <w:rPr>
                <w:sz w:val="19"/>
                <w:szCs w:val="19"/>
                <w:lang w:val="pt-PT"/>
              </w:rPr>
              <w:t xml:space="preserve"/>
            </w:r>
            <w:r>
              <w:rPr>
                <w:rStyle w:val="VerbatimChar"/>
                <w:sz w:val="19"/>
                <w:szCs w:val="19"/>
                <w:lang w:val="pt-PT"/>
              </w:rPr>
              <w:t xml:space="preserve">team_lead</w:t>
            </w:r>
            <w:r>
              <w:rPr>
                <w:sz w:val="19"/>
                <w:szCs w:val="19"/>
                <w:lang w:val="pt-PT"/>
              </w:rPr>
              <w:t xml:space="preserve">, </w:t>
            </w:r>
            <w:r>
              <w:rPr>
                <w:sz w:val="19"/>
                <w:szCs w:val="19"/>
                <w:lang w:val="pt-PT"/>
              </w:rPr>
              <w:t xml:space="preserve"/>
            </w:r>
            <w:r>
              <w:rPr>
                <w:rStyle w:val="VerbatimChar"/>
                <w:sz w:val="19"/>
                <w:szCs w:val="19"/>
                <w:lang w:val="pt-PT"/>
              </w:rPr>
              <w:t xml:space="preserve">user</w:t>
            </w:r>
            <w:r>
              <w:rPr>
                <w:sz w:val="19"/>
                <w:szCs w:val="19"/>
                <w:lang w:val="pt-PT"/>
              </w:rPr>
              <w:t xml:space="preserve"> </w:t>
            </w:r>
            <w:r>
              <w:rPr>
                <w:sz w:val="19"/>
                <w:szCs w:val="19"/>
                <w:lang w:val="pt-PT"/>
              </w:rPr>
              <w:t xml:space="preserve">em ORG-A.</w:t>
            </w:r>
          </w:p>
        </w:tc>
        <w:tc>
          <w:tcPr>
            <w:tcW w:type="dxa" w:w="1560"/>
            <w:tcMar>
              <w:left w:type="dxa" w:w="80"/>
              <w:right w:type="dxa" w:w="80"/>
            </w:tcMar>
          </w:tcPr>
          <w:p>
            <w:pPr>
              <w:pStyle w:val="Compact"/>
            </w:pPr>
            <w:r>
              <w:rPr>
                <w:sz w:val="19"/>
                <w:szCs w:val="19"/>
                <w:lang w:val="pt-PT"/>
              </w:rPr>
              <w:t xml:space="preserve">Contas criadas com funções esperadas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T-FONC-03</w:t>
            </w:r>
          </w:p>
        </w:tc>
        <w:tc>
          <w:tcPr>
            <w:tcW w:type="dxa" w:w="1560"/>
            <w:tcMar>
              <w:left w:type="dxa" w:w="80"/>
              <w:right w:type="dxa" w:w="80"/>
            </w:tcMar>
          </w:tcPr>
          <w:p>
            <w:pPr>
              <w:pStyle w:val="Compact"/>
            </w:pPr>
            <w:r>
              <w:rPr>
                <w:sz w:val="19"/>
                <w:szCs w:val="19"/>
                <w:lang w:val="pt-PT"/>
              </w:rPr>
              <w:t xml:space="preserve">Login do utilizador</w:t>
            </w:r>
          </w:p>
        </w:tc>
        <w:tc>
          <w:tcPr>
            <w:tcW w:type="dxa" w:w="1560"/>
            <w:tcMar>
              <w:left w:type="dxa" w:w="80"/>
              <w:right w:type="dxa" w:w="80"/>
            </w:tcMar>
          </w:tcPr>
          <w:p>
            <w:pPr>
              <w:pStyle w:val="Compact"/>
            </w:pPr>
            <w:r>
              <w:rPr>
                <w:sz w:val="19"/>
                <w:szCs w:val="19"/>
                <w:lang w:val="pt-PT"/>
              </w:rPr>
              <w:t xml:space="preserve">Contas criadas</w:t>
            </w:r>
          </w:p>
        </w:tc>
        <w:tc>
          <w:tcPr>
            <w:tcW w:type="dxa" w:w="1560"/>
            <w:tcMar>
              <w:left w:type="dxa" w:w="80"/>
              <w:right w:type="dxa" w:w="80"/>
            </w:tcMar>
          </w:tcPr>
          <w:p>
            <w:pPr>
              <w:pStyle w:val="Compact"/>
            </w:pPr>
            <w:r>
              <w:rPr>
                <w:sz w:val="19"/>
                <w:szCs w:val="19"/>
                <w:lang w:val="pt-PT"/>
              </w:rPr>
              <w:t xml:space="preserve">1. Faça login com cada conta.</w:t>
            </w:r>
          </w:p>
        </w:tc>
        <w:tc>
          <w:tcPr>
            <w:tcW w:type="dxa" w:w="1560"/>
            <w:tcMar>
              <w:left w:type="dxa" w:w="80"/>
              <w:right w:type="dxa" w:w="80"/>
            </w:tcMar>
          </w:tcPr>
          <w:p>
            <w:pPr>
              <w:pStyle w:val="Compact"/>
            </w:pPr>
            <w:r>
              <w:rPr>
                <w:sz w:val="19"/>
                <w:szCs w:val="19"/>
                <w:lang w:val="pt-PT"/>
              </w:rPr>
              <w:t xml:space="preserve">Conexão bem-sucedida, âmbito consistente com a função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T-FONC-04</w:t>
            </w:r>
          </w:p>
        </w:tc>
        <w:tc>
          <w:tcPr>
            <w:tcW w:type="dxa" w:w="1560"/>
            <w:tcMar>
              <w:left w:type="dxa" w:w="80"/>
              <w:right w:type="dxa" w:w="80"/>
            </w:tcMar>
          </w:tcPr>
          <w:p>
            <w:pPr>
              <w:pStyle w:val="Compact"/>
            </w:pPr>
            <w:r>
              <w:rPr>
                <w:sz w:val="19"/>
                <w:szCs w:val="19"/>
                <w:lang w:val="pt-PT"/>
              </w:rPr>
              <w:t xml:space="preserve">Upload de ficheiro de áudio</w:t>
            </w:r>
          </w:p>
        </w:tc>
        <w:tc>
          <w:tcPr>
            <w:tcW w:type="dxa" w:w="1560"/>
            <w:tcMar>
              <w:left w:type="dxa" w:w="80"/>
              <w:right w:type="dxa" w:w="80"/>
            </w:tcMar>
          </w:tcPr>
          <w:p>
            <w:pPr>
              <w:pStyle w:val="Compact"/>
            </w:pPr>
            <w:r>
              <w:rPr>
                <w:sz w:val="19"/>
                <w:szCs w:val="19"/>
                <w:lang w:val="pt-PT"/>
              </w:rPr>
              <w:t xml:space="preserve">gerenciador ORG-A conectado</w:t>
            </w:r>
          </w:p>
        </w:tc>
        <w:tc>
          <w:tcPr>
            <w:tcW w:type="dxa" w:w="1560"/>
            <w:tcMar>
              <w:left w:type="dxa" w:w="80"/>
              <w:right w:type="dxa" w:w="80"/>
            </w:tcMar>
          </w:tcPr>
          <w:p>
            <w:pPr>
              <w:pStyle w:val="Compact"/>
            </w:pPr>
            <w:r>
              <w:rPr>
                <w:sz w:val="19"/>
                <w:szCs w:val="19"/>
                <w:lang w:val="pt-PT"/>
              </w:rPr>
              <w:t xml:space="preserve">1. Crie uma sessão. 2. Carregue </w:t>
            </w:r>
            <w:r>
              <w:rPr>
                <w:sz w:val="19"/>
                <w:szCs w:val="19"/>
                <w:lang w:val="pt-PT"/>
              </w:rPr>
              <w:t xml:space="preserve"/>
            </w:r>
            <w:r>
              <w:rPr>
                <w:rStyle w:val="VerbatimChar"/>
                <w:sz w:val="19"/>
                <w:szCs w:val="19"/>
                <w:lang w:val="pt-PT"/>
              </w:rPr>
              <w:t xml:space="preserve">audio_ref</w:t>
            </w: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Ficheiro aceito, status </w:t>
            </w:r>
            <w:r>
              <w:rPr>
                <w:sz w:val="19"/>
                <w:szCs w:val="19"/>
                <w:lang w:val="pt-PT"/>
              </w:rPr>
              <w:t xml:space="preserve"/>
            </w:r>
            <w:r>
              <w:rPr>
                <w:rStyle w:val="VerbatimChar"/>
                <w:sz w:val="19"/>
                <w:szCs w:val="19"/>
                <w:lang w:val="pt-PT"/>
              </w:rPr>
              <w:t xml:space="preserve">pending</w:t>
            </w:r>
            <w:r>
              <w:rPr>
                <w:sz w:val="19"/>
                <w:szCs w:val="19"/>
                <w:lang w:val="pt-PT"/>
              </w:rPr>
              <w:t xml:space="preserve">, sessão </w:t>
            </w:r>
            <w:r>
              <w:rPr>
                <w:sz w:val="19"/>
                <w:szCs w:val="19"/>
                <w:lang w:val="pt-PT"/>
              </w:rPr>
              <w:t xml:space="preserve"/>
            </w:r>
            <w:r>
              <w:rPr>
                <w:rStyle w:val="VerbatimChar"/>
                <w:sz w:val="19"/>
                <w:szCs w:val="19"/>
                <w:lang w:val="pt-PT"/>
              </w:rPr>
              <w:t xml:space="preserve">pending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T-FONC-05</w:t>
            </w:r>
          </w:p>
        </w:tc>
        <w:tc>
          <w:tcPr>
            <w:tcW w:type="dxa" w:w="1560"/>
            <w:tcMar>
              <w:left w:type="dxa" w:w="80"/>
              <w:right w:type="dxa" w:w="80"/>
            </w:tcMar>
          </w:tcPr>
          <w:p>
            <w:pPr>
              <w:pStyle w:val="Compact"/>
            </w:pPr>
            <w:r>
              <w:rPr>
                <w:sz w:val="19"/>
                <w:szCs w:val="19"/>
                <w:lang w:val="pt-PT"/>
              </w:rPr>
              <w:t xml:space="preserve">Transcrição de ponta a ponta</w:t>
            </w:r>
          </w:p>
        </w:tc>
        <w:tc>
          <w:tcPr>
            <w:tcW w:type="dxa" w:w="1560"/>
            <w:tcMar>
              <w:left w:type="dxa" w:w="80"/>
              <w:right w:type="dxa" w:w="80"/>
            </w:tcMar>
          </w:tcPr>
          <w:p>
            <w:pPr>
              <w:pStyle w:val="Compact"/>
            </w:pPr>
            <w:r>
              <w:rPr>
                <w:sz w:val="19"/>
                <w:szCs w:val="19"/>
                <w:lang w:val="pt-PT"/>
              </w:rPr>
              <w:t xml:space="preserve">GPU operacional, T-FONC-04</w:t>
            </w:r>
          </w:p>
        </w:tc>
        <w:tc>
          <w:tcPr>
            <w:tcW w:type="dxa" w:w="1560"/>
            <w:tcMar>
              <w:left w:type="dxa" w:w="80"/>
              <w:right w:type="dxa" w:w="80"/>
            </w:tcMar>
          </w:tcPr>
          <w:p>
            <w:pPr>
              <w:pStyle w:val="Compact"/>
            </w:pPr>
            <w:r>
              <w:rPr>
                <w:sz w:val="19"/>
                <w:szCs w:val="19"/>
                <w:lang w:val="pt-PT"/>
              </w:rPr>
              <w:t xml:space="preserve">1. O servidor GPU consulta </w:t>
            </w:r>
            <w:r>
              <w:rPr>
                <w:sz w:val="19"/>
                <w:szCs w:val="19"/>
                <w:lang w:val="pt-PT"/>
              </w:rPr>
              <w:t xml:space="preserve"/>
            </w:r>
            <w:r>
              <w:rPr>
                <w:rStyle w:val="VerbatimChar"/>
                <w:sz w:val="19"/>
                <w:szCs w:val="19"/>
                <w:lang w:val="pt-PT"/>
              </w:rPr>
              <w:t xml:space="preserve">GET /api/files/pending</w:t>
            </w:r>
            <w:r>
              <w:rPr>
                <w:sz w:val="19"/>
                <w:szCs w:val="19"/>
                <w:lang w:val="pt-PT"/>
              </w:rPr>
              <w:t xml:space="preserve">. 2. Tratamento. 3. </w:t>
            </w:r>
            <w:r>
              <w:rPr>
                <w:sz w:val="19"/>
                <w:szCs w:val="19"/>
                <w:lang w:val="pt-PT"/>
              </w:rPr>
              <w:t xml:space="preserve"/>
            </w:r>
            <w:r>
              <w:rPr>
                <w:rStyle w:val="VerbatimChar"/>
                <w:sz w:val="19"/>
                <w:szCs w:val="19"/>
                <w:lang w:val="pt-PT"/>
              </w:rPr>
              <w:t xml:space="preserve">POST …/complete</w:t>
            </w: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Transcrição criada, sessão </w:t>
            </w:r>
            <w:r>
              <w:rPr>
                <w:sz w:val="19"/>
                <w:szCs w:val="19"/>
                <w:lang w:val="pt-PT"/>
              </w:rPr>
              <w:t xml:space="preserve"/>
            </w:r>
            <w:r>
              <w:rPr>
                <w:rStyle w:val="VerbatimChar"/>
                <w:sz w:val="19"/>
                <w:szCs w:val="19"/>
                <w:lang w:val="pt-PT"/>
              </w:rPr>
              <w:t xml:space="preserve">completed</w:t>
            </w:r>
            <w:r>
              <w:rPr>
                <w:sz w:val="19"/>
                <w:szCs w:val="19"/>
                <w:lang w:val="pt-PT"/>
              </w:rPr>
              <w:t xml:space="preserve">, segmentos presentes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T-FONC-06</w:t>
            </w:r>
          </w:p>
        </w:tc>
        <w:tc>
          <w:tcPr>
            <w:tcW w:type="dxa" w:w="1560"/>
            <w:tcMar>
              <w:left w:type="dxa" w:w="80"/>
              <w:right w:type="dxa" w:w="80"/>
            </w:tcMar>
          </w:tcPr>
          <w:p>
            <w:pPr>
              <w:pStyle w:val="Compact"/>
            </w:pPr>
            <w:r>
              <w:rPr>
                <w:sz w:val="19"/>
                <w:szCs w:val="19"/>
                <w:lang w:val="pt-PT"/>
              </w:rPr>
              <w:t xml:space="preserve">Diarização</w:t>
            </w:r>
          </w:p>
        </w:tc>
        <w:tc>
          <w:tcPr>
            <w:tcW w:type="dxa" w:w="1560"/>
            <w:tcMar>
              <w:left w:type="dxa" w:w="80"/>
              <w:right w:type="dxa" w:w="80"/>
            </w:tcMar>
          </w:tcPr>
          <w:p>
            <w:pPr>
              <w:pStyle w:val="Compact"/>
            </w:pPr>
            <w:r>
              <w:rPr>
                <w:sz w:val="19"/>
                <w:szCs w:val="19"/>
                <w:lang w:val="pt-PT"/>
              </w:rPr>
              <w:t xml:space="preserve">T-FONC-05</w:t>
            </w:r>
          </w:p>
        </w:tc>
        <w:tc>
          <w:tcPr>
            <w:tcW w:type="dxa" w:w="1560"/>
            <w:tcMar>
              <w:left w:type="dxa" w:w="80"/>
              <w:right w:type="dxa" w:w="80"/>
            </w:tcMar>
          </w:tcPr>
          <w:p>
            <w:pPr>
              <w:pStyle w:val="Compact"/>
            </w:pPr>
            <w:r>
              <w:rPr>
                <w:sz w:val="19"/>
                <w:szCs w:val="19"/>
                <w:lang w:val="pt-PT"/>
              </w:rPr>
              <w:t xml:space="preserve">1. Abra a transcrição. 2. Verifique as etiquetas dos intervenientes (Interveniente 1, 2,…).</w:t>
            </w:r>
          </w:p>
        </w:tc>
        <w:tc>
          <w:tcPr>
            <w:tcW w:type="dxa" w:w="1560"/>
            <w:tcMar>
              <w:left w:type="dxa" w:w="80"/>
              <w:right w:type="dxa" w:w="80"/>
            </w:tcMar>
          </w:tcPr>
          <w:p>
            <w:pPr>
              <w:pStyle w:val="Compact"/>
            </w:pPr>
            <w:r>
              <w:rPr>
                <w:sz w:val="19"/>
                <w:szCs w:val="19"/>
                <w:lang w:val="pt-PT"/>
              </w:rPr>
              <w:t xml:space="preserve">Intervenientes posicionais distintos identificados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T-FONC-07</w:t>
            </w:r>
          </w:p>
        </w:tc>
        <w:tc>
          <w:tcPr>
            <w:tcW w:type="dxa" w:w="1560"/>
            <w:tcMar>
              <w:left w:type="dxa" w:w="80"/>
              <w:right w:type="dxa" w:w="80"/>
            </w:tcMar>
          </w:tcPr>
          <w:p>
            <w:pPr>
              <w:pStyle w:val="Compact"/>
            </w:pPr>
            <w:r>
              <w:rPr>
                <w:sz w:val="19"/>
                <w:szCs w:val="19"/>
                <w:lang w:val="pt-PT"/>
              </w:rPr>
              <w:t xml:space="preserve">Atribuição de palestrante</w:t>
            </w:r>
          </w:p>
        </w:tc>
        <w:tc>
          <w:tcPr>
            <w:tcW w:type="dxa" w:w="1560"/>
            <w:tcMar>
              <w:left w:type="dxa" w:w="80"/>
              <w:right w:type="dxa" w:w="80"/>
            </w:tcMar>
          </w:tcPr>
          <w:p>
            <w:pPr>
              <w:pStyle w:val="Compact"/>
            </w:pPr>
            <w:r>
              <w:rPr>
                <w:sz w:val="19"/>
                <w:szCs w:val="19"/>
                <w:lang w:val="pt-PT"/>
              </w:rPr>
              <w:t xml:space="preserve">T-FONC-06</w:t>
            </w:r>
          </w:p>
        </w:tc>
        <w:tc>
          <w:tcPr>
            <w:tcW w:type="dxa" w:w="1560"/>
            <w:tcMar>
              <w:left w:type="dxa" w:w="80"/>
              <w:right w:type="dxa" w:w="80"/>
            </w:tcMar>
          </w:tcPr>
          <w:p>
            <w:pPr>
              <w:pStyle w:val="Compact"/>
            </w:pPr>
            <w:r>
              <w:rPr>
                <w:sz w:val="19"/>
                <w:szCs w:val="19"/>
                <w:lang w:val="pt-PT"/>
              </w:rPr>
              <w:t xml:space="preserve">1. Renomeie o Orador 1 com um nome humano.</w:t>
            </w:r>
          </w:p>
        </w:tc>
        <w:tc>
          <w:tcPr>
            <w:tcW w:type="dxa" w:w="1560"/>
            <w:tcMar>
              <w:left w:type="dxa" w:w="80"/>
              <w:right w:type="dxa" w:w="80"/>
            </w:tcMar>
          </w:tcPr>
          <w:p>
            <w:pPr>
              <w:pStyle w:val="Compact"/>
            </w:pPr>
            <w:r>
              <w:rPr>
                <w:sz w:val="19"/>
                <w:szCs w:val="19"/>
                <w:lang w:val="pt-PT"/>
              </w:rPr>
              <w:t xml:space="preserve">Nome salvo e exibido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T-FONC-08</w:t>
            </w:r>
          </w:p>
        </w:tc>
        <w:tc>
          <w:tcPr>
            <w:tcW w:type="dxa" w:w="1560"/>
            <w:tcMar>
              <w:left w:type="dxa" w:w="80"/>
              <w:right w:type="dxa" w:w="80"/>
            </w:tcMar>
          </w:tcPr>
          <w:p>
            <w:pPr>
              <w:pStyle w:val="Compact"/>
            </w:pPr>
            <w:r>
              <w:rPr>
                <w:sz w:val="19"/>
                <w:szCs w:val="19"/>
                <w:lang w:val="pt-PT"/>
              </w:rPr>
              <w:t xml:space="preserve">Edição de transcrição</w:t>
            </w:r>
          </w:p>
        </w:tc>
        <w:tc>
          <w:tcPr>
            <w:tcW w:type="dxa" w:w="1560"/>
            <w:tcMar>
              <w:left w:type="dxa" w:w="80"/>
              <w:right w:type="dxa" w:w="80"/>
            </w:tcMar>
          </w:tcPr>
          <w:p>
            <w:pPr>
              <w:pStyle w:val="Compact"/>
            </w:pPr>
            <w:r>
              <w:rPr>
                <w:sz w:val="19"/>
                <w:szCs w:val="19"/>
                <w:lang w:val="pt-PT"/>
              </w:rPr>
              <w:t xml:space="preserve">T-FONC-05</w:t>
            </w:r>
          </w:p>
        </w:tc>
        <w:tc>
          <w:tcPr>
            <w:tcW w:type="dxa" w:w="1560"/>
            <w:tcMar>
              <w:left w:type="dxa" w:w="80"/>
              <w:right w:type="dxa" w:w="80"/>
            </w:tcMar>
          </w:tcPr>
          <w:p>
            <w:pPr>
              <w:pStyle w:val="Compact"/>
            </w:pPr>
            <w:r>
              <w:rPr>
                <w:sz w:val="19"/>
                <w:szCs w:val="19"/>
                <w:lang w:val="pt-PT"/>
              </w:rPr>
              <w:t xml:space="preserve">1. Edite um segmento. 2. Salve.</w:t>
            </w:r>
          </w:p>
        </w:tc>
        <w:tc>
          <w:tcPr>
            <w:tcW w:type="dxa" w:w="1560"/>
            <w:tcMar>
              <w:left w:type="dxa" w:w="80"/>
              <w:right w:type="dxa" w:w="80"/>
            </w:tcMar>
          </w:tcPr>
          <w:p>
            <w:pPr>
              <w:pStyle w:val="Compact"/>
            </w:pPr>
            <w:r>
              <w:rPr>
                <w:sz w:val="19"/>
                <w:szCs w:val="19"/>
                <w:lang w:val="pt-PT"/>
              </w:rPr>
              <w:t xml:space="preserve">Modificação persistida, versão histórica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T-FONC-09</w:t>
            </w:r>
          </w:p>
        </w:tc>
        <w:tc>
          <w:tcPr>
            <w:tcW w:type="dxa" w:w="1560"/>
            <w:tcMar>
              <w:left w:type="dxa" w:w="80"/>
              <w:right w:type="dxa" w:w="80"/>
            </w:tcMar>
          </w:tcPr>
          <w:p>
            <w:pPr>
              <w:pStyle w:val="Compact"/>
            </w:pPr>
            <w:r>
              <w:rPr>
                <w:sz w:val="19"/>
                <w:szCs w:val="19"/>
                <w:lang w:val="pt-PT"/>
              </w:rPr>
              <w:t xml:space="preserve">Geração de IA (LLM local)</w:t>
            </w:r>
          </w:p>
        </w:tc>
        <w:tc>
          <w:tcPr>
            <w:tcW w:type="dxa" w:w="1560"/>
            <w:tcMar>
              <w:left w:type="dxa" w:w="80"/>
              <w:right w:type="dxa" w:w="80"/>
            </w:tcMar>
          </w:tcPr>
          <w:p>
            <w:pPr>
              <w:pStyle w:val="Compact"/>
            </w:pPr>
            <w:r>
              <w:rPr>
                <w:sz w:val="19"/>
                <w:szCs w:val="19"/>
                <w:lang w:val="pt-PT"/>
              </w:rPr>
              <w:t xml:space="preserve">LLM local operacional</w:t>
            </w:r>
          </w:p>
        </w:tc>
        <w:tc>
          <w:tcPr>
            <w:tcW w:type="dxa" w:w="1560"/>
            <w:tcMar>
              <w:left w:type="dxa" w:w="80"/>
              <w:right w:type="dxa" w:w="80"/>
            </w:tcMar>
          </w:tcPr>
          <w:p>
            <w:pPr>
              <w:pStyle w:val="Compact"/>
            </w:pPr>
            <w:r>
              <w:rPr>
                <w:sz w:val="19"/>
                <w:szCs w:val="19"/>
                <w:lang w:val="pt-PT"/>
              </w:rPr>
              <w:t xml:space="preserve">1. Lance um resumo/PV via IA.</w:t>
            </w:r>
          </w:p>
        </w:tc>
        <w:tc>
          <w:tcPr>
            <w:tcW w:type="dxa" w:w="1560"/>
            <w:tcMar>
              <w:left w:type="dxa" w:w="80"/>
              <w:right w:type="dxa" w:w="80"/>
            </w:tcMar>
          </w:tcPr>
          <w:p>
            <w:pPr>
              <w:pStyle w:val="Compact"/>
            </w:pPr>
            <w:r>
              <w:rPr>
                <w:sz w:val="19"/>
                <w:szCs w:val="19"/>
                <w:lang w:val="pt-PT"/>
              </w:rPr>
              <w:t xml:space="preserve">Geração produzida pelo </w:t>
            </w:r>
            <w:r>
              <w:rPr>
                <w:sz w:val="19"/>
                <w:szCs w:val="19"/>
                <w:lang w:val="pt-PT"/>
              </w:rPr>
              <w:t xml:space="preserve"/>
            </w:r>
            <w:r>
              <w:rPr>
                <w:b/>
                <w:bCs/>
                <w:sz w:val="19"/>
                <w:szCs w:val="19"/>
                <w:lang w:val="pt-PT"/>
              </w:rPr>
              <w:t xml:space="preserve">LLM local, </w:t>
            </w:r>
            <w:r>
              <w:rPr>
                <w:sz w:val="19"/>
                <w:szCs w:val="19"/>
                <w:lang w:val="pt-PT"/>
              </w:rPr>
              <w:t xml:space="preserve">registrada na organização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T-FONC-10</w:t>
            </w:r>
          </w:p>
        </w:tc>
        <w:tc>
          <w:tcPr>
            <w:tcW w:type="dxa" w:w="1560"/>
            <w:tcMar>
              <w:left w:type="dxa" w:w="80"/>
              <w:right w:type="dxa" w:w="80"/>
            </w:tcMar>
          </w:tcPr>
          <w:p>
            <w:pPr>
              <w:pStyle w:val="Compact"/>
            </w:pPr>
            <w:r>
              <w:rPr>
                <w:sz w:val="19"/>
                <w:szCs w:val="19"/>
                <w:lang w:val="pt-PT"/>
              </w:rPr>
              <w:t xml:space="preserve">Fontes seletivas de IA</w:t>
            </w:r>
          </w:p>
        </w:tc>
        <w:tc>
          <w:tcPr>
            <w:tcW w:type="dxa" w:w="1560"/>
            <w:tcMar>
              <w:left w:type="dxa" w:w="80"/>
              <w:right w:type="dxa" w:w="80"/>
            </w:tcMar>
          </w:tcPr>
          <w:p>
            <w:pPr>
              <w:pStyle w:val="Compact"/>
            </w:pPr>
            <w:r>
              <w:rPr>
                <w:sz w:val="19"/>
                <w:szCs w:val="19"/>
                <w:lang w:val="pt-PT"/>
              </w:rPr>
              <w:t xml:space="preserve">T-FONC-09</w:t>
            </w:r>
          </w:p>
        </w:tc>
        <w:tc>
          <w:tcPr>
            <w:tcW w:type="dxa" w:w="1560"/>
            <w:tcMar>
              <w:left w:type="dxa" w:w="80"/>
              <w:right w:type="dxa" w:w="80"/>
            </w:tcMar>
          </w:tcPr>
          <w:p>
            <w:pPr>
              <w:pStyle w:val="Compact"/>
            </w:pPr>
            <w:r>
              <w:rPr>
                <w:sz w:val="19"/>
                <w:szCs w:val="19"/>
                <w:lang w:val="pt-PT"/>
              </w:rPr>
              <w:t xml:space="preserve">1. Gerar com fontes (transcrição + documentos + votos).</w:t>
            </w:r>
          </w:p>
        </w:tc>
        <w:tc>
          <w:tcPr>
            <w:tcW w:type="dxa" w:w="1560"/>
            <w:tcMar>
              <w:left w:type="dxa" w:w="80"/>
              <w:right w:type="dxa" w:w="80"/>
            </w:tcMar>
          </w:tcPr>
          <w:p>
            <w:pPr>
              <w:pStyle w:val="Compact"/>
            </w:pPr>
            <w:r>
              <w:rPr>
                <w:sz w:val="19"/>
                <w:szCs w:val="19"/>
                <w:lang w:val="pt-PT"/>
              </w:rPr>
              <w:t xml:space="preserve">Saída consistente com base em fontes selecionadas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T-FONC-11</w:t>
            </w:r>
          </w:p>
        </w:tc>
        <w:tc>
          <w:tcPr>
            <w:tcW w:type="dxa" w:w="1560"/>
            <w:tcMar>
              <w:left w:type="dxa" w:w="80"/>
              <w:right w:type="dxa" w:w="80"/>
            </w:tcMar>
          </w:tcPr>
          <w:p>
            <w:pPr>
              <w:pStyle w:val="Compact"/>
            </w:pPr>
            <w:r>
              <w:rPr>
                <w:sz w:val="19"/>
                <w:szCs w:val="19"/>
                <w:lang w:val="pt-PT"/>
              </w:rPr>
              <w:t xml:space="preserve">Exportação para Word</w:t>
            </w:r>
          </w:p>
        </w:tc>
        <w:tc>
          <w:tcPr>
            <w:tcW w:type="dxa" w:w="1560"/>
            <w:tcMar>
              <w:left w:type="dxa" w:w="80"/>
              <w:right w:type="dxa" w:w="80"/>
            </w:tcMar>
          </w:tcPr>
          <w:p>
            <w:pPr>
              <w:pStyle w:val="Compact"/>
            </w:pPr>
            <w:r>
              <w:rPr>
                <w:sz w:val="19"/>
                <w:szCs w:val="19"/>
                <w:lang w:val="pt-PT"/>
              </w:rPr>
              <w:t xml:space="preserve">T-FONC-05</w:t>
            </w:r>
          </w:p>
        </w:tc>
        <w:tc>
          <w:tcPr>
            <w:tcW w:type="dxa" w:w="1560"/>
            <w:tcMar>
              <w:left w:type="dxa" w:w="80"/>
              <w:right w:type="dxa" w:w="80"/>
            </w:tcMar>
          </w:tcPr>
          <w:p>
            <w:pPr>
              <w:pStyle w:val="Compact"/>
            </w:pPr>
            <w:r>
              <w:rPr>
                <w:sz w:val="19"/>
                <w:szCs w:val="19"/>
                <w:lang w:val="pt-PT"/>
              </w:rPr>
              <w:t xml:space="preserve">1. Exporte a sessão/geração em DOCX.</w:t>
            </w:r>
          </w:p>
        </w:tc>
        <w:tc>
          <w:tcPr>
            <w:tcW w:type="dxa" w:w="1560"/>
            <w:tcMar>
              <w:left w:type="dxa" w:w="80"/>
              <w:right w:type="dxa" w:w="80"/>
            </w:tcMar>
          </w:tcPr>
          <w:p>
            <w:pPr>
              <w:pStyle w:val="Compact"/>
            </w:pPr>
            <w:r>
              <w:rPr>
                <w:sz w:val="19"/>
                <w:szCs w:val="19"/>
                <w:lang w:val="pt-PT"/>
              </w:rPr>
              <w:t xml:space="preserve">Ficheiro DOCX gerado e disponível para download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T-FONC-12</w:t>
            </w:r>
          </w:p>
        </w:tc>
        <w:tc>
          <w:tcPr>
            <w:tcW w:type="dxa" w:w="1560"/>
            <w:tcMar>
              <w:left w:type="dxa" w:w="80"/>
              <w:right w:type="dxa" w:w="80"/>
            </w:tcMar>
          </w:tcPr>
          <w:p>
            <w:pPr>
              <w:pStyle w:val="Compact"/>
            </w:pPr>
            <w:r>
              <w:rPr>
                <w:sz w:val="19"/>
                <w:szCs w:val="19"/>
                <w:lang w:val="pt-PT"/>
              </w:rPr>
              <w:t xml:space="preserve">Exclusão</w:t>
            </w:r>
          </w:p>
        </w:tc>
        <w:tc>
          <w:tcPr>
            <w:tcW w:type="dxa" w:w="1560"/>
            <w:tcMar>
              <w:left w:type="dxa" w:w="80"/>
              <w:right w:type="dxa" w:w="80"/>
            </w:tcMar>
          </w:tcPr>
          <w:p>
            <w:pPr>
              <w:pStyle w:val="Compact"/>
            </w:pPr>
            <w:r>
              <w:rPr>
                <w:sz w:val="19"/>
                <w:szCs w:val="19"/>
                <w:lang w:val="pt-PT"/>
              </w:rPr>
              <w:t xml:space="preserve">manager</w:t>
            </w:r>
          </w:p>
        </w:tc>
        <w:tc>
          <w:tcPr>
            <w:tcW w:type="dxa" w:w="1560"/>
            <w:tcMar>
              <w:left w:type="dxa" w:w="80"/>
              <w:right w:type="dxa" w:w="80"/>
            </w:tcMar>
          </w:tcPr>
          <w:p>
            <w:pPr>
              <w:pStyle w:val="Compact"/>
            </w:pPr>
            <w:r>
              <w:rPr>
                <w:sz w:val="19"/>
                <w:szCs w:val="19"/>
                <w:lang w:val="pt-PT"/>
              </w:rPr>
              <w:t xml:space="preserve">1. Exclua uma sessão (senha avançada).</w:t>
            </w:r>
          </w:p>
        </w:tc>
        <w:tc>
          <w:tcPr>
            <w:tcW w:type="dxa" w:w="1560"/>
            <w:tcMar>
              <w:left w:type="dxa" w:w="80"/>
              <w:right w:type="dxa" w:w="80"/>
            </w:tcMar>
          </w:tcPr>
          <w:p>
            <w:pPr>
              <w:pStyle w:val="Compact"/>
            </w:pPr>
            <w:r>
              <w:rPr>
                <w:sz w:val="19"/>
                <w:szCs w:val="19"/>
                <w:lang w:val="pt-PT"/>
              </w:rPr>
              <w:t xml:space="preserve">Sessão excluída, ação rastreada na auditoria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T-FONC-13</w:t>
            </w:r>
          </w:p>
        </w:tc>
        <w:tc>
          <w:tcPr>
            <w:tcW w:type="dxa" w:w="1560"/>
            <w:tcMar>
              <w:left w:type="dxa" w:w="80"/>
              <w:right w:type="dxa" w:w="80"/>
            </w:tcMar>
          </w:tcPr>
          <w:p>
            <w:pPr>
              <w:pStyle w:val="Compact"/>
            </w:pPr>
            <w:r>
              <w:rPr>
                <w:sz w:val="19"/>
                <w:szCs w:val="19"/>
                <w:lang w:val="pt-PT"/>
              </w:rPr>
              <w:t xml:space="preserve">Portabilidade (locatário de exportação)</w:t>
            </w:r>
          </w:p>
        </w:tc>
        <w:tc>
          <w:tcPr>
            <w:tcW w:type="dxa" w:w="1560"/>
            <w:tcMar>
              <w:left w:type="dxa" w:w="80"/>
              <w:right w:type="dxa" w:w="80"/>
            </w:tcMar>
          </w:tcPr>
          <w:p>
            <w:pPr>
              <w:pStyle w:val="Compact"/>
            </w:pPr>
            <w:r>
              <w:rPr>
                <w:sz w:val="19"/>
                <w:szCs w:val="19"/>
                <w:lang w:val="pt-PT"/>
              </w:rPr>
              <w:t xml:space="preserve">gerente ORG-A</w:t>
            </w:r>
          </w:p>
        </w:tc>
        <w:tc>
          <w:tcPr>
            <w:tcW w:type="dxa" w:w="1560"/>
            <w:tcMar>
              <w:left w:type="dxa" w:w="80"/>
              <w:right w:type="dxa" w:w="80"/>
            </w:tcMar>
          </w:tcPr>
          <w:p>
            <w:pPr>
              <w:pStyle w:val="Compact"/>
            </w:pPr>
            <w:r>
              <w:rPr>
                <w:sz w:val="19"/>
                <w:szCs w:val="19"/>
                <w:lang w:val="pt-PT"/>
              </w:rPr>
              <w:t xml:space="preserve">1. Configurações → Portabilidade → Exportar.</w:t>
            </w:r>
          </w:p>
        </w:tc>
        <w:tc>
          <w:tcPr>
            <w:tcW w:type="dxa" w:w="1560"/>
            <w:tcMar>
              <w:left w:type="dxa" w:w="80"/>
              <w:right w:type="dxa" w:w="80"/>
            </w:tcMar>
          </w:tcPr>
          <w:p>
            <w:pPr>
              <w:pStyle w:val="Compact"/>
            </w:pPr>
            <w:r>
              <w:rPr>
                <w:sz w:val="19"/>
                <w:szCs w:val="19"/>
                <w:lang w:val="pt-PT"/>
              </w:rPr>
              <w:t xml:space="preserve">Arquivo </w:t>
            </w:r>
            <w:r>
              <w:rPr>
                <w:sz w:val="19"/>
                <w:szCs w:val="19"/>
                <w:lang w:val="pt-PT"/>
              </w:rPr>
              <w:t xml:space="preserve"/>
            </w:r>
            <w:r>
              <w:rPr>
                <w:rStyle w:val="VerbatimChar"/>
                <w:sz w:val="19"/>
                <w:szCs w:val="19"/>
                <w:lang w:val="pt-PT"/>
              </w:rPr>
              <w:t xml:space="preserve">.tar.gz</w:t>
            </w:r>
            <w:r>
              <w:rPr>
                <w:sz w:val="19"/>
                <w:szCs w:val="19"/>
                <w:lang w:val="pt-PT"/>
              </w:rPr>
              <w:t xml:space="preserve"> </w:t>
            </w:r>
            <w:r>
              <w:rPr>
                <w:sz w:val="19"/>
                <w:szCs w:val="19"/>
                <w:lang w:val="pt-PT"/>
              </w:rPr>
              <w:t xml:space="preserve">assinado SHA-256 produzido</w:t>
            </w:r>
          </w:p>
        </w:tc>
        <w:tc>
          <w:tcPr>
            <w:tcW w:type="dxa" w:w="1560"/>
            <w:tcMar>
              <w:left w:type="dxa" w:w="80"/>
              <w:right w:type="dxa" w:w="80"/>
            </w:tcMar>
          </w:tcPr>
          <w:p>
            <w:pPr>
              <w:pStyle w:val="Compact"/>
            </w:pPr>
          </w:p>
        </w:tc>
      </w:tr>
    </w:tbl>
    <w:p>
      <w:r>
        <w:pict>
          <v:rect style="width:0;height:1.5pt" o:hralign="center" o:hrstd="t" o:hr="t"/>
        </w:pict>
      </w:r>
    </w:p>
    <w:bookmarkEnd w:id="143"/>
    <w:bookmarkStart w:id="144" w:name="X68f99bb915ed617d8910e7b5aeb9f29ffe832ad"/>
    <w:p>
      <w:pPr>
        <w:pStyle w:val="Heading2"/>
        <w:keepNext/>
        <w:keepLines/>
      </w:pPr>
      <w:r>
        <w:rPr>
          <w:color w:val="000000"/>
          <w:lang w:val="pt-PT"/>
        </w:rPr>
        <w:t xml:space="preserve">5. Teste de segurança (T-SEC)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pt-PT"/>
              </w:rPr>
              <w:t xml:space="preserve">ID</w:t>
            </w:r>
          </w:p>
        </w:tc>
        <w:tc>
          <w:tcPr>
            <w:tcW w:type="dxa" w:w="1560"/>
            <w:tcMar>
              <w:left w:type="dxa" w:w="80"/>
              <w:right w:type="dxa" w:w="80"/>
            </w:tcMar>
          </w:tcPr>
          <w:p>
            <w:pPr>
              <w:pStyle w:val="Compact"/>
            </w:pPr>
            <w:r>
              <w:rPr>
                <w:sz w:val="19"/>
                <w:szCs w:val="19"/>
                <w:lang w:val="pt-PT"/>
              </w:rPr>
              <w:t xml:space="preserve">Objetivo</w:t>
            </w:r>
          </w:p>
        </w:tc>
        <w:tc>
          <w:tcPr>
            <w:tcW w:type="dxa" w:w="1560"/>
            <w:tcMar>
              <w:left w:type="dxa" w:w="80"/>
              <w:right w:type="dxa" w:w="80"/>
            </w:tcMar>
          </w:tcPr>
          <w:p>
            <w:pPr>
              <w:pStyle w:val="Compact"/>
            </w:pPr>
            <w:r>
              <w:rPr>
                <w:sz w:val="19"/>
                <w:szCs w:val="19"/>
                <w:lang w:val="pt-PT"/>
              </w:rPr>
              <w:t xml:space="preserve">Pré-requisitos</w:t>
            </w:r>
          </w:p>
        </w:tc>
        <w:tc>
          <w:tcPr>
            <w:tcW w:type="dxa" w:w="1560"/>
            <w:tcMar>
              <w:left w:type="dxa" w:w="80"/>
              <w:right w:type="dxa" w:w="80"/>
            </w:tcMar>
          </w:tcPr>
          <w:p>
            <w:pPr>
              <w:pStyle w:val="Compact"/>
            </w:pPr>
            <w:r>
              <w:rPr>
                <w:sz w:val="19"/>
                <w:szCs w:val="19"/>
                <w:lang w:val="pt-PT"/>
              </w:rPr>
              <w:t xml:space="preserve">Passos</w:t>
            </w:r>
          </w:p>
        </w:tc>
        <w:tc>
          <w:tcPr>
            <w:tcW w:type="dxa" w:w="1560"/>
            <w:tcMar>
              <w:left w:type="dxa" w:w="80"/>
              <w:right w:type="dxa" w:w="80"/>
            </w:tcMar>
          </w:tcPr>
          <w:p>
            <w:pPr>
              <w:pStyle w:val="Compact"/>
            </w:pPr>
            <w:r>
              <w:rPr>
                <w:sz w:val="19"/>
                <w:szCs w:val="19"/>
                <w:lang w:val="pt-PT"/>
              </w:rPr>
              <w:t xml:space="preserve">Resultado esperado</w:t>
            </w:r>
          </w:p>
        </w:tc>
        <w:tc>
          <w:tcPr>
            <w:tcW w:type="dxa" w:w="1560"/>
            <w:tcMar>
              <w:left w:type="dxa" w:w="80"/>
              <w:right w:type="dxa" w:w="80"/>
            </w:tcMar>
          </w:tcPr>
          <w:p>
            <w:pPr>
              <w:pStyle w:val="Compact"/>
            </w:pPr>
            <w:r>
              <w:rPr>
                <w:sz w:val="19"/>
                <w:szCs w:val="19"/>
                <w:lang w:val="pt-PT"/>
              </w:rPr>
              <w:t xml:space="preserve">Estado</w:t>
            </w:r>
          </w:p>
        </w:tc>
      </w:tr>
      <w:tr>
        <w:trPr>
          <w:cantSplit/>
        </w:trPr>
        <w:tc>
          <w:tcPr>
            <w:tcW w:type="dxa" w:w="1560"/>
            <w:tcMar>
              <w:left w:type="dxa" w:w="80"/>
              <w:right w:type="dxa" w:w="80"/>
            </w:tcMar>
          </w:tcPr>
          <w:p>
            <w:pPr>
              <w:pStyle w:val="Compact"/>
            </w:pPr>
            <w:r>
              <w:rPr>
                <w:sz w:val="19"/>
                <w:szCs w:val="19"/>
                <w:lang w:val="pt-PT"/>
              </w:rPr>
              <w:t xml:space="preserve">T-SEC-01</w:t>
            </w:r>
          </w:p>
        </w:tc>
        <w:tc>
          <w:tcPr>
            <w:tcW w:type="dxa" w:w="1560"/>
            <w:tcMar>
              <w:left w:type="dxa" w:w="80"/>
              <w:right w:type="dxa" w:w="80"/>
            </w:tcMar>
          </w:tcPr>
          <w:p>
            <w:pPr>
              <w:pStyle w:val="Compact"/>
            </w:pPr>
            <w:r>
              <w:rPr>
                <w:sz w:val="19"/>
                <w:szCs w:val="19"/>
                <w:lang w:val="pt-PT"/>
              </w:rPr>
              <w:t xml:space="preserve">Autenticação necessária</w:t>
            </w:r>
          </w:p>
        </w:tc>
        <w:tc>
          <w:tcPr>
            <w:tcW w:type="dxa" w:w="1560"/>
            <w:tcMar>
              <w:left w:type="dxa" w:w="80"/>
              <w:right w:type="dxa" w:w="80"/>
            </w:tcMar>
          </w:tcPr>
          <w:p>
            <w:pPr>
              <w:pStyle w:val="Compact"/>
            </w:pP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1. Acesse um recurso protegido sem token.</w:t>
            </w:r>
          </w:p>
        </w:tc>
        <w:tc>
          <w:tcPr>
            <w:tcW w:type="dxa" w:w="1560"/>
            <w:tcMar>
              <w:left w:type="dxa" w:w="80"/>
              <w:right w:type="dxa" w:w="80"/>
            </w:tcMar>
          </w:tcPr>
          <w:p>
            <w:pPr>
              <w:pStyle w:val="Compact"/>
            </w:pPr>
            <w:r>
              <w:rPr>
                <w:sz w:val="19"/>
                <w:szCs w:val="19"/>
                <w:lang w:val="pt-PT"/>
              </w:rPr>
              <w:t xml:space="preserve">Acesso negado (401/redirecionamento)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T-SEC-02</w:t>
            </w:r>
          </w:p>
        </w:tc>
        <w:tc>
          <w:tcPr>
            <w:tcW w:type="dxa" w:w="1560"/>
            <w:tcMar>
              <w:left w:type="dxa" w:w="80"/>
              <w:right w:type="dxa" w:w="80"/>
            </w:tcMar>
          </w:tcPr>
          <w:p>
            <w:pPr>
              <w:pStyle w:val="Compact"/>
            </w:pPr>
            <w:r>
              <w:rPr>
                <w:sz w:val="19"/>
                <w:szCs w:val="19"/>
                <w:lang w:val="pt-PT"/>
              </w:rPr>
              <w:t xml:space="preserve">Ativação 2FA</w:t>
            </w:r>
          </w:p>
        </w:tc>
        <w:tc>
          <w:tcPr>
            <w:tcW w:type="dxa" w:w="1560"/>
            <w:tcMar>
              <w:left w:type="dxa" w:w="80"/>
              <w:right w:type="dxa" w:w="80"/>
            </w:tcMar>
          </w:tcPr>
          <w:p>
            <w:pPr>
              <w:pStyle w:val="Compact"/>
            </w:pPr>
            <w:r>
              <w:rPr>
                <w:sz w:val="19"/>
                <w:szCs w:val="19"/>
                <w:lang w:val="pt-PT"/>
              </w:rPr>
              <w:t xml:space="preserve">Gerente de conta</w:t>
            </w:r>
          </w:p>
        </w:tc>
        <w:tc>
          <w:tcPr>
            <w:tcW w:type="dxa" w:w="1560"/>
            <w:tcMar>
              <w:left w:type="dxa" w:w="80"/>
              <w:right w:type="dxa" w:w="80"/>
            </w:tcMar>
          </w:tcPr>
          <w:p>
            <w:pPr>
              <w:pStyle w:val="Compact"/>
            </w:pPr>
            <w:r>
              <w:rPr>
                <w:sz w:val="19"/>
                <w:szCs w:val="19"/>
                <w:lang w:val="pt-PT"/>
              </w:rPr>
              <w:t xml:space="preserve">1. Habilite 2FA TOTP. 2. Reconecte.</w:t>
            </w:r>
          </w:p>
        </w:tc>
        <w:tc>
          <w:tcPr>
            <w:tcW w:type="dxa" w:w="1560"/>
            <w:tcMar>
              <w:left w:type="dxa" w:w="80"/>
              <w:right w:type="dxa" w:w="80"/>
            </w:tcMar>
          </w:tcPr>
          <w:p>
            <w:pPr>
              <w:pStyle w:val="Compact"/>
            </w:pPr>
            <w:r>
              <w:rPr>
                <w:sz w:val="19"/>
                <w:szCs w:val="19"/>
                <w:lang w:val="pt-PT"/>
              </w:rPr>
              <w:t xml:space="preserve">Segundo fator exigido e validado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T-SEC-03</w:t>
            </w:r>
          </w:p>
        </w:tc>
        <w:tc>
          <w:tcPr>
            <w:tcW w:type="dxa" w:w="1560"/>
            <w:tcMar>
              <w:left w:type="dxa" w:w="80"/>
              <w:right w:type="dxa" w:w="80"/>
            </w:tcMar>
          </w:tcPr>
          <w:p>
            <w:pPr>
              <w:pStyle w:val="Compact"/>
            </w:pPr>
            <w:r>
              <w:rPr>
                <w:sz w:val="19"/>
                <w:szCs w:val="19"/>
                <w:lang w:val="pt-PT"/>
              </w:rPr>
              <w:t xml:space="preserve">RBAC — utilizador particionado</w:t>
            </w:r>
          </w:p>
        </w:tc>
        <w:tc>
          <w:tcPr>
            <w:tcW w:type="dxa" w:w="1560"/>
            <w:tcMar>
              <w:left w:type="dxa" w:w="80"/>
              <w:right w:type="dxa" w:w="80"/>
            </w:tcMar>
          </w:tcPr>
          <w:p>
            <w:pPr>
              <w:pStyle w:val="Compact"/>
            </w:pPr>
            <w:r>
              <w:rPr>
                <w:sz w:val="19"/>
                <w:szCs w:val="19"/>
                <w:lang w:val="pt-PT"/>
              </w:rPr>
              <w:t xml:space="preserve">Dois </w:t>
            </w:r>
            <w:r>
              <w:rPr>
                <w:sz w:val="19"/>
                <w:szCs w:val="19"/>
                <w:lang w:val="pt-PT"/>
              </w:rPr>
              <w:t xml:space="preserve"/>
            </w:r>
            <w:r>
              <w:rPr>
                <w:rStyle w:val="VerbatimChar"/>
                <w:sz w:val="19"/>
                <w:szCs w:val="19"/>
                <w:lang w:val="pt-PT"/>
              </w:rPr>
              <w:t xml:space="preserve">user</w:t>
            </w:r>
            <w:r>
              <w:rPr>
                <w:sz w:val="19"/>
                <w:szCs w:val="19"/>
                <w:lang w:val="pt-PT"/>
              </w:rPr>
              <w:t xml:space="preserve"> </w:t>
            </w:r>
            <w:r>
              <w:rPr>
                <w:sz w:val="19"/>
                <w:szCs w:val="19"/>
                <w:lang w:val="pt-PT"/>
              </w:rPr>
              <w:t xml:space="preserve">em ORG-A</w:t>
            </w:r>
          </w:p>
        </w:tc>
        <w:tc>
          <w:tcPr>
            <w:tcW w:type="dxa" w:w="1560"/>
            <w:tcMar>
              <w:left w:type="dxa" w:w="80"/>
              <w:right w:type="dxa" w:w="80"/>
            </w:tcMar>
          </w:tcPr>
          <w:p>
            <w:pPr>
              <w:pStyle w:val="Compact"/>
            </w:pPr>
            <w:r>
              <w:rPr>
                <w:sz w:val="19"/>
                <w:szCs w:val="19"/>
                <w:lang w:val="pt-PT"/>
              </w:rPr>
              <w:t xml:space="preserve">1. user1 cria uma sessão. 2. user2 tenta acessá-lo.</w:t>
            </w:r>
          </w:p>
        </w:tc>
        <w:tc>
          <w:tcPr>
            <w:tcW w:type="dxa" w:w="1560"/>
            <w:tcMar>
              <w:left w:type="dxa" w:w="80"/>
              <w:right w:type="dxa" w:w="80"/>
            </w:tcMar>
          </w:tcPr>
          <w:p>
            <w:pPr>
              <w:pStyle w:val="Compact"/>
            </w:pPr>
            <w:r>
              <w:rPr>
                <w:sz w:val="19"/>
                <w:szCs w:val="19"/>
                <w:lang w:val="pt-PT"/>
              </w:rPr>
              <w:t xml:space="preserve">user2 </w:t>
            </w:r>
            <w:r>
              <w:rPr>
                <w:sz w:val="19"/>
                <w:szCs w:val="19"/>
                <w:lang w:val="pt-PT"/>
              </w:rPr>
              <w:t xml:space="preserve"/>
            </w:r>
            <w:r>
              <w:rPr>
                <w:b/>
                <w:bCs/>
                <w:sz w:val="19"/>
                <w:szCs w:val="19"/>
                <w:lang w:val="pt-PT"/>
              </w:rPr>
              <w:t xml:space="preserve">não vê a </w:t>
            </w:r>
            <w:r>
              <w:rPr>
                <w:sz w:val="19"/>
                <w:szCs w:val="19"/>
                <w:lang w:val="pt-PT"/>
              </w:rPr>
              <w:t xml:space="preserve"/>
            </w:r>
            <w:r>
              <w:rPr>
                <w:sz w:val="19"/>
                <w:szCs w:val="19"/>
                <w:lang w:val="pt-PT"/>
              </w:rPr>
              <w:t xml:space="preserve">sessão do usuário1</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T-SEC-04</w:t>
            </w:r>
          </w:p>
        </w:tc>
        <w:tc>
          <w:tcPr>
            <w:tcW w:type="dxa" w:w="1560"/>
            <w:tcMar>
              <w:left w:type="dxa" w:w="80"/>
              <w:right w:type="dxa" w:w="80"/>
            </w:tcMar>
          </w:tcPr>
          <w:p>
            <w:pPr>
              <w:pStyle w:val="Compact"/>
            </w:pPr>
            <w:r>
              <w:rPr>
                <w:sz w:val="19"/>
                <w:szCs w:val="19"/>
                <w:lang w:val="pt-PT"/>
              </w:rPr>
              <w:t xml:space="preserve">Isolamento multilocatário</w:t>
            </w:r>
          </w:p>
        </w:tc>
        <w:tc>
          <w:tcPr>
            <w:tcW w:type="dxa" w:w="1560"/>
            <w:tcMar>
              <w:left w:type="dxa" w:w="80"/>
              <w:right w:type="dxa" w:w="80"/>
            </w:tcMar>
          </w:tcPr>
          <w:p>
            <w:pPr>
              <w:pStyle w:val="Compact"/>
            </w:pPr>
            <w:r>
              <w:rPr>
                <w:sz w:val="19"/>
                <w:szCs w:val="19"/>
                <w:lang w:val="pt-PT"/>
              </w:rPr>
              <w:t xml:space="preserve">ORG-A e ORG-B</w:t>
            </w:r>
          </w:p>
        </w:tc>
        <w:tc>
          <w:tcPr>
            <w:tcW w:type="dxa" w:w="1560"/>
            <w:tcMar>
              <w:left w:type="dxa" w:w="80"/>
              <w:right w:type="dxa" w:w="80"/>
            </w:tcMar>
          </w:tcPr>
          <w:p>
            <w:pPr>
              <w:pStyle w:val="Compact"/>
            </w:pPr>
            <w:r>
              <w:rPr>
                <w:sz w:val="19"/>
                <w:szCs w:val="19"/>
                <w:lang w:val="pt-PT"/>
              </w:rPr>
              <w:t xml:space="preserve">1. Um utilizador da ORG-B tenta acessar dados da ORG-A (URL/API direto).</w:t>
            </w:r>
          </w:p>
        </w:tc>
        <w:tc>
          <w:tcPr>
            <w:tcW w:type="dxa" w:w="1560"/>
            <w:tcMar>
              <w:left w:type="dxa" w:w="80"/>
              <w:right w:type="dxa" w:w="80"/>
            </w:tcMar>
          </w:tcPr>
          <w:p>
            <w:pPr>
              <w:pStyle w:val="Compact"/>
            </w:pPr>
            <w:r>
              <w:rPr>
                <w:sz w:val="19"/>
                <w:szCs w:val="19"/>
                <w:lang w:val="pt-PT"/>
              </w:rPr>
              <w:t xml:space="preserve">Acesso negado, sem vazamento entre organizações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T-SEC-05</w:t>
            </w:r>
          </w:p>
        </w:tc>
        <w:tc>
          <w:tcPr>
            <w:tcW w:type="dxa" w:w="1560"/>
            <w:tcMar>
              <w:left w:type="dxa" w:w="80"/>
              <w:right w:type="dxa" w:w="80"/>
            </w:tcMar>
          </w:tcPr>
          <w:p>
            <w:pPr>
              <w:pStyle w:val="Compact"/>
            </w:pPr>
            <w:r>
              <w:rPr>
                <w:sz w:val="19"/>
                <w:szCs w:val="19"/>
                <w:lang w:val="pt-PT"/>
              </w:rPr>
              <w:t xml:space="preserve">Antivírus EICAR</w:t>
            </w:r>
          </w:p>
        </w:tc>
        <w:tc>
          <w:tcPr>
            <w:tcW w:type="dxa" w:w="1560"/>
            <w:tcMar>
              <w:left w:type="dxa" w:w="80"/>
              <w:right w:type="dxa" w:w="80"/>
            </w:tcMar>
          </w:tcPr>
          <w:p>
            <w:pPr>
              <w:pStyle w:val="Compact"/>
            </w:pPr>
            <w:r>
              <w:rPr>
                <w:sz w:val="19"/>
                <w:szCs w:val="19"/>
                <w:lang w:val="pt-PT"/>
              </w:rPr>
              <w:t xml:space="preserve">ClamAV ativo</w:t>
            </w:r>
          </w:p>
        </w:tc>
        <w:tc>
          <w:tcPr>
            <w:tcW w:type="dxa" w:w="1560"/>
            <w:tcMar>
              <w:left w:type="dxa" w:w="80"/>
              <w:right w:type="dxa" w:w="80"/>
            </w:tcMar>
          </w:tcPr>
          <w:p>
            <w:pPr>
              <w:pStyle w:val="Compact"/>
            </w:pPr>
            <w:r>
              <w:rPr>
                <w:sz w:val="19"/>
                <w:szCs w:val="19"/>
                <w:lang w:val="pt-PT"/>
              </w:rPr>
              <w:t xml:space="preserve">1. Carregue o ficheiro </w:t>
            </w:r>
            <w:r>
              <w:rPr>
                <w:sz w:val="19"/>
                <w:szCs w:val="19"/>
                <w:lang w:val="pt-PT"/>
              </w:rPr>
              <w:t xml:space="preserve"/>
            </w:r>
            <w:r>
              <w:rPr>
                <w:rStyle w:val="VerbatimChar"/>
                <w:sz w:val="19"/>
                <w:szCs w:val="19"/>
                <w:lang w:val="pt-PT"/>
              </w:rPr>
              <w:t xml:space="preserve">EICAR.txt</w:t>
            </w: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Ficheiro </w:t>
            </w:r>
            <w:r>
              <w:rPr>
                <w:sz w:val="19"/>
                <w:szCs w:val="19"/>
                <w:lang w:val="pt-PT"/>
              </w:rPr>
              <w:t xml:space="preserve"/>
            </w:r>
            <w:r>
              <w:rPr>
                <w:b/>
                <w:bCs/>
                <w:sz w:val="19"/>
                <w:szCs w:val="19"/>
                <w:lang w:val="pt-PT"/>
              </w:rPr>
              <w:t xml:space="preserve"/>
            </w:r>
            <w:r>
              <w:rPr>
                <w:sz w:val="19"/>
                <w:szCs w:val="19"/>
                <w:lang w:val="pt-PT"/>
              </w:rPr>
              <w:t xml:space="preserve">rejeitado, alerta, evento registado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T-SEC-06</w:t>
            </w:r>
          </w:p>
        </w:tc>
        <w:tc>
          <w:tcPr>
            <w:tcW w:type="dxa" w:w="1560"/>
            <w:tcMar>
              <w:left w:type="dxa" w:w="80"/>
              <w:right w:type="dxa" w:w="80"/>
            </w:tcMar>
          </w:tcPr>
          <w:p>
            <w:pPr>
              <w:pStyle w:val="Compact"/>
            </w:pPr>
            <w:r>
              <w:rPr>
                <w:sz w:val="19"/>
                <w:szCs w:val="19"/>
                <w:lang w:val="pt-PT"/>
              </w:rPr>
              <w:t xml:space="preserve">Redirecionamento TLS/HTTPS</w:t>
            </w:r>
          </w:p>
        </w:tc>
        <w:tc>
          <w:tcPr>
            <w:tcW w:type="dxa" w:w="1560"/>
            <w:tcMar>
              <w:left w:type="dxa" w:w="80"/>
              <w:right w:type="dxa" w:w="80"/>
            </w:tcMar>
          </w:tcPr>
          <w:p>
            <w:pPr>
              <w:pStyle w:val="Compact"/>
            </w:pP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1. Acesso via HTTP (porta 80). 2. Verifique o TLS.</w:t>
            </w:r>
          </w:p>
        </w:tc>
        <w:tc>
          <w:tcPr>
            <w:tcW w:type="dxa" w:w="1560"/>
            <w:tcMar>
              <w:left w:type="dxa" w:w="80"/>
              <w:right w:type="dxa" w:w="80"/>
            </w:tcMar>
          </w:tcPr>
          <w:p>
            <w:pPr>
              <w:pStyle w:val="Compact"/>
            </w:pPr>
            <w:r>
              <w:rPr>
                <w:sz w:val="19"/>
                <w:szCs w:val="19"/>
                <w:lang w:val="pt-PT"/>
              </w:rPr>
              <w:t xml:space="preserve">Redirecionar 80→443, TLS ≥ 1.2, HSTS presente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T-SEC-07</w:t>
            </w:r>
          </w:p>
        </w:tc>
        <w:tc>
          <w:tcPr>
            <w:tcW w:type="dxa" w:w="1560"/>
            <w:tcMar>
              <w:left w:type="dxa" w:w="80"/>
              <w:right w:type="dxa" w:w="80"/>
            </w:tcMar>
          </w:tcPr>
          <w:p>
            <w:pPr>
              <w:pStyle w:val="Compact"/>
            </w:pPr>
            <w:r>
              <w:rPr>
                <w:sz w:val="19"/>
                <w:szCs w:val="19"/>
                <w:lang w:val="pt-PT"/>
              </w:rPr>
              <w:t xml:space="preserve">Bloqueio/limitação de taxa</w:t>
            </w:r>
          </w:p>
        </w:tc>
        <w:tc>
          <w:tcPr>
            <w:tcW w:type="dxa" w:w="1560"/>
            <w:tcMar>
              <w:left w:type="dxa" w:w="80"/>
              <w:right w:type="dxa" w:w="80"/>
            </w:tcMar>
          </w:tcPr>
          <w:p>
            <w:pPr>
              <w:pStyle w:val="Compact"/>
            </w:pP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1. Tentativas repetidas de login com falha.</w:t>
            </w:r>
          </w:p>
        </w:tc>
        <w:tc>
          <w:tcPr>
            <w:tcW w:type="dxa" w:w="1560"/>
            <w:tcMar>
              <w:left w:type="dxa" w:w="80"/>
              <w:right w:type="dxa" w:w="80"/>
            </w:tcMar>
          </w:tcPr>
          <w:p>
            <w:pPr>
              <w:pStyle w:val="Compact"/>
            </w:pPr>
            <w:r>
              <w:rPr>
                <w:sz w:val="19"/>
                <w:szCs w:val="19"/>
                <w:lang w:val="pt-PT"/>
              </w:rPr>
              <w:t xml:space="preserve">Limitação/bloqueio acionado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T-SEC-08</w:t>
            </w:r>
          </w:p>
        </w:tc>
        <w:tc>
          <w:tcPr>
            <w:tcW w:type="dxa" w:w="1560"/>
            <w:tcMar>
              <w:left w:type="dxa" w:w="80"/>
              <w:right w:type="dxa" w:w="80"/>
            </w:tcMar>
          </w:tcPr>
          <w:p>
            <w:pPr>
              <w:pStyle w:val="Compact"/>
            </w:pPr>
            <w:r>
              <w:rPr>
                <w:sz w:val="19"/>
                <w:szCs w:val="19"/>
                <w:lang w:val="pt-PT"/>
              </w:rPr>
              <w:t xml:space="preserve">Trilha de auditoria</w:t>
            </w:r>
          </w:p>
        </w:tc>
        <w:tc>
          <w:tcPr>
            <w:tcW w:type="dxa" w:w="1560"/>
            <w:tcMar>
              <w:left w:type="dxa" w:w="80"/>
              <w:right w:type="dxa" w:w="80"/>
            </w:tcMar>
          </w:tcPr>
          <w:p>
            <w:pPr>
              <w:pStyle w:val="Compact"/>
            </w:pPr>
            <w:r>
              <w:rPr>
                <w:sz w:val="19"/>
                <w:szCs w:val="19"/>
                <w:lang w:val="pt-PT"/>
              </w:rPr>
              <w:t xml:space="preserve">Ações realizadas</w:t>
            </w:r>
          </w:p>
        </w:tc>
        <w:tc>
          <w:tcPr>
            <w:tcW w:type="dxa" w:w="1560"/>
            <w:tcMar>
              <w:left w:type="dxa" w:w="80"/>
              <w:right w:type="dxa" w:w="80"/>
            </w:tcMar>
          </w:tcPr>
          <w:p>
            <w:pPr>
              <w:pStyle w:val="Compact"/>
            </w:pPr>
            <w:r>
              <w:rPr>
                <w:sz w:val="19"/>
                <w:szCs w:val="19"/>
                <w:lang w:val="pt-PT"/>
              </w:rPr>
              <w:t xml:space="preserve">1. Consulte </w:t>
            </w:r>
            <w:r>
              <w:rPr>
                <w:sz w:val="19"/>
                <w:szCs w:val="19"/>
                <w:lang w:val="pt-PT"/>
              </w:rPr>
              <w:t xml:space="preserve"/>
            </w:r>
            <w:r>
              <w:rPr>
                <w:rStyle w:val="VerbatimChar"/>
                <w:sz w:val="19"/>
                <w:szCs w:val="19"/>
                <w:lang w:val="pt-PT"/>
              </w:rPr>
              <w:t xml:space="preserve">activity_logs</w:t>
            </w:r>
            <w:r>
              <w:rPr>
                <w:sz w:val="19"/>
                <w:szCs w:val="19"/>
                <w:lang w:val="pt-PT"/>
              </w:rPr>
              <w:t xml:space="preserve"> </w:t>
            </w:r>
            <w:r>
              <w:rPr>
                <w:sz w:val="19"/>
                <w:szCs w:val="19"/>
                <w:lang w:val="pt-PT"/>
              </w:rPr>
              <w:t xml:space="preserve"/>
            </w:r>
            <w:r>
              <w:rPr>
                <w:sz w:val="19"/>
                <w:szCs w:val="19"/>
                <w:lang w:val="pt-PT"/>
              </w:rPr>
              <w:t xml:space="preserve">e </w:t>
            </w:r>
            <w:r>
              <w:rPr>
                <w:rStyle w:val="VerbatimChar"/>
                <w:sz w:val="19"/>
                <w:szCs w:val="19"/>
                <w:lang w:val="pt-PT"/>
              </w:rPr>
              <w:t xml:space="preserve">public.audit_logs</w:t>
            </w:r>
            <w:r>
              <w:rPr>
                <w:sz w:val="19"/>
                <w:szCs w:val="19"/>
                <w:lang w:val="pt-PT"/>
              </w:rPr>
              <w:t xml:space="preserve">. 2. Exporte CSV/JSON.</w:t>
            </w:r>
          </w:p>
        </w:tc>
        <w:tc>
          <w:tcPr>
            <w:tcW w:type="dxa" w:w="1560"/>
            <w:tcMar>
              <w:left w:type="dxa" w:w="80"/>
              <w:right w:type="dxa" w:w="80"/>
            </w:tcMar>
          </w:tcPr>
          <w:p>
            <w:pPr>
              <w:pStyle w:val="Compact"/>
            </w:pPr>
            <w:r>
              <w:rPr>
                <w:sz w:val="19"/>
                <w:szCs w:val="19"/>
                <w:lang w:val="pt-PT"/>
              </w:rPr>
              <w:t xml:space="preserve">Ações rastreadas, exportação gerada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T-SEC-09</w:t>
            </w:r>
          </w:p>
        </w:tc>
        <w:tc>
          <w:tcPr>
            <w:tcW w:type="dxa" w:w="1560"/>
            <w:tcMar>
              <w:left w:type="dxa" w:w="80"/>
              <w:right w:type="dxa" w:w="80"/>
            </w:tcMar>
          </w:tcPr>
          <w:p>
            <w:pPr>
              <w:pStyle w:val="Compact"/>
            </w:pPr>
            <w:r>
              <w:rPr>
                <w:sz w:val="19"/>
                <w:szCs w:val="19"/>
                <w:lang w:val="pt-PT"/>
              </w:rPr>
              <w:t xml:space="preserve">Intensificar a ação destrutiva</w:t>
            </w:r>
          </w:p>
        </w:tc>
        <w:tc>
          <w:tcPr>
            <w:tcW w:type="dxa" w:w="1560"/>
            <w:tcMar>
              <w:left w:type="dxa" w:w="80"/>
              <w:right w:type="dxa" w:w="80"/>
            </w:tcMar>
          </w:tcPr>
          <w:p>
            <w:pPr>
              <w:pStyle w:val="Compact"/>
            </w:pPr>
            <w:r>
              <w:rPr>
                <w:sz w:val="19"/>
                <w:szCs w:val="19"/>
                <w:lang w:val="pt-PT"/>
              </w:rPr>
              <w:t xml:space="preserve">manager</w:t>
            </w:r>
          </w:p>
        </w:tc>
        <w:tc>
          <w:tcPr>
            <w:tcW w:type="dxa" w:w="1560"/>
            <w:tcMar>
              <w:left w:type="dxa" w:w="80"/>
              <w:right w:type="dxa" w:w="80"/>
            </w:tcMar>
          </w:tcPr>
          <w:p>
            <w:pPr>
              <w:pStyle w:val="Compact"/>
            </w:pPr>
            <w:r>
              <w:rPr>
                <w:sz w:val="19"/>
                <w:szCs w:val="19"/>
                <w:lang w:val="pt-PT"/>
              </w:rPr>
              <w:t xml:space="preserve">1. Inicie uma exclusão.</w:t>
            </w:r>
          </w:p>
        </w:tc>
        <w:tc>
          <w:tcPr>
            <w:tcW w:type="dxa" w:w="1560"/>
            <w:tcMar>
              <w:left w:type="dxa" w:w="80"/>
              <w:right w:type="dxa" w:w="80"/>
            </w:tcMar>
          </w:tcPr>
          <w:p>
            <w:pPr>
              <w:pStyle w:val="Compact"/>
            </w:pPr>
            <w:r>
              <w:rPr>
                <w:sz w:val="19"/>
                <w:szCs w:val="19"/>
                <w:lang w:val="pt-PT"/>
              </w:rPr>
              <w:t xml:space="preserve">É necessária a reinserção da senha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T-SEC-10</w:t>
            </w:r>
          </w:p>
        </w:tc>
        <w:tc>
          <w:tcPr>
            <w:tcW w:type="dxa" w:w="1560"/>
            <w:tcMar>
              <w:left w:type="dxa" w:w="80"/>
              <w:right w:type="dxa" w:w="80"/>
            </w:tcMar>
          </w:tcPr>
          <w:p>
            <w:pPr>
              <w:pStyle w:val="Compact"/>
            </w:pPr>
            <w:r>
              <w:rPr>
                <w:sz w:val="19"/>
                <w:szCs w:val="19"/>
                <w:lang w:val="pt-PT"/>
              </w:rPr>
              <w:t xml:space="preserve">LLM Organizacional Anti-SSRF</w:t>
            </w:r>
          </w:p>
        </w:tc>
        <w:tc>
          <w:tcPr>
            <w:tcW w:type="dxa" w:w="1560"/>
            <w:tcMar>
              <w:left w:type="dxa" w:w="80"/>
              <w:right w:type="dxa" w:w="80"/>
            </w:tcMar>
          </w:tcPr>
          <w:p>
            <w:pPr>
              <w:pStyle w:val="Compact"/>
            </w:pPr>
            <w:r>
              <w:rPr>
                <w:sz w:val="19"/>
                <w:szCs w:val="19"/>
                <w:lang w:val="pt-PT"/>
              </w:rPr>
              <w:t xml:space="preserve">Configurar organização LLM</w:t>
            </w:r>
          </w:p>
        </w:tc>
        <w:tc>
          <w:tcPr>
            <w:tcW w:type="dxa" w:w="1560"/>
            <w:tcMar>
              <w:left w:type="dxa" w:w="80"/>
              <w:right w:type="dxa" w:w="80"/>
            </w:tcMar>
          </w:tcPr>
          <w:p>
            <w:pPr>
              <w:pStyle w:val="Compact"/>
            </w:pPr>
            <w:r>
              <w:rPr>
                <w:sz w:val="19"/>
                <w:szCs w:val="19"/>
                <w:lang w:val="pt-PT"/>
              </w:rPr>
              <w:t xml:space="preserve">1. Configure uma URL LLM apontando para um IP/metadados privados.</w:t>
            </w:r>
          </w:p>
        </w:tc>
        <w:tc>
          <w:tcPr>
            <w:tcW w:type="dxa" w:w="1560"/>
            <w:tcMar>
              <w:left w:type="dxa" w:w="80"/>
              <w:right w:type="dxa" w:w="80"/>
            </w:tcMar>
          </w:tcPr>
          <w:p>
            <w:pPr>
              <w:pStyle w:val="Compact"/>
            </w:pPr>
            <w:r>
              <w:rPr>
                <w:sz w:val="19"/>
                <w:szCs w:val="19"/>
                <w:lang w:val="pt-PT"/>
              </w:rPr>
              <w:t xml:space="preserve">Solicitação </w:t>
            </w:r>
            <w:r>
              <w:rPr>
                <w:sz w:val="19"/>
                <w:szCs w:val="19"/>
                <w:lang w:val="pt-PT"/>
              </w:rPr>
              <w:t xml:space="preserve"/>
            </w:r>
            <w:r>
              <w:rPr>
                <w:b/>
                <w:bCs/>
                <w:sz w:val="19"/>
                <w:szCs w:val="19"/>
                <w:lang w:val="pt-PT"/>
              </w:rPr>
              <w:t xml:space="preserve"/>
            </w:r>
            <w:r>
              <w:rPr>
                <w:sz w:val="19"/>
                <w:szCs w:val="19"/>
                <w:lang w:val="pt-PT"/>
              </w:rPr>
              <w:t xml:space="preserve">bloqueada </w:t>
            </w:r>
            <w:r>
              <w:rPr>
                <w:sz w:val="19"/>
                <w:szCs w:val="19"/>
                <w:lang w:val="pt-PT"/>
              </w:rPr>
              <w:t xml:space="preserve">pelo guarda anti-SSRF</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T-SEC-11</w:t>
            </w:r>
          </w:p>
        </w:tc>
        <w:tc>
          <w:tcPr>
            <w:tcW w:type="dxa" w:w="1560"/>
            <w:tcMar>
              <w:left w:type="dxa" w:w="80"/>
              <w:right w:type="dxa" w:w="80"/>
            </w:tcMar>
          </w:tcPr>
          <w:p>
            <w:pPr>
              <w:pStyle w:val="Compact"/>
            </w:pPr>
            <w:r>
              <w:rPr>
                <w:sz w:val="19"/>
                <w:szCs w:val="19"/>
                <w:lang w:val="pt-PT"/>
              </w:rPr>
              <w:t xml:space="preserve">Falta de fluxo de saída da Internet</w:t>
            </w:r>
          </w:p>
        </w:tc>
        <w:tc>
          <w:tcPr>
            <w:tcW w:type="dxa" w:w="1560"/>
            <w:tcMar>
              <w:left w:type="dxa" w:w="80"/>
              <w:right w:type="dxa" w:w="80"/>
            </w:tcMar>
          </w:tcPr>
          <w:p>
            <w:pPr>
              <w:pStyle w:val="Compact"/>
            </w:pPr>
            <w:r>
              <w:rPr>
                <w:sz w:val="19"/>
                <w:szCs w:val="19"/>
                <w:lang w:val="pt-PT"/>
              </w:rPr>
              <w:t xml:space="preserve">Variante isolada</w:t>
            </w:r>
          </w:p>
        </w:tc>
        <w:tc>
          <w:tcPr>
            <w:tcW w:type="dxa" w:w="1560"/>
            <w:tcMar>
              <w:left w:type="dxa" w:w="80"/>
              <w:right w:type="dxa" w:w="80"/>
            </w:tcMar>
          </w:tcPr>
          <w:p>
            <w:pPr>
              <w:pStyle w:val="Compact"/>
            </w:pPr>
            <w:r>
              <w:rPr>
                <w:sz w:val="19"/>
                <w:szCs w:val="19"/>
                <w:lang w:val="pt-PT"/>
              </w:rPr>
              <w:t xml:space="preserve">1. Monitore os fluxos de saída para um ciclo completo (upload→IA→exportação).</w:t>
            </w:r>
          </w:p>
        </w:tc>
        <w:tc>
          <w:tcPr>
            <w:tcW w:type="dxa" w:w="1560"/>
            <w:tcMar>
              <w:left w:type="dxa" w:w="80"/>
              <w:right w:type="dxa" w:w="80"/>
            </w:tcMar>
          </w:tcPr>
          <w:p>
            <w:pPr>
              <w:pStyle w:val="Compact"/>
            </w:pPr>
            <w:r>
              <w:rPr>
                <w:b/>
                <w:bCs/>
                <w:sz w:val="19"/>
                <w:szCs w:val="19"/>
                <w:lang w:val="pt-PT"/>
              </w:rPr>
              <w:t xml:space="preserve">Nenhum </w:t>
            </w:r>
            <w:r>
              <w:rPr>
                <w:sz w:val="19"/>
                <w:szCs w:val="19"/>
                <w:lang w:val="pt-PT"/>
              </w:rPr>
              <w:t xml:space="preserve"/>
            </w:r>
            <w:r>
              <w:rPr>
                <w:sz w:val="19"/>
                <w:szCs w:val="19"/>
                <w:lang w:val="pt-PT"/>
              </w:rPr>
              <w:t xml:space="preserve">fluxo de saída da Internet observado</w:t>
            </w:r>
          </w:p>
        </w:tc>
        <w:tc>
          <w:tcPr>
            <w:tcW w:type="dxa" w:w="1560"/>
            <w:tcMar>
              <w:left w:type="dxa" w:w="80"/>
              <w:right w:type="dxa" w:w="80"/>
            </w:tcMar>
          </w:tcPr>
          <w:p>
            <w:pPr>
              <w:pStyle w:val="Compact"/>
            </w:pPr>
          </w:p>
        </w:tc>
      </w:tr>
    </w:tbl>
    <w:p>
      <w:r>
        <w:pict>
          <v:rect style="width:0;height:1.5pt" o:hralign="center" o:hrstd="t" o:hr="t"/>
        </w:pict>
      </w:r>
    </w:p>
    <w:bookmarkEnd w:id="144"/>
    <w:bookmarkStart w:id="145" w:name="Xe6489c19cc2da23dafc601935ff2de789ec1436"/>
    <w:p>
      <w:pPr>
        <w:pStyle w:val="Heading2"/>
        <w:keepNext/>
        <w:keepLines/>
      </w:pPr>
      <w:r>
        <w:rPr>
          <w:color w:val="000000"/>
          <w:lang w:val="pt-PT"/>
        </w:rPr>
        <w:t xml:space="preserve">6. Testes de desempenho (T-PERF)</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pt-PT"/>
              </w:rPr>
              <w:t xml:space="preserve">ID</w:t>
            </w:r>
          </w:p>
        </w:tc>
        <w:tc>
          <w:tcPr>
            <w:tcW w:type="dxa" w:w="1560"/>
            <w:tcMar>
              <w:left w:type="dxa" w:w="80"/>
              <w:right w:type="dxa" w:w="80"/>
            </w:tcMar>
          </w:tcPr>
          <w:p>
            <w:pPr>
              <w:pStyle w:val="Compact"/>
            </w:pPr>
            <w:r>
              <w:rPr>
                <w:sz w:val="19"/>
                <w:szCs w:val="19"/>
                <w:lang w:val="pt-PT"/>
              </w:rPr>
              <w:t xml:space="preserve">Objetivo</w:t>
            </w:r>
          </w:p>
        </w:tc>
        <w:tc>
          <w:tcPr>
            <w:tcW w:type="dxa" w:w="1560"/>
            <w:tcMar>
              <w:left w:type="dxa" w:w="80"/>
              <w:right w:type="dxa" w:w="80"/>
            </w:tcMar>
          </w:tcPr>
          <w:p>
            <w:pPr>
              <w:pStyle w:val="Compact"/>
            </w:pPr>
            <w:r>
              <w:rPr>
                <w:sz w:val="19"/>
                <w:szCs w:val="19"/>
                <w:lang w:val="pt-PT"/>
              </w:rPr>
              <w:t xml:space="preserve">Pré-requisitos</w:t>
            </w:r>
          </w:p>
        </w:tc>
        <w:tc>
          <w:tcPr>
            <w:tcW w:type="dxa" w:w="1560"/>
            <w:tcMar>
              <w:left w:type="dxa" w:w="80"/>
              <w:right w:type="dxa" w:w="80"/>
            </w:tcMar>
          </w:tcPr>
          <w:p>
            <w:pPr>
              <w:pStyle w:val="Compact"/>
            </w:pPr>
            <w:r>
              <w:rPr>
                <w:sz w:val="19"/>
                <w:szCs w:val="19"/>
                <w:lang w:val="pt-PT"/>
              </w:rPr>
              <w:t xml:space="preserve">Passos</w:t>
            </w:r>
          </w:p>
        </w:tc>
        <w:tc>
          <w:tcPr>
            <w:tcW w:type="dxa" w:w="1560"/>
            <w:tcMar>
              <w:left w:type="dxa" w:w="80"/>
              <w:right w:type="dxa" w:w="80"/>
            </w:tcMar>
          </w:tcPr>
          <w:p>
            <w:pPr>
              <w:pStyle w:val="Compact"/>
            </w:pPr>
            <w:r>
              <w:rPr>
                <w:sz w:val="19"/>
                <w:szCs w:val="19"/>
                <w:lang w:val="pt-PT"/>
              </w:rPr>
              <w:t xml:space="preserve">Resultado esperado</w:t>
            </w:r>
          </w:p>
        </w:tc>
        <w:tc>
          <w:tcPr>
            <w:tcW w:type="dxa" w:w="1560"/>
            <w:tcMar>
              <w:left w:type="dxa" w:w="80"/>
              <w:right w:type="dxa" w:w="80"/>
            </w:tcMar>
          </w:tcPr>
          <w:p>
            <w:pPr>
              <w:pStyle w:val="Compact"/>
            </w:pPr>
            <w:r>
              <w:rPr>
                <w:sz w:val="19"/>
                <w:szCs w:val="19"/>
                <w:lang w:val="pt-PT"/>
              </w:rPr>
              <w:t xml:space="preserve">Estado</w:t>
            </w:r>
          </w:p>
        </w:tc>
      </w:tr>
      <w:tr>
        <w:trPr>
          <w:cantSplit/>
        </w:trPr>
        <w:tc>
          <w:tcPr>
            <w:tcW w:type="dxa" w:w="1560"/>
            <w:tcMar>
              <w:left w:type="dxa" w:w="80"/>
              <w:right w:type="dxa" w:w="80"/>
            </w:tcMar>
          </w:tcPr>
          <w:p>
            <w:pPr>
              <w:pStyle w:val="Compact"/>
            </w:pPr>
            <w:r>
              <w:rPr>
                <w:sz w:val="19"/>
                <w:szCs w:val="19"/>
                <w:lang w:val="pt-PT"/>
              </w:rPr>
              <w:t xml:space="preserve">T-PERF-01</w:t>
            </w:r>
          </w:p>
        </w:tc>
        <w:tc>
          <w:tcPr>
            <w:tcW w:type="dxa" w:w="1560"/>
            <w:tcMar>
              <w:left w:type="dxa" w:w="80"/>
              <w:right w:type="dxa" w:w="80"/>
            </w:tcMar>
          </w:tcPr>
          <w:p>
            <w:pPr>
              <w:pStyle w:val="Compact"/>
            </w:pPr>
            <w:r>
              <w:rPr>
                <w:sz w:val="19"/>
                <w:szCs w:val="19"/>
                <w:lang w:val="pt-PT"/>
              </w:rPr>
              <w:t xml:space="preserve">Ficheiro de transcrição 1 hora</w:t>
            </w:r>
          </w:p>
        </w:tc>
        <w:tc>
          <w:tcPr>
            <w:tcW w:type="dxa" w:w="1560"/>
            <w:tcMar>
              <w:left w:type="dxa" w:w="80"/>
              <w:right w:type="dxa" w:w="80"/>
            </w:tcMar>
          </w:tcPr>
          <w:p>
            <w:pPr>
              <w:pStyle w:val="Compact"/>
            </w:pPr>
            <w:r>
              <w:rPr>
                <w:rStyle w:val="VerbatimChar"/>
                <w:sz w:val="19"/>
                <w:szCs w:val="19"/>
                <w:lang w:val="pt-PT"/>
              </w:rPr>
              <w:t xml:space="preserve">audio_1h</w:t>
            </w:r>
            <w:r>
              <w:rPr>
                <w:sz w:val="19"/>
                <w:szCs w:val="19"/>
                <w:lang w:val="pt-PT"/>
              </w:rPr>
              <w:t xml:space="preserve">, GPU</w:t>
            </w:r>
          </w:p>
        </w:tc>
        <w:tc>
          <w:tcPr>
            <w:tcW w:type="dxa" w:w="1560"/>
            <w:tcMar>
              <w:left w:type="dxa" w:w="80"/>
              <w:right w:type="dxa" w:w="80"/>
            </w:tcMar>
          </w:tcPr>
          <w:p>
            <w:pPr>
              <w:pStyle w:val="Compact"/>
            </w:pPr>
            <w:r>
              <w:rPr>
                <w:sz w:val="19"/>
                <w:szCs w:val="19"/>
                <w:lang w:val="pt-PT"/>
              </w:rPr>
              <w:t xml:space="preserve">1. Carregue </w:t>
            </w:r>
            <w:r>
              <w:rPr>
                <w:sz w:val="19"/>
                <w:szCs w:val="19"/>
                <w:lang w:val="pt-PT"/>
              </w:rPr>
              <w:t xml:space="preserve"/>
            </w:r>
            <w:r>
              <w:rPr>
                <w:rStyle w:val="VerbatimChar"/>
                <w:sz w:val="19"/>
                <w:szCs w:val="19"/>
                <w:lang w:val="pt-PT"/>
              </w:rPr>
              <w:t xml:space="preserve">audio_1h</w:t>
            </w:r>
            <w:r>
              <w:rPr>
                <w:sz w:val="19"/>
                <w:szCs w:val="19"/>
                <w:lang w:val="pt-PT"/>
              </w:rPr>
              <w:t xml:space="preserve">. 2. Meça o tempo total de transcrição.</w:t>
            </w:r>
          </w:p>
        </w:tc>
        <w:tc>
          <w:tcPr>
            <w:tcW w:type="dxa" w:w="1560"/>
            <w:tcMar>
              <w:left w:type="dxa" w:w="80"/>
              <w:right w:type="dxa" w:w="80"/>
            </w:tcMar>
          </w:tcPr>
          <w:p>
            <w:pPr>
              <w:pStyle w:val="Compact"/>
            </w:pPr>
            <w:r>
              <w:rPr>
                <w:sz w:val="19"/>
                <w:szCs w:val="19"/>
                <w:lang w:val="pt-PT"/>
              </w:rPr>
              <w:t xml:space="preserve">Tempo ≤ meta [a </w:t>
            </w:r>
            <w:r>
              <w:rPr>
                <w:sz w:val="19"/>
                <w:szCs w:val="19"/>
                <w:lang w:val="pt-PT"/>
              </w:rPr>
              <w:t xml:space="preserve"/>
            </w:r>
            <w:r>
              <w:rPr>
                <w:rStyle w:val="VerbatimChar"/>
                <w:sz w:val="19"/>
                <w:szCs w:val="19"/>
                <w:lang w:val="pt-PT"/>
              </w:rPr>
              <w:t xml:space="preserve">ser estabelecida na configuração escolhida]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T-PERF-02</w:t>
            </w:r>
          </w:p>
        </w:tc>
        <w:tc>
          <w:tcPr>
            <w:tcW w:type="dxa" w:w="1560"/>
            <w:tcMar>
              <w:left w:type="dxa" w:w="80"/>
              <w:right w:type="dxa" w:w="80"/>
            </w:tcMar>
          </w:tcPr>
          <w:p>
            <w:pPr>
              <w:pStyle w:val="Compact"/>
            </w:pPr>
            <w:r>
              <w:rPr>
                <w:sz w:val="19"/>
                <w:szCs w:val="19"/>
                <w:lang w:val="pt-PT"/>
              </w:rPr>
              <w:t xml:space="preserve">Geração de IA (LLM local)</w:t>
            </w:r>
          </w:p>
        </w:tc>
        <w:tc>
          <w:tcPr>
            <w:tcW w:type="dxa" w:w="1560"/>
            <w:tcMar>
              <w:left w:type="dxa" w:w="80"/>
              <w:right w:type="dxa" w:w="80"/>
            </w:tcMar>
          </w:tcPr>
          <w:p>
            <w:pPr>
              <w:pStyle w:val="Compact"/>
            </w:pPr>
            <w:r>
              <w:rPr>
                <w:sz w:val="19"/>
                <w:szCs w:val="19"/>
                <w:lang w:val="pt-PT"/>
              </w:rPr>
              <w:t xml:space="preserve">LLM local</w:t>
            </w:r>
          </w:p>
        </w:tc>
        <w:tc>
          <w:tcPr>
            <w:tcW w:type="dxa" w:w="1560"/>
            <w:tcMar>
              <w:left w:type="dxa" w:w="80"/>
              <w:right w:type="dxa" w:w="80"/>
            </w:tcMar>
          </w:tcPr>
          <w:p>
            <w:pPr>
              <w:pStyle w:val="Compact"/>
            </w:pPr>
            <w:r>
              <w:rPr>
                <w:sz w:val="19"/>
                <w:szCs w:val="19"/>
                <w:lang w:val="pt-PT"/>
              </w:rPr>
              <w:t xml:space="preserve">1. Emita um PV em uma transcrição longa. 2. Meça a latência.</w:t>
            </w:r>
          </w:p>
        </w:tc>
        <w:tc>
          <w:tcPr>
            <w:tcW w:type="dxa" w:w="1560"/>
            <w:tcMar>
              <w:left w:type="dxa" w:w="80"/>
              <w:right w:type="dxa" w:w="80"/>
            </w:tcMar>
          </w:tcPr>
          <w:p>
            <w:pPr>
              <w:pStyle w:val="Compact"/>
            </w:pPr>
            <w:r>
              <w:rPr>
                <w:sz w:val="19"/>
                <w:szCs w:val="19"/>
                <w:lang w:val="pt-PT"/>
              </w:rPr>
              <w:t xml:space="preserve">Latência ≤ alvo [a </w:t>
            </w:r>
            <w:r>
              <w:rPr>
                <w:sz w:val="19"/>
                <w:szCs w:val="19"/>
                <w:lang w:val="pt-PT"/>
              </w:rPr>
              <w:t xml:space="preserve"/>
            </w:r>
            <w:r>
              <w:rPr>
                <w:rStyle w:val="VerbatimChar"/>
                <w:sz w:val="19"/>
                <w:szCs w:val="19"/>
                <w:lang w:val="pt-PT"/>
              </w:rPr>
              <w:t xml:space="preserve">ser estabelecido na configuração escolhida]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T-PERF-03</w:t>
            </w:r>
          </w:p>
        </w:tc>
        <w:tc>
          <w:tcPr>
            <w:tcW w:type="dxa" w:w="1560"/>
            <w:tcMar>
              <w:left w:type="dxa" w:w="80"/>
              <w:right w:type="dxa" w:w="80"/>
            </w:tcMar>
          </w:tcPr>
          <w:p>
            <w:pPr>
              <w:pStyle w:val="Compact"/>
            </w:pPr>
            <w:r>
              <w:rPr>
                <w:sz w:val="19"/>
                <w:szCs w:val="19"/>
                <w:lang w:val="pt-PT"/>
              </w:rPr>
              <w:t xml:space="preserve">Suporta N utilizadores simultâneos</w:t>
            </w:r>
          </w:p>
        </w:tc>
        <w:tc>
          <w:tcPr>
            <w:tcW w:type="dxa" w:w="1560"/>
            <w:tcMar>
              <w:left w:type="dxa" w:w="80"/>
              <w:right w:type="dxa" w:w="80"/>
            </w:tcMar>
          </w:tcPr>
          <w:p>
            <w:pPr>
              <w:pStyle w:val="Compact"/>
            </w:pPr>
            <w:r>
              <w:rPr>
                <w:sz w:val="19"/>
                <w:szCs w:val="19"/>
                <w:lang w:val="pt-PT"/>
              </w:rPr>
              <w:t xml:space="preserve">Ferramenta de carregamento</w:t>
            </w:r>
          </w:p>
        </w:tc>
        <w:tc>
          <w:tcPr>
            <w:tcW w:type="dxa" w:w="1560"/>
            <w:tcMar>
              <w:left w:type="dxa" w:w="80"/>
              <w:right w:type="dxa" w:w="80"/>
            </w:tcMar>
          </w:tcPr>
          <w:p>
            <w:pPr>
              <w:pStyle w:val="Compact"/>
            </w:pPr>
            <w:r>
              <w:rPr>
                <w:sz w:val="19"/>
                <w:szCs w:val="19"/>
                <w:lang w:val="pt-PT"/>
              </w:rPr>
              <w:t xml:space="preserve">1. Simule N utilizadores </w:t>
            </w:r>
            <w:r>
              <w:rPr>
                <w:rStyle w:val="VerbatimChar"/>
                <w:sz w:val="19"/>
                <w:szCs w:val="19"/>
                <w:lang w:val="pt-PT"/>
              </w:rPr>
              <w:t xml:space="preserve">([N a definir]) </w:t>
            </w:r>
            <w:r>
              <w:rPr>
                <w:sz w:val="19"/>
                <w:szCs w:val="19"/>
                <w:lang w:val="pt-PT"/>
              </w:rPr>
              <w:t xml:space="preserve">em navegação + upload.</w:t>
            </w:r>
          </w:p>
        </w:tc>
        <w:tc>
          <w:tcPr>
            <w:tcW w:type="dxa" w:w="1560"/>
            <w:tcMar>
              <w:left w:type="dxa" w:w="80"/>
              <w:right w:type="dxa" w:w="80"/>
            </w:tcMar>
          </w:tcPr>
          <w:p>
            <w:pPr>
              <w:pStyle w:val="Compact"/>
            </w:pPr>
            <w:r>
              <w:rPr>
                <w:sz w:val="19"/>
                <w:szCs w:val="19"/>
                <w:lang w:val="pt-PT"/>
              </w:rPr>
              <w:t xml:space="preserve">Sem erros, tempos de resposta controlados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T-PERF-04</w:t>
            </w:r>
          </w:p>
        </w:tc>
        <w:tc>
          <w:tcPr>
            <w:tcW w:type="dxa" w:w="1560"/>
            <w:tcMar>
              <w:left w:type="dxa" w:w="80"/>
              <w:right w:type="dxa" w:w="80"/>
            </w:tcMar>
          </w:tcPr>
          <w:p>
            <w:pPr>
              <w:pStyle w:val="Compact"/>
            </w:pPr>
            <w:r>
              <w:rPr>
                <w:sz w:val="19"/>
                <w:szCs w:val="19"/>
                <w:lang w:val="pt-PT"/>
              </w:rPr>
              <w:t xml:space="preserve">Tempo de resposta da API</w:t>
            </w:r>
          </w:p>
        </w:tc>
        <w:tc>
          <w:tcPr>
            <w:tcW w:type="dxa" w:w="1560"/>
            <w:tcMar>
              <w:left w:type="dxa" w:w="80"/>
              <w:right w:type="dxa" w:w="80"/>
            </w:tcMar>
          </w:tcPr>
          <w:p>
            <w:pPr>
              <w:pStyle w:val="Compact"/>
            </w:pP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1. Meça os tempos de resposta dos principais endpoints (lista de sessões, detalhes).</w:t>
            </w:r>
          </w:p>
        </w:tc>
        <w:tc>
          <w:tcPr>
            <w:tcW w:type="dxa" w:w="1560"/>
            <w:tcMar>
              <w:left w:type="dxa" w:w="80"/>
              <w:right w:type="dxa" w:w="80"/>
            </w:tcMar>
          </w:tcPr>
          <w:p>
            <w:pPr>
              <w:pStyle w:val="Compact"/>
            </w:pPr>
            <w:r>
              <w:rPr>
                <w:sz w:val="19"/>
                <w:szCs w:val="19"/>
                <w:lang w:val="pt-PT"/>
              </w:rPr>
              <w:t xml:space="preserve">Respostas &lt; limites [a </w:t>
            </w:r>
            <w:r>
              <w:rPr>
                <w:sz w:val="19"/>
                <w:szCs w:val="19"/>
                <w:lang w:val="pt-PT"/>
              </w:rPr>
              <w:t xml:space="preserve"/>
            </w:r>
            <w:r>
              <w:rPr>
                <w:rStyle w:val="VerbatimChar"/>
                <w:sz w:val="19"/>
                <w:szCs w:val="19"/>
                <w:lang w:val="pt-PT"/>
              </w:rPr>
              <w:t xml:space="preserve">serem estabelecidos] </w:t>
            </w:r>
            <w:r>
              <w:rPr>
                <w:sz w:val="19"/>
                <w:szCs w:val="19"/>
                <w:lang w:val="pt-PT"/>
              </w:rPr>
              <w:t xml:space="preserve"/>
            </w:r>
            <w:r>
              <w:rPr>
                <w:sz w:val="19"/>
                <w:szCs w:val="19"/>
                <w:lang w:val="pt-PT"/>
              </w:rPr>
              <w:t xml:space="preserve">(excluindo processamento assíncrono longo)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T-PERF-05</w:t>
            </w:r>
          </w:p>
        </w:tc>
        <w:tc>
          <w:tcPr>
            <w:tcW w:type="dxa" w:w="1560"/>
            <w:tcMar>
              <w:left w:type="dxa" w:w="80"/>
              <w:right w:type="dxa" w:w="80"/>
            </w:tcMar>
          </w:tcPr>
          <w:p>
            <w:pPr>
              <w:pStyle w:val="Compact"/>
            </w:pPr>
            <w:r>
              <w:rPr>
                <w:sz w:val="19"/>
                <w:szCs w:val="19"/>
                <w:lang w:val="pt-PT"/>
              </w:rPr>
              <w:t xml:space="preserve">Taxa de transferência da fila de transcrição</w:t>
            </w:r>
          </w:p>
        </w:tc>
        <w:tc>
          <w:tcPr>
            <w:tcW w:type="dxa" w:w="1560"/>
            <w:tcMar>
              <w:left w:type="dxa" w:w="80"/>
              <w:right w:type="dxa" w:w="80"/>
            </w:tcMar>
          </w:tcPr>
          <w:p>
            <w:pPr>
              <w:pStyle w:val="Compact"/>
            </w:pPr>
            <w:r>
              <w:rPr>
                <w:sz w:val="19"/>
                <w:szCs w:val="19"/>
                <w:lang w:val="pt-PT"/>
              </w:rPr>
              <w:t xml:space="preserve">Vários ficheiros</w:t>
            </w:r>
          </w:p>
        </w:tc>
        <w:tc>
          <w:tcPr>
            <w:tcW w:type="dxa" w:w="1560"/>
            <w:tcMar>
              <w:left w:type="dxa" w:w="80"/>
              <w:right w:type="dxa" w:w="80"/>
            </w:tcMar>
          </w:tcPr>
          <w:p>
            <w:pPr>
              <w:pStyle w:val="Compact"/>
            </w:pPr>
            <w:r>
              <w:rPr>
                <w:sz w:val="19"/>
                <w:szCs w:val="19"/>
                <w:lang w:val="pt-PT"/>
              </w:rPr>
              <w:t xml:space="preserve">1. Carregue vários ficheiros simultaneamente.</w:t>
            </w:r>
          </w:p>
        </w:tc>
        <w:tc>
          <w:tcPr>
            <w:tcW w:type="dxa" w:w="1560"/>
            <w:tcMar>
              <w:left w:type="dxa" w:w="80"/>
              <w:right w:type="dxa" w:w="80"/>
            </w:tcMar>
          </w:tcPr>
          <w:p>
            <w:pPr>
              <w:pStyle w:val="Compact"/>
            </w:pPr>
            <w:r>
              <w:rPr>
                <w:sz w:val="19"/>
                <w:szCs w:val="19"/>
                <w:lang w:val="pt-PT"/>
              </w:rPr>
              <w:t xml:space="preserve">Processamento sequenciado sem bloqueio, watchdog operacional</w:t>
            </w:r>
          </w:p>
        </w:tc>
        <w:tc>
          <w:tcPr>
            <w:tcW w:type="dxa" w:w="1560"/>
            <w:tcMar>
              <w:left w:type="dxa" w:w="80"/>
              <w:right w:type="dxa" w:w="80"/>
            </w:tcMar>
          </w:tcPr>
          <w:p>
            <w:pPr>
              <w:pStyle w:val="Compact"/>
            </w:pPr>
          </w:p>
        </w:tc>
      </w:tr>
    </w:tbl>
    <w:p>
      <w:pPr>
        <w:pStyle w:val="BlockText"/>
      </w:pPr>
      <w:r>
        <w:rPr>
          <w:lang w:val="pt-PT"/>
        </w:rPr>
        <w:t xml:space="preserve">Os valores alvo de desempenho serão </w:t>
      </w:r>
      <w:r>
        <w:rPr>
          <w:lang w:val="pt-PT"/>
        </w:rPr>
        <w:t xml:space="preserve"/>
      </w:r>
      <w:r>
        <w:rPr>
          <w:b/>
          <w:bCs/>
          <w:lang w:val="pt-PT"/>
        </w:rPr>
        <w:t xml:space="preserve">estabelecidos na configuração de hardware selecionada </w:t>
      </w:r>
      <w:r>
        <w:rPr>
          <w:lang w:val="pt-PT"/>
        </w:rPr>
        <w:t xml:space="preserve"/>
      </w:r>
      <w:r>
        <w:rPr>
          <w:lang w:val="pt-PT"/>
        </w:rPr>
        <w:t xml:space="preserve">(ver DCD §5 e §9) e registados nesta tabela antes da aceitação.</w:t>
      </w:r>
    </w:p>
    <w:p>
      <w:r>
        <w:pict>
          <v:rect style="width:0;height:1.5pt" o:hralign="center" o:hrstd="t" o:hr="t"/>
        </w:pict>
      </w:r>
    </w:p>
    <w:bookmarkEnd w:id="145"/>
    <w:bookmarkStart w:id="154" w:name="X47d4accfcd787a54181da2b61540198742ce812"/>
    <w:p>
      <w:pPr>
        <w:pStyle w:val="Heading2"/>
        <w:keepNext/>
        <w:keepLines/>
      </w:pPr>
      <w:r>
        <w:rPr>
          <w:color w:val="000000"/>
          <w:lang w:val="pt-PT"/>
        </w:rPr>
        <w:t xml:space="preserve">7. Testes de comutação e recuperação (T-BASCULE)</w:t>
      </w:r>
    </w:p>
    <w:bookmarkStart w:id="146" w:name="X6f051cc759318028f23aca13bba51847c142998"/>
    <w:p>
      <w:pPr>
        <w:pStyle w:val="Heading3"/>
        <w:keepNext/>
        <w:keepLines/>
      </w:pPr>
      <w:r>
        <w:rPr>
          <w:color w:val="000000"/>
          <w:lang w:val="pt-PT"/>
        </w:rPr>
        <w:t xml:space="preserve">7.1 T-BASCULE-01 — Parando um serviço → retomada automática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Campo</w:t>
            </w:r>
          </w:p>
        </w:tc>
        <w:tc>
          <w:tcPr/>
          <w:p>
            <w:pPr>
              <w:pStyle w:val="Compact"/>
            </w:pPr>
            <w:r>
              <w:rPr>
                <w:lang w:val="pt-PT"/>
              </w:rPr>
              <w:t xml:space="preserve">Valor</w:t>
            </w:r>
          </w:p>
        </w:tc>
      </w:tr>
      <w:tr>
        <w:trPr>
          <w:cantSplit/>
        </w:trPr>
        <w:tc>
          <w:tcPr/>
          <w:p>
            <w:pPr>
              <w:pStyle w:val="Compact"/>
            </w:pPr>
            <w:r>
              <w:rPr>
                <w:lang w:val="pt-PT"/>
              </w:rPr>
              <w:t xml:space="preserve">Objetivo</w:t>
            </w:r>
          </w:p>
        </w:tc>
        <w:tc>
          <w:tcPr/>
          <w:p>
            <w:pPr>
              <w:pStyle w:val="Compact"/>
            </w:pPr>
            <w:r>
              <w:rPr>
                <w:lang w:val="pt-PT"/>
              </w:rPr>
              <w:t xml:space="preserve">Verifique a retomada automática de um serviço de aplicativo</w:t>
            </w:r>
          </w:p>
        </w:tc>
      </w:tr>
      <w:tr>
        <w:trPr>
          <w:cantSplit/>
        </w:trPr>
        <w:tc>
          <w:tcPr/>
          <w:p>
            <w:pPr>
              <w:pStyle w:val="Compact"/>
            </w:pPr>
            <w:r>
              <w:rPr>
                <w:lang w:val="pt-PT"/>
              </w:rPr>
              <w:t xml:space="preserve">Pré-requisitos</w:t>
            </w:r>
          </w:p>
        </w:tc>
        <w:tc>
          <w:tcPr/>
          <w:p>
            <w:pPr>
              <w:pStyle w:val="Compact"/>
            </w:pPr>
            <w:r>
              <w:rPr>
                <w:lang w:val="pt-PT"/>
              </w:rPr>
              <w:t xml:space="preserve">Pilha saudável na Sala A</w:t>
            </w:r>
          </w:p>
        </w:tc>
      </w:tr>
      <w:tr>
        <w:trPr>
          <w:cantSplit/>
        </w:trPr>
        <w:tc>
          <w:tcPr/>
          <w:p>
            <w:pPr>
              <w:pStyle w:val="Compact"/>
            </w:pPr>
            <w:r>
              <w:rPr>
                <w:lang w:val="pt-PT"/>
              </w:rPr>
              <w:t xml:space="preserve">Passos</w:t>
            </w:r>
          </w:p>
        </w:tc>
        <w:tc>
          <w:tcPr/>
          <w:p>
            <w:pPr>
              <w:pStyle w:val="Compact"/>
            </w:pPr>
            <w:r>
              <w:rPr>
                <w:lang w:val="pt-PT"/>
              </w:rPr>
              <w:t xml:space="preserve">1. Pare o contêiner </w:t>
            </w:r>
            <w:r>
              <w:rPr>
                <w:lang w:val="pt-PT"/>
              </w:rPr>
              <w:t xml:space="preserve"/>
            </w:r>
            <w:r>
              <w:rPr>
                <w:rStyle w:val="VerbatimChar"/>
                <w:lang w:val="pt-PT"/>
              </w:rPr>
              <w:t xml:space="preserve">app</w:t>
            </w:r>
            <w:r>
              <w:rPr>
                <w:lang w:val="pt-PT"/>
              </w:rPr>
              <w:t xml:space="preserve">. 2. Observe a recuperação (</w:t>
            </w:r>
            <w:r>
              <w:rPr>
                <w:rStyle w:val="VerbatimChar"/>
                <w:lang w:val="pt-PT"/>
              </w:rPr>
              <w:t xml:space="preserve">restart: unless-stopped</w:t>
            </w:r>
            <w:r>
              <w:rPr>
                <w:lang w:val="pt-PT"/>
              </w:rPr>
              <w:t xml:space="preserve">). 3. Reinicie o nginx (armadilha 502). 4. Verifique a integridade (EXPL-03).</w:t>
            </w:r>
          </w:p>
        </w:tc>
      </w:tr>
      <w:tr>
        <w:trPr>
          <w:cantSplit/>
        </w:trPr>
        <w:tc>
          <w:tcPr/>
          <w:p>
            <w:pPr>
              <w:pStyle w:val="Compact"/>
            </w:pPr>
            <w:r>
              <w:rPr>
                <w:lang w:val="pt-PT"/>
              </w:rPr>
              <w:t xml:space="preserve">Resultado esperado</w:t>
            </w:r>
          </w:p>
        </w:tc>
        <w:tc>
          <w:tcPr/>
          <w:p>
            <w:pPr>
              <w:pStyle w:val="Compact"/>
            </w:pPr>
            <w:r>
              <w:rPr>
                <w:lang w:val="pt-PT"/>
              </w:rPr>
              <w:t xml:space="preserve">Serviço restaurado automaticamente, aplicativo operacional novamente, RPO zero</w:t>
            </w:r>
          </w:p>
        </w:tc>
      </w:tr>
      <w:tr>
        <w:trPr>
          <w:cantSplit/>
        </w:trPr>
        <w:tc>
          <w:tcPr/>
          <w:p>
            <w:pPr>
              <w:pStyle w:val="Compact"/>
            </w:pPr>
            <w:r>
              <w:rPr>
                <w:lang w:val="pt-PT"/>
              </w:rPr>
              <w:t xml:space="preserve">Estado</w:t>
            </w:r>
          </w:p>
        </w:tc>
        <w:tc>
          <w:tcPr/>
          <w:p>
            <w:pPr>
              <w:pStyle w:val="Compact"/>
            </w:pPr>
          </w:p>
        </w:tc>
      </w:tr>
    </w:tbl>
    <w:bookmarkEnd w:id="146"/>
    <w:bookmarkStart w:id="147" w:name="X26fb5fe252b6642991cecfbac7b64f10c0a27e3"/>
    <w:p>
      <w:pPr>
        <w:pStyle w:val="Heading3"/>
        <w:keepNext/>
        <w:keepLines/>
      </w:pPr>
      <w:r>
        <w:rPr>
          <w:color w:val="000000"/>
          <w:lang w:val="pt-PT"/>
        </w:rPr>
        <w:t xml:space="preserve">7.2 T-BASCULE-02 — Desligamento do servidor de aplicação Sala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Campo</w:t>
            </w:r>
          </w:p>
        </w:tc>
        <w:tc>
          <w:tcPr/>
          <w:p>
            <w:pPr>
              <w:pStyle w:val="Compact"/>
            </w:pPr>
            <w:r>
              <w:rPr>
                <w:lang w:val="pt-PT"/>
              </w:rPr>
              <w:t xml:space="preserve">Valor</w:t>
            </w:r>
          </w:p>
        </w:tc>
      </w:tr>
      <w:tr>
        <w:trPr>
          <w:cantSplit/>
        </w:trPr>
        <w:tc>
          <w:tcPr/>
          <w:p>
            <w:pPr>
              <w:pStyle w:val="Compact"/>
            </w:pPr>
            <w:r>
              <w:rPr>
                <w:lang w:val="pt-PT"/>
              </w:rPr>
              <w:t xml:space="preserve">Objetivo</w:t>
            </w:r>
          </w:p>
        </w:tc>
        <w:tc>
          <w:tcPr/>
          <w:p>
            <w:pPr>
              <w:pStyle w:val="Compact"/>
            </w:pPr>
            <w:r>
              <w:rPr>
                <w:lang w:val="pt-PT"/>
              </w:rPr>
              <w:t xml:space="preserve">Verifique o comportamento em caso de perda do host do aplicativo (site principal disponível de outra forma)</w:t>
            </w:r>
          </w:p>
        </w:tc>
      </w:tr>
      <w:tr>
        <w:trPr>
          <w:cantSplit/>
        </w:trPr>
        <w:tc>
          <w:tcPr/>
          <w:p>
            <w:pPr>
              <w:pStyle w:val="Compact"/>
            </w:pPr>
            <w:r>
              <w:rPr>
                <w:lang w:val="pt-PT"/>
              </w:rPr>
              <w:t xml:space="preserve">Pré-requisitos</w:t>
            </w:r>
          </w:p>
        </w:tc>
        <w:tc>
          <w:tcPr/>
          <w:p>
            <w:pPr>
              <w:pStyle w:val="Compact"/>
            </w:pPr>
            <w:r>
              <w:rPr>
                <w:lang w:val="pt-PT"/>
              </w:rPr>
              <w:t xml:space="preserve">Pilha saudável, supervisão ativa</w:t>
            </w:r>
          </w:p>
        </w:tc>
      </w:tr>
      <w:tr>
        <w:trPr>
          <w:cantSplit/>
        </w:trPr>
        <w:tc>
          <w:tcPr/>
          <w:p>
            <w:pPr>
              <w:pStyle w:val="Compact"/>
            </w:pPr>
            <w:r>
              <w:rPr>
                <w:lang w:val="pt-PT"/>
              </w:rPr>
              <w:t xml:space="preserve">Passos</w:t>
            </w:r>
          </w:p>
        </w:tc>
        <w:tc>
          <w:tcPr/>
          <w:p>
            <w:pPr>
              <w:pStyle w:val="Compact"/>
            </w:pPr>
            <w:r>
              <w:rPr>
                <w:lang w:val="pt-PT"/>
              </w:rPr>
              <w:t xml:space="preserve">1. Pare o servidor de aplicativos Sala A. 2. Observe a detecção. 3. Reinicie o host/pilha. 4. Verifique a saúde.</w:t>
            </w:r>
          </w:p>
        </w:tc>
      </w:tr>
      <w:tr>
        <w:trPr>
          <w:cantSplit/>
        </w:trPr>
        <w:tc>
          <w:tcPr/>
          <w:p>
            <w:pPr>
              <w:pStyle w:val="Compact"/>
            </w:pPr>
            <w:r>
              <w:rPr>
                <w:lang w:val="pt-PT"/>
              </w:rPr>
              <w:t xml:space="preserve">Resultado esperado</w:t>
            </w:r>
          </w:p>
        </w:tc>
        <w:tc>
          <w:tcPr/>
          <w:p>
            <w:pPr>
              <w:pStyle w:val="Compact"/>
            </w:pPr>
            <w:r>
              <w:rPr>
                <w:lang w:val="pt-PT"/>
              </w:rPr>
              <w:t xml:space="preserve">Detecção por supervisão, recuperação após reinicialização, sem perda de dados</w:t>
            </w:r>
          </w:p>
        </w:tc>
      </w:tr>
      <w:tr>
        <w:trPr>
          <w:cantSplit/>
        </w:trPr>
        <w:tc>
          <w:tcPr/>
          <w:p>
            <w:pPr>
              <w:pStyle w:val="Compact"/>
            </w:pPr>
            <w:r>
              <w:rPr>
                <w:lang w:val="pt-PT"/>
              </w:rPr>
              <w:t xml:space="preserve">Estado</w:t>
            </w:r>
          </w:p>
        </w:tc>
        <w:tc>
          <w:tcPr/>
          <w:p>
            <w:pPr>
              <w:pStyle w:val="Compact"/>
            </w:pPr>
          </w:p>
        </w:tc>
      </w:tr>
    </w:tbl>
    <w:bookmarkEnd w:id="147"/>
    <w:bookmarkStart w:id="150" w:name="X03580bb0c30da34c418c1ca629ee58118717a90"/>
    <w:p>
      <w:pPr>
        <w:pStyle w:val="Heading3"/>
        <w:keepNext/>
        <w:keepLines/>
      </w:pPr>
      <w:r>
        <w:rPr>
          <w:color w:val="000000"/>
          <w:lang w:val="pt-PT"/>
        </w:rPr>
        <w:t xml:space="preserve">7.3 T-BASCULE-03 — Perda do Quarto A → promoção do Quarto B</w:t>
      </w:r>
    </w:p>
    <w:p>
      <w:pPr>
        <w:pStyle w:val="FirstParagraph"/>
        <w:keepNext/>
      </w:pPr>
      <w:r>
        <w:drawing>
          <wp:inline>
            <wp:extent cx="5334000" cy="1250526"/>
            <wp:effectExtent b="0" l="0" r="0" t="0"/>
            <wp:docPr descr="Chronologie de bascule" title="" id="148" name="Picture"/>
            <a:graphic>
              <a:graphicData uri="http://schemas.openxmlformats.org/drawingml/2006/picture">
                <pic:pic>
                  <pic:nvPicPr>
                    <pic:cNvPr descr="img/bascule.png" id="149"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pt-PT"/>
        </w:rPr>
        <w:t xml:space="preserve">Figura 1 — Cronograma do teste de switchover: perda do site principal (Sala A), promoção do standby (Sala B) e switchover VIP/DNS, medição do RTO (objetivo 4 horas) e do RPO (versão Visio .vsdx retornada à fase de implementação).</w:t>
      </w:r>
    </w:p>
    <w:p>
      <w:pPr>
        <w:pStyle w:val="BodyText"/>
      </w:pPr>
      <w:r>
        <w:rPr>
          <w:b/>
          <w:bCs/>
          <w:lang w:val="pt-PT"/>
        </w:rPr>
        <w:t xml:space="preserve">Versão em texto do sinóptico:</w:t>
      </w:r>
    </w:p>
    <w:p>
      <w:pPr>
        <w:pStyle w:val="SourceCode"/>
      </w:pPr>
      <w:r>
        <w:rPr>
          <w:rStyle w:val="VerbatimChar"/>
          <w:rFonts w:ascii="Courier New" w:hAnsi="Courier New" w:eastAsia="Courier New" w:cs="Courier New"/>
          <w:sz w:val="20"/>
          <w:szCs w:val="20"/>
        </w:rPr>
        <w:t xml:space="preserve">ESTADO INICIAL</w:t>
        <w:br/>
        <w:t xml:space="preserve">  SALA A app (PRIMARY) ---&gt; SALA B app (STANDBY)</w:t>
        <w:br/>
        <w:t xml:space="preserve">                       replicação</w:t>
        <w:br/>
        <w:t xml:space="preserve">  VIP -&gt; SALA A</w:t>
        <w:br/>
        <w:t xml:space="preserve">  UTILIZADORES DO CLIENTE -&gt; SALA A; SALA B: standby</w:t>
        <w:br/>
        <w:br/>
        <w:t xml:space="preserve">DURANTE O TESTE</w:t>
        <w:br/>
        <w:t xml:space="preserve">  SALA A app (desligada, OFF) ---&gt; SALA B app (PROMOVIDA PRIMARY)</w:t>
        <w:br/>
        <w:t xml:space="preserve">  VIP comuta para SALA B</w:t>
        <w:br/>
        <w:t xml:space="preserve">  UTILIZADORES DO CLIENTE -&gt; SALA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Campo</w:t>
            </w:r>
          </w:p>
        </w:tc>
        <w:tc>
          <w:tcPr/>
          <w:p>
            <w:pPr>
              <w:pStyle w:val="Compact"/>
            </w:pPr>
            <w:r>
              <w:rPr>
                <w:lang w:val="pt-PT"/>
              </w:rPr>
              <w:t xml:space="preserve">Valor</w:t>
            </w:r>
          </w:p>
        </w:tc>
      </w:tr>
      <w:tr>
        <w:trPr>
          <w:cantSplit/>
        </w:trPr>
        <w:tc>
          <w:tcPr/>
          <w:p>
            <w:pPr>
              <w:pStyle w:val="Compact"/>
            </w:pPr>
            <w:r>
              <w:rPr>
                <w:lang w:val="pt-PT"/>
              </w:rPr>
              <w:t xml:space="preserve">Objetivo</w:t>
            </w:r>
          </w:p>
        </w:tc>
        <w:tc>
          <w:tcPr/>
          <w:p>
            <w:pPr>
              <w:pStyle w:val="Compact"/>
            </w:pPr>
            <w:r>
              <w:rPr>
                <w:lang w:val="pt-PT"/>
              </w:rPr>
              <w:t xml:space="preserve">Valide a transição completa Sala A → Sala B e meça o RTO/RPO efetivo</w:t>
            </w:r>
          </w:p>
        </w:tc>
      </w:tr>
      <w:tr>
        <w:trPr>
          <w:cantSplit/>
        </w:trPr>
        <w:tc>
          <w:tcPr/>
          <w:p>
            <w:pPr>
              <w:pStyle w:val="Compact"/>
            </w:pPr>
            <w:r>
              <w:rPr>
                <w:lang w:val="pt-PT"/>
              </w:rPr>
              <w:t xml:space="preserve">Pré-requisitos</w:t>
            </w:r>
          </w:p>
        </w:tc>
        <w:tc>
          <w:tcPr/>
          <w:p>
            <w:pPr>
              <w:pStyle w:val="Compact"/>
            </w:pPr>
            <w:r>
              <w:rPr>
                <w:lang w:val="pt-PT"/>
              </w:rPr>
              <w:t xml:space="preserve">Replicação PostgreSQL estabelecida, sincronização de armazenamento ativa, procedimento de failover pronto</w:t>
            </w:r>
          </w:p>
        </w:tc>
      </w:tr>
      <w:tr>
        <w:trPr>
          <w:cantSplit/>
        </w:trPr>
        <w:tc>
          <w:tcPr/>
          <w:p>
            <w:pPr>
              <w:pStyle w:val="Compact"/>
            </w:pPr>
            <w:r>
              <w:rPr>
                <w:lang w:val="pt-PT"/>
              </w:rPr>
              <w:t xml:space="preserve">Passos</w:t>
            </w:r>
          </w:p>
        </w:tc>
        <w:tc>
          <w:tcPr/>
          <w:p>
            <w:pPr>
              <w:pStyle w:val="Compact"/>
            </w:pPr>
            <w:r>
              <w:rPr>
                <w:lang w:val="pt-PT"/>
              </w:rPr>
              <w:t xml:space="preserve">1. Observe o carimbo de data/hora T0. 2. Simule a perda da Sala A </w:t>
            </w:r>
            <w:r>
              <w:rPr>
                <w:lang w:val="pt-PT"/>
              </w:rPr>
              <w:t xml:space="preserve">(corte). </w:t>
            </w:r>
            <w:r>
              <w:rPr>
                <w:b/>
                <w:bCs/>
                <w:lang w:val="pt-PT"/>
              </w:rPr>
              <w:t xml:space="preserve">3. Promova a Sala B de espera do </w:t>
            </w:r>
            <w:r>
              <w:rPr>
                <w:lang w:val="pt-PT"/>
              </w:rPr>
              <w:t xml:space="preserve"/>
            </w:r>
            <w:r>
              <w:rPr>
                <w:lang w:val="pt-PT"/>
              </w:rPr>
              <w:t xml:space="preserve">PostgreSQL na primária. 4. Inicie a pilha da Sala B ativa. </w:t>
            </w:r>
            <w:r>
              <w:rPr>
                <w:lang w:val="pt-PT"/>
              </w:rPr>
              <w:t xml:space="preserve"/>
            </w:r>
            <w:r>
              <w:rPr>
                <w:b/>
                <w:bCs/>
                <w:lang w:val="pt-PT"/>
              </w:rPr>
              <w:t xml:space="preserve">5. Mude VIP/DNS para </w:t>
            </w:r>
            <w:r>
              <w:rPr>
                <w:lang w:val="pt-PT"/>
              </w:rPr>
              <w:t xml:space="preserve"/>
            </w:r>
            <w:r>
              <w:rPr>
                <w:lang w:val="pt-PT"/>
              </w:rPr>
              <w:t xml:space="preserve">Sala B. 6. Redirecione o servidor GPU da Sala B para API da Sala B. 7. Verifique a integridade (EXPL-03). 8. Nota T1 (serviço restaurado). 9. Verifique a última transação replicada (RPO).</w:t>
            </w:r>
          </w:p>
        </w:tc>
      </w:tr>
      <w:tr>
        <w:trPr>
          <w:cantSplit/>
        </w:trPr>
        <w:tc>
          <w:tcPr/>
          <w:p>
            <w:pPr>
              <w:pStyle w:val="Compact"/>
            </w:pPr>
            <w:r>
              <w:rPr>
                <w:lang w:val="pt-PT"/>
              </w:rPr>
              <w:t xml:space="preserve">Resultado esperado</w:t>
            </w:r>
          </w:p>
        </w:tc>
        <w:tc>
          <w:tcPr/>
          <w:p>
            <w:pPr>
              <w:pStyle w:val="Compact"/>
            </w:pPr>
            <w:r>
              <w:rPr>
                <w:lang w:val="pt-PT"/>
              </w:rPr>
              <w:t xml:space="preserve">Serviço restabelecido na Sala </w:t>
            </w:r>
            <w:r>
              <w:rPr>
                <w:lang w:val="pt-PT"/>
              </w:rPr>
              <w:t xml:space="preserve"/>
            </w:r>
            <w:r>
              <w:rPr>
                <w:b/>
                <w:bCs/>
                <w:lang w:val="pt-PT"/>
              </w:rPr>
              <w:t xml:space="preserve">B; RTO = T1−T0 </w:t>
            </w:r>
            <w:r>
              <w:rPr>
                <w:lang w:val="pt-PT"/>
              </w:rPr>
              <w:t xml:space="preserve"/>
            </w:r>
            <w:r>
              <w:rPr>
                <w:lang w:val="pt-PT"/>
              </w:rPr>
              <w:t xml:space="preserve">≤ </w:t>
            </w:r>
            <w:r>
              <w:rPr>
                <w:lang w:val="pt-PT"/>
              </w:rPr>
              <w:t xml:space="preserve"/>
            </w:r>
            <w:r>
              <w:rPr>
                <w:b/>
                <w:bCs/>
                <w:lang w:val="pt-PT"/>
              </w:rPr>
              <w:t xml:space="preserve">4 h; RPO </w:t>
            </w:r>
            <w:r>
              <w:rPr>
                <w:lang w:val="pt-PT"/>
              </w:rPr>
              <w:t xml:space="preserve">≤ </w:t>
            </w:r>
            <w:r>
              <w:rPr>
                <w:lang w:val="pt-PT"/>
              </w:rPr>
              <w:t xml:space="preserve">24 h (medir e documentar o atraso real, meta ≤ 15 min); nenhum dado inacessível além do RPO</w:t>
            </w:r>
          </w:p>
        </w:tc>
      </w:tr>
      <w:tr>
        <w:trPr>
          <w:cantSplit/>
        </w:trPr>
        <w:tc>
          <w:tcPr/>
          <w:p>
            <w:pPr>
              <w:pStyle w:val="Compact"/>
            </w:pPr>
            <w:r>
              <w:rPr>
                <w:lang w:val="pt-PT"/>
              </w:rPr>
              <w:t xml:space="preserve">Estado</w:t>
            </w:r>
          </w:p>
        </w:tc>
        <w:tc>
          <w:tcPr/>
          <w:p>
            <w:pPr>
              <w:pStyle w:val="Compact"/>
            </w:pPr>
          </w:p>
        </w:tc>
      </w:tr>
    </w:tbl>
    <w:bookmarkEnd w:id="150"/>
    <w:bookmarkStart w:id="151" w:name="X1e871408063e587df072559c7206be4451f5767"/>
    <w:p>
      <w:pPr>
        <w:pStyle w:val="Heading3"/>
        <w:keepNext/>
        <w:keepLines/>
      </w:pPr>
      <w:r>
        <w:rPr>
          <w:color w:val="000000"/>
          <w:lang w:val="pt-PT"/>
        </w:rPr>
        <w:t xml:space="preserve">7.4 T-BASCULE-04 — Regresso ao estado anterior (Sala B → Sala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Campo</w:t>
            </w:r>
          </w:p>
        </w:tc>
        <w:tc>
          <w:tcPr/>
          <w:p>
            <w:pPr>
              <w:pStyle w:val="Compact"/>
            </w:pPr>
            <w:r>
              <w:rPr>
                <w:lang w:val="pt-PT"/>
              </w:rPr>
              <w:t xml:space="preserve">Valor</w:t>
            </w:r>
          </w:p>
        </w:tc>
      </w:tr>
      <w:tr>
        <w:trPr>
          <w:cantSplit/>
        </w:trPr>
        <w:tc>
          <w:tcPr/>
          <w:p>
            <w:pPr>
              <w:pStyle w:val="Compact"/>
            </w:pPr>
            <w:r>
              <w:rPr>
                <w:lang w:val="pt-PT"/>
              </w:rPr>
              <w:t xml:space="preserve">Objetivo</w:t>
            </w:r>
          </w:p>
        </w:tc>
        <w:tc>
          <w:tcPr/>
          <w:p>
            <w:pPr>
              <w:pStyle w:val="Compact"/>
            </w:pPr>
            <w:r>
              <w:rPr>
                <w:lang w:val="pt-PT"/>
              </w:rPr>
              <w:t xml:space="preserve">Validar o retorno à Sala A após o reparo</w:t>
            </w:r>
          </w:p>
        </w:tc>
      </w:tr>
      <w:tr>
        <w:trPr>
          <w:cantSplit/>
        </w:trPr>
        <w:tc>
          <w:tcPr/>
          <w:p>
            <w:pPr>
              <w:pStyle w:val="Compact"/>
            </w:pPr>
            <w:r>
              <w:rPr>
                <w:lang w:val="pt-PT"/>
              </w:rPr>
              <w:t xml:space="preserve">Pré-requisitos</w:t>
            </w:r>
          </w:p>
        </w:tc>
        <w:tc>
          <w:tcPr/>
          <w:p>
            <w:pPr>
              <w:pStyle w:val="Compact"/>
            </w:pPr>
            <w:r>
              <w:rPr>
                <w:lang w:val="pt-PT"/>
              </w:rPr>
              <w:t xml:space="preserve">Sala A reparada, T-BASCULE-03 concluída</w:t>
            </w:r>
          </w:p>
        </w:tc>
      </w:tr>
      <w:tr>
        <w:trPr>
          <w:cantSplit/>
        </w:trPr>
        <w:tc>
          <w:tcPr/>
          <w:p>
            <w:pPr>
              <w:pStyle w:val="Compact"/>
            </w:pPr>
            <w:r>
              <w:rPr>
                <w:lang w:val="pt-PT"/>
              </w:rPr>
              <w:t xml:space="preserve">Passos</w:t>
            </w:r>
          </w:p>
        </w:tc>
        <w:tc>
          <w:tcPr/>
          <w:p>
            <w:pPr>
              <w:pStyle w:val="Compact"/>
            </w:pPr>
            <w:r>
              <w:rPr>
                <w:lang w:val="pt-PT"/>
              </w:rPr>
              <w:t xml:space="preserve">1. Reconstrua a sala A. 2. Sincronize novamente a partir da sala B (a sala A fica em espera). 3. Janela de manutenção. 4. Mude novamente para VIP → Sala A. 5. Verifique a integridade.</w:t>
            </w:r>
          </w:p>
        </w:tc>
      </w:tr>
      <w:tr>
        <w:trPr>
          <w:cantSplit/>
        </w:trPr>
        <w:tc>
          <w:tcPr/>
          <w:p>
            <w:pPr>
              <w:pStyle w:val="Compact"/>
            </w:pPr>
            <w:r>
              <w:rPr>
                <w:lang w:val="pt-PT"/>
              </w:rPr>
              <w:t xml:space="preserve">Resultado esperado</w:t>
            </w:r>
          </w:p>
        </w:tc>
        <w:tc>
          <w:tcPr/>
          <w:p>
            <w:pPr>
              <w:pStyle w:val="Compact"/>
            </w:pPr>
            <w:r>
              <w:rPr>
                <w:lang w:val="pt-PT"/>
              </w:rPr>
              <w:t xml:space="preserve">Retorno nominal para Sala A, zero RPO (ressincronização completa antes de re-comutar)</w:t>
            </w:r>
          </w:p>
        </w:tc>
      </w:tr>
      <w:tr>
        <w:trPr>
          <w:cantSplit/>
        </w:trPr>
        <w:tc>
          <w:tcPr/>
          <w:p>
            <w:pPr>
              <w:pStyle w:val="Compact"/>
            </w:pPr>
            <w:r>
              <w:rPr>
                <w:lang w:val="pt-PT"/>
              </w:rPr>
              <w:t xml:space="preserve">Estado</w:t>
            </w:r>
          </w:p>
        </w:tc>
        <w:tc>
          <w:tcPr/>
          <w:p>
            <w:pPr>
              <w:pStyle w:val="Compact"/>
            </w:pPr>
          </w:p>
        </w:tc>
      </w:tr>
    </w:tbl>
    <w:bookmarkEnd w:id="151"/>
    <w:bookmarkStart w:id="152" w:name="Xfdb76c846c81bf843a85ef816cc7a322016d01d"/>
    <w:p>
      <w:pPr>
        <w:pStyle w:val="Heading3"/>
        <w:keepNext/>
        <w:keepLines/>
      </w:pPr>
      <w:r>
        <w:rPr>
          <w:color w:val="000000"/>
          <w:lang w:val="pt-PT"/>
        </w:rPr>
        <w:t xml:space="preserve">7.5 T-BASCULE-05 — Restauração do backup</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Campo</w:t>
            </w:r>
          </w:p>
        </w:tc>
        <w:tc>
          <w:tcPr/>
          <w:p>
            <w:pPr>
              <w:pStyle w:val="Compact"/>
            </w:pPr>
            <w:r>
              <w:rPr>
                <w:lang w:val="pt-PT"/>
              </w:rPr>
              <w:t xml:space="preserve">Valor</w:t>
            </w:r>
          </w:p>
        </w:tc>
      </w:tr>
      <w:tr>
        <w:trPr>
          <w:cantSplit/>
        </w:trPr>
        <w:tc>
          <w:tcPr/>
          <w:p>
            <w:pPr>
              <w:pStyle w:val="Compact"/>
            </w:pPr>
            <w:r>
              <w:rPr>
                <w:lang w:val="pt-PT"/>
              </w:rPr>
              <w:t xml:space="preserve">Objetivo</w:t>
            </w:r>
          </w:p>
        </w:tc>
        <w:tc>
          <w:tcPr/>
          <w:p>
            <w:pPr>
              <w:pStyle w:val="Compact"/>
            </w:pPr>
            <w:r>
              <w:rPr>
                <w:lang w:val="pt-PT"/>
              </w:rPr>
              <w:t xml:space="preserve">Valide a restauração completa do backup cifrado</w:t>
            </w:r>
          </w:p>
        </w:tc>
      </w:tr>
      <w:tr>
        <w:trPr>
          <w:cantSplit/>
        </w:trPr>
        <w:tc>
          <w:tcPr/>
          <w:p>
            <w:pPr>
              <w:pStyle w:val="Compact"/>
            </w:pPr>
            <w:r>
              <w:rPr>
                <w:lang w:val="pt-PT"/>
              </w:rPr>
              <w:t xml:space="preserve">Pré-requisitos</w:t>
            </w:r>
          </w:p>
        </w:tc>
        <w:tc>
          <w:tcPr/>
          <w:p>
            <w:pPr>
              <w:pStyle w:val="Compact"/>
            </w:pPr>
            <w:r>
              <w:rPr>
                <w:lang w:val="pt-PT"/>
              </w:rPr>
              <w:t xml:space="preserve">Cópia de segurança cifrada </w:t>
            </w:r>
            <w:r>
              <w:rPr>
                <w:lang w:val="pt-PT"/>
              </w:rPr>
              <w:t xml:space="preserve">com </w:t>
            </w:r>
            <w:r>
              <w:rPr>
                <w:rStyle w:val="VerbatimChar"/>
                <w:lang w:val="pt-PT"/>
              </w:rPr>
              <w:t xml:space="preserve">age</w:t>
            </w:r>
            <w:r>
              <w:rPr>
                <w:lang w:val="pt-PT"/>
              </w:rPr>
              <w:t xml:space="preserve"> </w:t>
            </w:r>
            <w:r>
              <w:rPr>
                <w:lang w:val="pt-PT"/>
              </w:rPr>
              <w:t xml:space="preserve">disponível, chave privada do Cliente</w:t>
            </w:r>
          </w:p>
        </w:tc>
      </w:tr>
      <w:tr>
        <w:trPr>
          <w:cantSplit/>
        </w:trPr>
        <w:tc>
          <w:tcPr/>
          <w:p>
            <w:pPr>
              <w:pStyle w:val="Compact"/>
            </w:pPr>
            <w:r>
              <w:rPr>
                <w:lang w:val="pt-PT"/>
              </w:rPr>
              <w:t xml:space="preserve">Passos</w:t>
            </w:r>
          </w:p>
        </w:tc>
        <w:tc>
          <w:tcPr/>
          <w:p>
            <w:pPr>
              <w:pStyle w:val="Compact"/>
            </w:pPr>
            <w:r>
              <w:rPr>
                <w:lang w:val="pt-PT"/>
              </w:rPr>
              <w:t xml:space="preserve">1. Em uma plataforma substituta, descriptografe o backup. 2. Instantâneo de segurança. 3. Restaurar. 4. Verifique a integridade (EXPL-03).</w:t>
            </w:r>
          </w:p>
        </w:tc>
      </w:tr>
      <w:tr>
        <w:trPr>
          <w:cantSplit/>
        </w:trPr>
        <w:tc>
          <w:tcPr/>
          <w:p>
            <w:pPr>
              <w:pStyle w:val="Compact"/>
            </w:pPr>
            <w:r>
              <w:rPr>
                <w:lang w:val="pt-PT"/>
              </w:rPr>
              <w:t xml:space="preserve">Resultado esperado</w:t>
            </w:r>
          </w:p>
        </w:tc>
        <w:tc>
          <w:tcPr/>
          <w:p>
            <w:pPr>
              <w:pStyle w:val="Compact"/>
            </w:pPr>
            <w:r>
              <w:rPr>
                <w:lang w:val="pt-PT"/>
              </w:rPr>
              <w:t xml:space="preserve">Restauração bem-sucedida, os dados estão em conformidade com o último backup (RPO ≤ 24 h)</w:t>
            </w:r>
          </w:p>
        </w:tc>
      </w:tr>
      <w:tr>
        <w:trPr>
          <w:cantSplit/>
        </w:trPr>
        <w:tc>
          <w:tcPr/>
          <w:p>
            <w:pPr>
              <w:pStyle w:val="Compact"/>
            </w:pPr>
            <w:r>
              <w:rPr>
                <w:lang w:val="pt-PT"/>
              </w:rPr>
              <w:t xml:space="preserve">Estado</w:t>
            </w:r>
          </w:p>
        </w:tc>
        <w:tc>
          <w:tcPr/>
          <w:p>
            <w:pPr>
              <w:pStyle w:val="Compact"/>
            </w:pPr>
          </w:p>
        </w:tc>
      </w:tr>
    </w:tbl>
    <w:bookmarkEnd w:id="152"/>
    <w:bookmarkStart w:id="153" w:name="X244a0c6fa184aa3091bdad7078bc054fd42afd5"/>
    <w:p>
      <w:pPr>
        <w:pStyle w:val="Heading3"/>
        <w:keepNext/>
        <w:keepLines/>
      </w:pPr>
      <w:r>
        <w:rPr>
          <w:color w:val="000000"/>
          <w:lang w:val="pt-PT"/>
        </w:rPr>
        <w:t xml:space="preserve">7.6 T-BASCULE-06 — Restauração granular de uma organização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Campo</w:t>
            </w:r>
          </w:p>
        </w:tc>
        <w:tc>
          <w:tcPr/>
          <w:p>
            <w:pPr>
              <w:pStyle w:val="Compact"/>
            </w:pPr>
            <w:r>
              <w:rPr>
                <w:lang w:val="pt-PT"/>
              </w:rPr>
              <w:t xml:space="preserve">Valor</w:t>
            </w:r>
          </w:p>
        </w:tc>
      </w:tr>
      <w:tr>
        <w:trPr>
          <w:cantSplit/>
        </w:trPr>
        <w:tc>
          <w:tcPr/>
          <w:p>
            <w:pPr>
              <w:pStyle w:val="Compact"/>
            </w:pPr>
            <w:r>
              <w:rPr>
                <w:lang w:val="pt-PT"/>
              </w:rPr>
              <w:t xml:space="preserve">Objetivo</w:t>
            </w:r>
          </w:p>
        </w:tc>
        <w:tc>
          <w:tcPr/>
          <w:p>
            <w:pPr>
              <w:pStyle w:val="Compact"/>
            </w:pPr>
            <w:r>
              <w:rPr>
                <w:lang w:val="pt-PT"/>
              </w:rPr>
              <w:t xml:space="preserve">Valide a restauração de uma única organização sem impactar outras</w:t>
            </w:r>
          </w:p>
        </w:tc>
      </w:tr>
      <w:tr>
        <w:trPr>
          <w:cantSplit/>
        </w:trPr>
        <w:tc>
          <w:tcPr/>
          <w:p>
            <w:pPr>
              <w:pStyle w:val="Compact"/>
            </w:pPr>
            <w:r>
              <w:rPr>
                <w:lang w:val="pt-PT"/>
              </w:rPr>
              <w:t xml:space="preserve">Pré-requisitos</w:t>
            </w:r>
          </w:p>
        </w:tc>
        <w:tc>
          <w:tcPr/>
          <w:p>
            <w:pPr>
              <w:pStyle w:val="Compact"/>
            </w:pPr>
            <w:r>
              <w:rPr>
                <w:lang w:val="pt-PT"/>
              </w:rPr>
              <w:t xml:space="preserve">Backup disponível, ORG-A e ORG-B em produção</w:t>
            </w:r>
          </w:p>
        </w:tc>
      </w:tr>
      <w:tr>
        <w:trPr>
          <w:cantSplit/>
        </w:trPr>
        <w:tc>
          <w:tcPr/>
          <w:p>
            <w:pPr>
              <w:pStyle w:val="Compact"/>
            </w:pPr>
            <w:r>
              <w:rPr>
                <w:lang w:val="pt-PT"/>
              </w:rPr>
              <w:t xml:space="preserve">Passos</w:t>
            </w:r>
          </w:p>
        </w:tc>
        <w:tc>
          <w:tcPr/>
          <w:p>
            <w:pPr>
              <w:pStyle w:val="Compact"/>
            </w:pPr>
            <w:r>
              <w:rPr>
                <w:lang w:val="pt-PT"/>
              </w:rPr>
              <w:t xml:space="preserve">1. Simule corrupção na ORG-A. 2. Instantâneo de segurança. 3. Restaure </w:t>
            </w:r>
            <w:r>
              <w:rPr>
                <w:lang w:val="pt-PT"/>
              </w:rPr>
              <w:t xml:space="preserve"/>
            </w:r>
            <w:r>
              <w:rPr>
                <w:b/>
                <w:bCs/>
                <w:lang w:val="pt-PT"/>
              </w:rPr>
              <w:t xml:space="preserve">apenas o </w:t>
            </w:r>
            <w:r>
              <w:rPr>
                <w:lang w:val="pt-PT"/>
              </w:rPr>
              <w:t xml:space="preserve"/>
            </w:r>
            <w:r>
              <w:rPr>
                <w:lang w:val="pt-PT"/>
              </w:rPr>
              <w:t xml:space="preserve">esquema ORG-A. 4. Verifique ORG-A restaurado e ORG-B intacto.</w:t>
            </w:r>
          </w:p>
        </w:tc>
      </w:tr>
      <w:tr>
        <w:trPr>
          <w:cantSplit/>
        </w:trPr>
        <w:tc>
          <w:tcPr/>
          <w:p>
            <w:pPr>
              <w:pStyle w:val="Compact"/>
            </w:pPr>
            <w:r>
              <w:rPr>
                <w:lang w:val="pt-PT"/>
              </w:rPr>
              <w:t xml:space="preserve">Resultado esperado</w:t>
            </w:r>
          </w:p>
        </w:tc>
        <w:tc>
          <w:tcPr/>
          <w:p>
            <w:pPr>
              <w:pStyle w:val="Compact"/>
            </w:pPr>
            <w:r>
              <w:rPr>
                <w:lang w:val="pt-PT"/>
              </w:rPr>
              <w:t xml:space="preserve">ORG-A restaurado, ORG-B </w:t>
            </w:r>
            <w:r>
              <w:rPr>
                <w:lang w:val="pt-PT"/>
              </w:rPr>
              <w:t xml:space="preserve"/>
            </w:r>
            <w:r>
              <w:rPr>
                <w:b/>
                <w:bCs/>
                <w:lang w:val="pt-PT"/>
              </w:rPr>
              <w:t xml:space="preserve">não afetado; </w:t>
            </w:r>
            <w:r>
              <w:rPr>
                <w:lang w:val="pt-PT"/>
              </w:rPr>
              <w:t xml:space="preserve"/>
            </w:r>
            <w:r>
              <w:rPr>
                <w:lang w:val="pt-PT"/>
              </w:rPr>
              <w:t xml:space="preserve">perímetro limitado respeitado</w:t>
            </w:r>
          </w:p>
        </w:tc>
      </w:tr>
      <w:tr>
        <w:trPr>
          <w:cantSplit/>
        </w:trPr>
        <w:tc>
          <w:tcPr/>
          <w:p>
            <w:pPr>
              <w:pStyle w:val="Compact"/>
            </w:pPr>
            <w:r>
              <w:rPr>
                <w:lang w:val="pt-PT"/>
              </w:rPr>
              <w:t xml:space="preserve">Estado</w:t>
            </w:r>
          </w:p>
        </w:tc>
        <w:tc>
          <w:tcPr/>
          <w:p>
            <w:pPr>
              <w:pStyle w:val="Compact"/>
            </w:pPr>
          </w:p>
        </w:tc>
      </w:tr>
    </w:tbl>
    <w:p>
      <w:r>
        <w:pict>
          <v:rect style="width:0;height:1.5pt" o:hralign="center" o:hrstd="t" o:hr="t"/>
        </w:pict>
      </w:r>
    </w:p>
    <w:bookmarkEnd w:id="153"/>
    <w:bookmarkEnd w:id="154"/>
    <w:bookmarkStart w:id="155" w:name="X4aabe432a4800a728af2af41b59b4b2265cb040"/>
    <w:p>
      <w:pPr>
        <w:pStyle w:val="Heading2"/>
        <w:keepNext/>
        <w:keepLines/>
      </w:pPr>
      <w:r>
        <w:rPr>
          <w:color w:val="000000"/>
          <w:lang w:val="pt-PT"/>
        </w:rPr>
        <w:t xml:space="preserve">8. Testes operacionais (T-EXPL)</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pt-PT"/>
              </w:rPr>
              <w:t xml:space="preserve">ID</w:t>
            </w:r>
          </w:p>
        </w:tc>
        <w:tc>
          <w:tcPr>
            <w:tcW w:type="dxa" w:w="1560"/>
            <w:tcMar>
              <w:left w:type="dxa" w:w="80"/>
              <w:right w:type="dxa" w:w="80"/>
            </w:tcMar>
          </w:tcPr>
          <w:p>
            <w:pPr>
              <w:pStyle w:val="Compact"/>
            </w:pPr>
            <w:r>
              <w:rPr>
                <w:sz w:val="19"/>
                <w:szCs w:val="19"/>
                <w:lang w:val="pt-PT"/>
              </w:rPr>
              <w:t xml:space="preserve">Objetivo</w:t>
            </w:r>
          </w:p>
        </w:tc>
        <w:tc>
          <w:tcPr>
            <w:tcW w:type="dxa" w:w="1560"/>
            <w:tcMar>
              <w:left w:type="dxa" w:w="80"/>
              <w:right w:type="dxa" w:w="80"/>
            </w:tcMar>
          </w:tcPr>
          <w:p>
            <w:pPr>
              <w:pStyle w:val="Compact"/>
            </w:pPr>
            <w:r>
              <w:rPr>
                <w:sz w:val="19"/>
                <w:szCs w:val="19"/>
                <w:lang w:val="pt-PT"/>
              </w:rPr>
              <w:t xml:space="preserve">Pré-requisitos</w:t>
            </w:r>
          </w:p>
        </w:tc>
        <w:tc>
          <w:tcPr>
            <w:tcW w:type="dxa" w:w="1560"/>
            <w:tcMar>
              <w:left w:type="dxa" w:w="80"/>
              <w:right w:type="dxa" w:w="80"/>
            </w:tcMar>
          </w:tcPr>
          <w:p>
            <w:pPr>
              <w:pStyle w:val="Compact"/>
            </w:pPr>
            <w:r>
              <w:rPr>
                <w:sz w:val="19"/>
                <w:szCs w:val="19"/>
                <w:lang w:val="pt-PT"/>
              </w:rPr>
              <w:t xml:space="preserve">Passos</w:t>
            </w:r>
          </w:p>
        </w:tc>
        <w:tc>
          <w:tcPr>
            <w:tcW w:type="dxa" w:w="1560"/>
            <w:tcMar>
              <w:left w:type="dxa" w:w="80"/>
              <w:right w:type="dxa" w:w="80"/>
            </w:tcMar>
          </w:tcPr>
          <w:p>
            <w:pPr>
              <w:pStyle w:val="Compact"/>
            </w:pPr>
            <w:r>
              <w:rPr>
                <w:sz w:val="19"/>
                <w:szCs w:val="19"/>
                <w:lang w:val="pt-PT"/>
              </w:rPr>
              <w:t xml:space="preserve">Resultado esperado</w:t>
            </w:r>
          </w:p>
        </w:tc>
        <w:tc>
          <w:tcPr>
            <w:tcW w:type="dxa" w:w="1560"/>
            <w:tcMar>
              <w:left w:type="dxa" w:w="80"/>
              <w:right w:type="dxa" w:w="80"/>
            </w:tcMar>
          </w:tcPr>
          <w:p>
            <w:pPr>
              <w:pStyle w:val="Compact"/>
            </w:pPr>
            <w:r>
              <w:rPr>
                <w:sz w:val="19"/>
                <w:szCs w:val="19"/>
                <w:lang w:val="pt-PT"/>
              </w:rPr>
              <w:t xml:space="preserve">Estado</w:t>
            </w:r>
          </w:p>
        </w:tc>
      </w:tr>
      <w:tr>
        <w:trPr>
          <w:cantSplit/>
        </w:trPr>
        <w:tc>
          <w:tcPr>
            <w:tcW w:type="dxa" w:w="1560"/>
            <w:tcMar>
              <w:left w:type="dxa" w:w="80"/>
              <w:right w:type="dxa" w:w="80"/>
            </w:tcMar>
          </w:tcPr>
          <w:p>
            <w:pPr>
              <w:pStyle w:val="Compact"/>
            </w:pPr>
            <w:r>
              <w:rPr>
                <w:sz w:val="19"/>
                <w:szCs w:val="19"/>
                <w:lang w:val="pt-PT"/>
              </w:rPr>
              <w:t xml:space="preserve">T-EXPL-01</w:t>
            </w:r>
          </w:p>
        </w:tc>
        <w:tc>
          <w:tcPr>
            <w:tcW w:type="dxa" w:w="1560"/>
            <w:tcMar>
              <w:left w:type="dxa" w:w="80"/>
              <w:right w:type="dxa" w:w="80"/>
            </w:tcMar>
          </w:tcPr>
          <w:p>
            <w:pPr>
              <w:pStyle w:val="Compact"/>
            </w:pPr>
            <w:r>
              <w:rPr>
                <w:sz w:val="19"/>
                <w:szCs w:val="19"/>
                <w:lang w:val="pt-PT"/>
              </w:rPr>
              <w:t xml:space="preserve">Backup de configuração</w:t>
            </w:r>
          </w:p>
        </w:tc>
        <w:tc>
          <w:tcPr>
            <w:tcW w:type="dxa" w:w="1560"/>
            <w:tcMar>
              <w:left w:type="dxa" w:w="80"/>
              <w:right w:type="dxa" w:w="80"/>
            </w:tcMar>
          </w:tcPr>
          <w:p>
            <w:pPr>
              <w:pStyle w:val="Compact"/>
            </w:pPr>
            <w:r>
              <w:rPr>
                <w:sz w:val="19"/>
                <w:szCs w:val="19"/>
                <w:lang w:val="pt-PT"/>
              </w:rPr>
              <w:t xml:space="preserve">Empilhe no lugar</w:t>
            </w:r>
          </w:p>
        </w:tc>
        <w:tc>
          <w:tcPr>
            <w:tcW w:type="dxa" w:w="1560"/>
            <w:tcMar>
              <w:left w:type="dxa" w:w="80"/>
              <w:right w:type="dxa" w:w="80"/>
            </w:tcMar>
          </w:tcPr>
          <w:p>
            <w:pPr>
              <w:pStyle w:val="Compact"/>
            </w:pPr>
            <w:r>
              <w:rPr>
                <w:sz w:val="19"/>
                <w:szCs w:val="19"/>
                <w:lang w:val="pt-PT"/>
              </w:rPr>
              <w:t xml:space="preserve">1. Faça backup dos ficheiros de configuração cifrados (EXPL-07). 2. Restaure para um ambiente de amostra.</w:t>
            </w:r>
          </w:p>
        </w:tc>
        <w:tc>
          <w:tcPr>
            <w:tcW w:type="dxa" w:w="1560"/>
            <w:tcMar>
              <w:left w:type="dxa" w:w="80"/>
              <w:right w:type="dxa" w:w="80"/>
            </w:tcMar>
          </w:tcPr>
          <w:p>
            <w:pPr>
              <w:pStyle w:val="Compact"/>
            </w:pPr>
            <w:r>
              <w:rPr>
                <w:sz w:val="19"/>
                <w:szCs w:val="19"/>
                <w:lang w:val="pt-PT"/>
              </w:rPr>
              <w:t xml:space="preserve">Configuração restaurada de forma idêntica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T-EXPL-02</w:t>
            </w:r>
          </w:p>
        </w:tc>
        <w:tc>
          <w:tcPr>
            <w:tcW w:type="dxa" w:w="1560"/>
            <w:tcMar>
              <w:left w:type="dxa" w:w="80"/>
              <w:right w:type="dxa" w:w="80"/>
            </w:tcMar>
          </w:tcPr>
          <w:p>
            <w:pPr>
              <w:pStyle w:val="Compact"/>
            </w:pPr>
            <w:r>
              <w:rPr>
                <w:sz w:val="19"/>
                <w:szCs w:val="19"/>
                <w:lang w:val="pt-PT"/>
              </w:rPr>
              <w:t xml:space="preserve">Backup de dados</w:t>
            </w:r>
          </w:p>
        </w:tc>
        <w:tc>
          <w:tcPr>
            <w:tcW w:type="dxa" w:w="1560"/>
            <w:tcMar>
              <w:left w:type="dxa" w:w="80"/>
              <w:right w:type="dxa" w:w="80"/>
            </w:tcMar>
          </w:tcPr>
          <w:p>
            <w:pPr>
              <w:pStyle w:val="Compact"/>
            </w:pPr>
            <w:r>
              <w:rPr>
                <w:sz w:val="19"/>
                <w:szCs w:val="19"/>
                <w:lang w:val="pt-PT"/>
              </w:rPr>
              <w:t xml:space="preserve">—</w:t>
            </w:r>
          </w:p>
        </w:tc>
        <w:tc>
          <w:tcPr>
            <w:tcW w:type="dxa" w:w="1560"/>
            <w:tcMar>
              <w:left w:type="dxa" w:w="80"/>
              <w:right w:type="dxa" w:w="80"/>
            </w:tcMar>
          </w:tcPr>
          <w:p>
            <w:pPr>
              <w:pStyle w:val="Compact"/>
            </w:pPr>
            <w:r>
              <w:rPr>
                <w:sz w:val="19"/>
                <w:szCs w:val="19"/>
                <w:lang w:val="pt-PT"/>
              </w:rPr>
              <w:t xml:space="preserve">1. Inicie o backup cifrado (EXPL-08).</w:t>
            </w:r>
          </w:p>
        </w:tc>
        <w:tc>
          <w:tcPr>
            <w:tcW w:type="dxa" w:w="1560"/>
            <w:tcMar>
              <w:left w:type="dxa" w:w="80"/>
              <w:right w:type="dxa" w:w="80"/>
            </w:tcMar>
          </w:tcPr>
          <w:p>
            <w:pPr>
              <w:pStyle w:val="Compact"/>
            </w:pPr>
            <w:r>
              <w:rPr>
                <w:sz w:val="19"/>
                <w:szCs w:val="19"/>
                <w:lang w:val="pt-PT"/>
              </w:rPr>
              <w:t xml:space="preserve">Arquivo cifrado com </w:t>
            </w:r>
            <w:r>
              <w:rPr>
                <w:sz w:val="19"/>
                <w:szCs w:val="19"/>
                <w:lang w:val="pt-PT"/>
              </w:rPr>
              <w:t xml:space="preserve"/>
            </w:r>
            <w:r>
              <w:rPr>
                <w:rStyle w:val="VerbatimChar"/>
                <w:sz w:val="19"/>
                <w:szCs w:val="19"/>
                <w:lang w:val="pt-PT"/>
              </w:rPr>
              <w:t xml:space="preserve">age</w:t>
            </w:r>
            <w:r>
              <w:rPr>
                <w:sz w:val="19"/>
                <w:szCs w:val="19"/>
                <w:lang w:val="pt-PT"/>
              </w:rPr>
              <w:t xml:space="preserve"> </w:t>
            </w:r>
            <w:r>
              <w:rPr>
                <w:sz w:val="19"/>
                <w:szCs w:val="19"/>
                <w:lang w:val="pt-PT"/>
              </w:rPr>
              <w:t xml:space="preserve">produzido, conservação conforme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T-EXPL-03</w:t>
            </w:r>
          </w:p>
        </w:tc>
        <w:tc>
          <w:tcPr>
            <w:tcW w:type="dxa" w:w="1560"/>
            <w:tcMar>
              <w:left w:type="dxa" w:w="80"/>
              <w:right w:type="dxa" w:w="80"/>
            </w:tcMar>
          </w:tcPr>
          <w:p>
            <w:pPr>
              <w:pStyle w:val="Compact"/>
            </w:pPr>
            <w:r>
              <w:rPr>
                <w:sz w:val="19"/>
                <w:szCs w:val="19"/>
                <w:lang w:val="pt-PT"/>
              </w:rPr>
              <w:t xml:space="preserve">Atualização do aplicativo</w:t>
            </w:r>
          </w:p>
        </w:tc>
        <w:tc>
          <w:tcPr>
            <w:tcW w:type="dxa" w:w="1560"/>
            <w:tcMar>
              <w:left w:type="dxa" w:w="80"/>
              <w:right w:type="dxa" w:w="80"/>
            </w:tcMar>
          </w:tcPr>
          <w:p>
            <w:pPr>
              <w:pStyle w:val="Compact"/>
            </w:pPr>
            <w:r>
              <w:rPr>
                <w:sz w:val="19"/>
                <w:szCs w:val="19"/>
                <w:lang w:val="pt-PT"/>
              </w:rPr>
              <w:t xml:space="preserve">Nova etiqueta disponível</w:t>
            </w:r>
          </w:p>
        </w:tc>
        <w:tc>
          <w:tcPr>
            <w:tcW w:type="dxa" w:w="1560"/>
            <w:tcMar>
              <w:left w:type="dxa" w:w="80"/>
              <w:right w:type="dxa" w:w="80"/>
            </w:tcMar>
          </w:tcPr>
          <w:p>
            <w:pPr>
              <w:pStyle w:val="Compact"/>
            </w:pPr>
            <w:r>
              <w:rPr>
                <w:sz w:val="19"/>
                <w:szCs w:val="19"/>
                <w:lang w:val="pt-PT"/>
              </w:rPr>
              <w:t xml:space="preserve">1. Implementar a nova versão (EXPL-10), migrações, reinício de app+nginx.</w:t>
            </w:r>
          </w:p>
        </w:tc>
        <w:tc>
          <w:tcPr>
            <w:tcW w:type="dxa" w:w="1560"/>
            <w:tcMar>
              <w:left w:type="dxa" w:w="80"/>
              <w:right w:type="dxa" w:w="80"/>
            </w:tcMar>
          </w:tcPr>
          <w:p>
            <w:pPr>
              <w:pStyle w:val="Compact"/>
            </w:pPr>
            <w:r>
              <w:rPr>
                <w:sz w:val="19"/>
                <w:szCs w:val="19"/>
                <w:lang w:val="pt-PT"/>
              </w:rPr>
              <w:t xml:space="preserve">Versão implantada, integridade OK, não 502</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T-EXPL-04</w:t>
            </w:r>
          </w:p>
        </w:tc>
        <w:tc>
          <w:tcPr>
            <w:tcW w:type="dxa" w:w="1560"/>
            <w:tcMar>
              <w:left w:type="dxa" w:w="80"/>
              <w:right w:type="dxa" w:w="80"/>
            </w:tcMar>
          </w:tcPr>
          <w:p>
            <w:pPr>
              <w:pStyle w:val="Compact"/>
            </w:pPr>
            <w:r>
              <w:rPr>
                <w:sz w:val="19"/>
                <w:szCs w:val="19"/>
                <w:lang w:val="pt-PT"/>
              </w:rPr>
              <w:t xml:space="preserve">Reverter</w:t>
            </w:r>
          </w:p>
        </w:tc>
        <w:tc>
          <w:tcPr>
            <w:tcW w:type="dxa" w:w="1560"/>
            <w:tcMar>
              <w:left w:type="dxa" w:w="80"/>
              <w:right w:type="dxa" w:w="80"/>
            </w:tcMar>
          </w:tcPr>
          <w:p>
            <w:pPr>
              <w:pStyle w:val="Compact"/>
            </w:pPr>
            <w:r>
              <w:rPr>
                <w:sz w:val="19"/>
                <w:szCs w:val="19"/>
                <w:lang w:val="pt-PT"/>
              </w:rPr>
              <w:t xml:space="preserve">T-EXPL-03</w:t>
            </w:r>
          </w:p>
        </w:tc>
        <w:tc>
          <w:tcPr>
            <w:tcW w:type="dxa" w:w="1560"/>
            <w:tcMar>
              <w:left w:type="dxa" w:w="80"/>
              <w:right w:type="dxa" w:w="80"/>
            </w:tcMar>
          </w:tcPr>
          <w:p>
            <w:pPr>
              <w:pStyle w:val="Compact"/>
            </w:pPr>
            <w:r>
              <w:rPr>
                <w:sz w:val="19"/>
                <w:szCs w:val="19"/>
                <w:lang w:val="pt-PT"/>
              </w:rPr>
              <w:t xml:space="preserve">1. Retorne à tag anterior.</w:t>
            </w:r>
          </w:p>
        </w:tc>
        <w:tc>
          <w:tcPr>
            <w:tcW w:type="dxa" w:w="1560"/>
            <w:tcMar>
              <w:left w:type="dxa" w:w="80"/>
              <w:right w:type="dxa" w:w="80"/>
            </w:tcMar>
          </w:tcPr>
          <w:p>
            <w:pPr>
              <w:pStyle w:val="Compact"/>
            </w:pPr>
            <w:r>
              <w:rPr>
                <w:sz w:val="19"/>
                <w:szCs w:val="19"/>
                <w:lang w:val="pt-PT"/>
              </w:rPr>
              <w:t xml:space="preserve">Versão anterior restaurada, serviço operacional</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T-EXPL-05</w:t>
            </w:r>
          </w:p>
        </w:tc>
        <w:tc>
          <w:tcPr>
            <w:tcW w:type="dxa" w:w="1560"/>
            <w:tcMar>
              <w:left w:type="dxa" w:w="80"/>
              <w:right w:type="dxa" w:w="80"/>
            </w:tcMar>
          </w:tcPr>
          <w:p>
            <w:pPr>
              <w:pStyle w:val="Compact"/>
            </w:pPr>
            <w:r>
              <w:rPr>
                <w:sz w:val="19"/>
                <w:szCs w:val="19"/>
                <w:lang w:val="pt-PT"/>
              </w:rPr>
              <w:t xml:space="preserve">Supervisão/alerta</w:t>
            </w:r>
          </w:p>
        </w:tc>
        <w:tc>
          <w:tcPr>
            <w:tcW w:type="dxa" w:w="1560"/>
            <w:tcMar>
              <w:left w:type="dxa" w:w="80"/>
              <w:right w:type="dxa" w:w="80"/>
            </w:tcMar>
          </w:tcPr>
          <w:p>
            <w:pPr>
              <w:pStyle w:val="Compact"/>
            </w:pPr>
            <w:r>
              <w:rPr>
                <w:sz w:val="19"/>
                <w:szCs w:val="19"/>
                <w:lang w:val="pt-PT"/>
              </w:rPr>
              <w:t xml:space="preserve">Supervisão ativa</w:t>
            </w:r>
          </w:p>
        </w:tc>
        <w:tc>
          <w:tcPr>
            <w:tcW w:type="dxa" w:w="1560"/>
            <w:tcMar>
              <w:left w:type="dxa" w:w="80"/>
              <w:right w:type="dxa" w:w="80"/>
            </w:tcMar>
          </w:tcPr>
          <w:p>
            <w:pPr>
              <w:pStyle w:val="Compact"/>
            </w:pPr>
            <w:r>
              <w:rPr>
                <w:sz w:val="19"/>
                <w:szCs w:val="19"/>
                <w:lang w:val="pt-PT"/>
              </w:rPr>
              <w:t xml:space="preserve">1. Causar uma condição de alerta (por exemplo, simulação de enchimento do disco).</w:t>
            </w:r>
          </w:p>
        </w:tc>
        <w:tc>
          <w:tcPr>
            <w:tcW w:type="dxa" w:w="1560"/>
            <w:tcMar>
              <w:left w:type="dxa" w:w="80"/>
              <w:right w:type="dxa" w:w="80"/>
            </w:tcMar>
          </w:tcPr>
          <w:p>
            <w:pPr>
              <w:pStyle w:val="Compact"/>
            </w:pPr>
            <w:r>
              <w:rPr>
                <w:sz w:val="19"/>
                <w:szCs w:val="19"/>
                <w:lang w:val="pt-PT"/>
              </w:rPr>
              <w:t xml:space="preserve">Alerta gerado no canal interno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T-EXPL-06</w:t>
            </w:r>
          </w:p>
        </w:tc>
        <w:tc>
          <w:tcPr>
            <w:tcW w:type="dxa" w:w="1560"/>
            <w:tcMar>
              <w:left w:type="dxa" w:w="80"/>
              <w:right w:type="dxa" w:w="80"/>
            </w:tcMar>
          </w:tcPr>
          <w:p>
            <w:pPr>
              <w:pStyle w:val="Compact"/>
            </w:pPr>
            <w:r>
              <w:rPr>
                <w:sz w:val="19"/>
                <w:szCs w:val="19"/>
                <w:lang w:val="pt-PT"/>
              </w:rPr>
              <w:t xml:space="preserve">Assinaturas antivírus offline</w:t>
            </w:r>
          </w:p>
        </w:tc>
        <w:tc>
          <w:tcPr>
            <w:tcW w:type="dxa" w:w="1560"/>
            <w:tcMar>
              <w:left w:type="dxa" w:w="80"/>
              <w:right w:type="dxa" w:w="80"/>
            </w:tcMar>
          </w:tcPr>
          <w:p>
            <w:pPr>
              <w:pStyle w:val="Compact"/>
            </w:pPr>
            <w:r>
              <w:rPr>
                <w:sz w:val="19"/>
                <w:szCs w:val="19"/>
                <w:lang w:val="pt-PT"/>
              </w:rPr>
              <w:t xml:space="preserve">Variante isolada</w:t>
            </w:r>
          </w:p>
        </w:tc>
        <w:tc>
          <w:tcPr>
            <w:tcW w:type="dxa" w:w="1560"/>
            <w:tcMar>
              <w:left w:type="dxa" w:w="80"/>
              <w:right w:type="dxa" w:w="80"/>
            </w:tcMar>
          </w:tcPr>
          <w:p>
            <w:pPr>
              <w:pStyle w:val="Compact"/>
            </w:pPr>
            <w:r>
              <w:rPr>
                <w:sz w:val="19"/>
                <w:szCs w:val="19"/>
                <w:lang w:val="pt-PT"/>
              </w:rPr>
              <w:t xml:space="preserve">1. Efetuar a atualização de freshclam sem ligação à Internet (EXPL-13).</w:t>
            </w:r>
          </w:p>
        </w:tc>
        <w:tc>
          <w:tcPr>
            <w:tcW w:type="dxa" w:w="1560"/>
            <w:tcMar>
              <w:left w:type="dxa" w:w="80"/>
              <w:right w:type="dxa" w:w="80"/>
            </w:tcMar>
          </w:tcPr>
          <w:p>
            <w:pPr>
              <w:pStyle w:val="Compact"/>
            </w:pPr>
            <w:r>
              <w:rPr>
                <w:sz w:val="19"/>
                <w:szCs w:val="19"/>
                <w:lang w:val="pt-PT"/>
              </w:rPr>
              <w:t xml:space="preserve">Assinaturas atualizadas sem feed da internet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pt-PT"/>
              </w:rPr>
              <w:t xml:space="preserve">T-EXPL-07</w:t>
            </w:r>
          </w:p>
        </w:tc>
        <w:tc>
          <w:tcPr>
            <w:tcW w:type="dxa" w:w="1560"/>
            <w:tcMar>
              <w:left w:type="dxa" w:w="80"/>
              <w:right w:type="dxa" w:w="80"/>
            </w:tcMar>
          </w:tcPr>
          <w:p>
            <w:pPr>
              <w:pStyle w:val="Compact"/>
            </w:pPr>
            <w:r>
              <w:rPr>
                <w:sz w:val="19"/>
                <w:szCs w:val="19"/>
                <w:lang w:val="pt-PT"/>
              </w:rPr>
              <w:t xml:space="preserve">Renovação do certificado TLS</w:t>
            </w:r>
          </w:p>
        </w:tc>
        <w:tc>
          <w:tcPr>
            <w:tcW w:type="dxa" w:w="1560"/>
            <w:tcMar>
              <w:left w:type="dxa" w:w="80"/>
              <w:right w:type="dxa" w:w="80"/>
            </w:tcMar>
          </w:tcPr>
          <w:p>
            <w:pPr>
              <w:pStyle w:val="Compact"/>
            </w:pPr>
            <w:r>
              <w:rPr>
                <w:sz w:val="19"/>
                <w:szCs w:val="19"/>
                <w:lang w:val="pt-PT"/>
              </w:rPr>
              <w:t xml:space="preserve">PKI interna</w:t>
            </w:r>
          </w:p>
        </w:tc>
        <w:tc>
          <w:tcPr>
            <w:tcW w:type="dxa" w:w="1560"/>
            <w:tcMar>
              <w:left w:type="dxa" w:w="80"/>
              <w:right w:type="dxa" w:w="80"/>
            </w:tcMar>
          </w:tcPr>
          <w:p>
            <w:pPr>
              <w:pStyle w:val="Compact"/>
            </w:pPr>
            <w:r>
              <w:rPr>
                <w:sz w:val="19"/>
                <w:szCs w:val="19"/>
                <w:lang w:val="pt-PT"/>
              </w:rPr>
              <w:t xml:space="preserve">1. Renove o certificado (EXPL-11).</w:t>
            </w:r>
          </w:p>
        </w:tc>
        <w:tc>
          <w:tcPr>
            <w:tcW w:type="dxa" w:w="1560"/>
            <w:tcMar>
              <w:left w:type="dxa" w:w="80"/>
              <w:right w:type="dxa" w:w="80"/>
            </w:tcMar>
          </w:tcPr>
          <w:p>
            <w:pPr>
              <w:pStyle w:val="Compact"/>
            </w:pPr>
            <w:r>
              <w:rPr>
                <w:sz w:val="19"/>
                <w:szCs w:val="19"/>
                <w:lang w:val="pt-PT"/>
              </w:rPr>
              <w:t xml:space="preserve">Novo certificado em vigor, TLS válido</w:t>
            </w:r>
          </w:p>
        </w:tc>
        <w:tc>
          <w:tcPr>
            <w:tcW w:type="dxa" w:w="1560"/>
            <w:tcMar>
              <w:left w:type="dxa" w:w="80"/>
              <w:right w:type="dxa" w:w="80"/>
            </w:tcMar>
          </w:tcPr>
          <w:p>
            <w:pPr>
              <w:pStyle w:val="Compact"/>
            </w:pPr>
          </w:p>
        </w:tc>
      </w:tr>
    </w:tbl>
    <w:p>
      <w:r>
        <w:pict>
          <v:rect style="width:0;height:1.5pt" o:hralign="center" o:hrstd="t" o:hr="t"/>
        </w:pict>
      </w:r>
    </w:p>
    <w:bookmarkEnd w:id="155"/>
    <w:bookmarkStart w:id="156" w:name="Xeec25a331d1bbfb73ae244b8077f2a475c253f1"/>
    <w:p>
      <w:pPr>
        <w:pStyle w:val="Heading2"/>
        <w:keepNext/>
        <w:keepLines/>
      </w:pPr>
      <w:r>
        <w:rPr>
          <w:color w:val="000000"/>
          <w:lang w:val="pt-PT"/>
        </w:rPr>
        <w:t xml:space="preserve">9. Folhas de anomalias</w:t>
      </w:r>
    </w:p>
    <w:p>
      <w:pPr>
        <w:pStyle w:val="FirstParagraph"/>
      </w:pPr>
      <w:r>
        <w:rPr>
          <w:lang w:val="pt-PT"/>
        </w:rPr>
        <w:t xml:space="preserve">Qualquer não conformidade observada é registrada:</w:t>
      </w:r>
    </w:p>
    <w:p>
      <w:pPr>
        <w:sectPr>
          <w:type w:val="nextPage"/>
          <w:footnotePr>
            <w:numRestart w:val="eachSect"/>
          </w:footnotePr>
        </w:sectPr>
      </w:pPr>
    </w:p>
    <w:tbl>
      <w:tblPr>
        <w:tblStyle w:val="Table"/>
        <w:tblW w:type="dxa" w:w="12960"/>
        <w:tblLook w:firstRow="1" w:lastRow="0" w:firstColumn="0" w:lastColumn="0" w:noHBand="0" w:noVBand="0" w:val="0020"/>
        <w:tblLayout w:type="fixed"/>
      </w:tblPr>
      <w:tblGrid>
        <w:gridCol w:w="1851"/>
        <w:gridCol w:w="1851"/>
        <w:gridCol w:w="1851"/>
        <w:gridCol w:w="1851"/>
        <w:gridCol w:w="1851"/>
        <w:gridCol w:w="1851"/>
        <w:gridCol w:w="1854"/>
      </w:tblGrid>
      <w:tr>
        <w:trPr>
          <w:tblHeader w:val="on"/>
          <w:cantSplit/>
        </w:trPr>
        <w:tc>
          <w:tcPr>
            <w:tcW w:type="dxa" w:w="1851"/>
            <w:tcMar>
              <w:left w:type="dxa" w:w="80"/>
              <w:right w:type="dxa" w:w="80"/>
            </w:tcMar>
          </w:tcPr>
          <w:p>
            <w:pPr>
              <w:pStyle w:val="Compact"/>
            </w:pPr>
            <w:r>
              <w:rPr>
                <w:sz w:val="19"/>
                <w:szCs w:val="19"/>
                <w:lang w:val="pt-PT"/>
              </w:rPr>
              <w:t xml:space="preserve">N.º</w:t>
            </w:r>
          </w:p>
        </w:tc>
        <w:tc>
          <w:tcPr>
            <w:tcW w:type="dxa" w:w="1851"/>
            <w:tcMar>
              <w:left w:type="dxa" w:w="80"/>
              <w:right w:type="dxa" w:w="80"/>
            </w:tcMar>
          </w:tcPr>
          <w:p>
            <w:pPr>
              <w:pStyle w:val="Compact"/>
            </w:pPr>
            <w:r>
              <w:rPr>
                <w:sz w:val="19"/>
                <w:szCs w:val="19"/>
                <w:lang w:val="pt-PT"/>
              </w:rPr>
              <w:t xml:space="preserve">Teste em questão</w:t>
            </w:r>
          </w:p>
        </w:tc>
        <w:tc>
          <w:tcPr>
            <w:tcW w:type="dxa" w:w="1851"/>
            <w:tcMar>
              <w:left w:type="dxa" w:w="80"/>
              <w:right w:type="dxa" w:w="80"/>
            </w:tcMar>
          </w:tcPr>
          <w:p>
            <w:pPr>
              <w:pStyle w:val="Compact"/>
            </w:pPr>
            <w:r>
              <w:rPr>
                <w:sz w:val="19"/>
                <w:szCs w:val="19"/>
                <w:lang w:val="pt-PT"/>
              </w:rPr>
              <w:t xml:space="preserve">Descrição</w:t>
            </w:r>
          </w:p>
        </w:tc>
        <w:tc>
          <w:tcPr>
            <w:tcW w:type="dxa" w:w="1851"/>
            <w:tcMar>
              <w:left w:type="dxa" w:w="80"/>
              <w:right w:type="dxa" w:w="80"/>
            </w:tcMar>
          </w:tcPr>
          <w:p>
            <w:pPr>
              <w:pStyle w:val="Compact"/>
            </w:pPr>
            <w:r>
              <w:rPr>
                <w:sz w:val="19"/>
                <w:szCs w:val="19"/>
                <w:lang w:val="pt-PT"/>
              </w:rPr>
              <w:t xml:space="preserve">Gravidade</w:t>
            </w:r>
          </w:p>
        </w:tc>
        <w:tc>
          <w:tcPr>
            <w:tcW w:type="dxa" w:w="1851"/>
            <w:tcMar>
              <w:left w:type="dxa" w:w="80"/>
              <w:right w:type="dxa" w:w="80"/>
            </w:tcMar>
          </w:tcPr>
          <w:p>
            <w:pPr>
              <w:pStyle w:val="Compact"/>
            </w:pPr>
            <w:r>
              <w:rPr>
                <w:sz w:val="19"/>
                <w:szCs w:val="19"/>
                <w:lang w:val="pt-PT"/>
              </w:rPr>
              <w:t xml:space="preserve">Ação corretiva</w:t>
            </w:r>
          </w:p>
        </w:tc>
        <w:tc>
          <w:tcPr>
            <w:tcW w:type="dxa" w:w="1851"/>
            <w:tcMar>
              <w:left w:type="dxa" w:w="80"/>
              <w:right w:type="dxa" w:w="80"/>
            </w:tcMar>
          </w:tcPr>
          <w:p>
            <w:pPr>
              <w:pStyle w:val="Compact"/>
            </w:pPr>
            <w:r>
              <w:rPr>
                <w:sz w:val="19"/>
                <w:szCs w:val="19"/>
                <w:lang w:val="pt-PT"/>
              </w:rPr>
              <w:t xml:space="preserve">Responsável</w:t>
            </w:r>
          </w:p>
        </w:tc>
        <w:tc>
          <w:tcPr>
            <w:tcW w:type="dxa" w:w="1854"/>
            <w:tcMar>
              <w:left w:type="dxa" w:w="80"/>
              <w:right w:type="dxa" w:w="80"/>
            </w:tcMar>
          </w:tcPr>
          <w:p>
            <w:pPr>
              <w:pStyle w:val="Compact"/>
            </w:pPr>
            <w:r>
              <w:rPr>
                <w:sz w:val="19"/>
                <w:szCs w:val="19"/>
                <w:lang w:val="pt-PT"/>
              </w:rPr>
              <w:t xml:space="preserve">Estado</w:t>
            </w:r>
          </w:p>
        </w:tc>
      </w:tr>
      <w:tr>
        <w:trPr>
          <w:cantSplit/>
        </w:trPr>
        <w:tc>
          <w:tcPr>
            <w:tcW w:type="dxa" w:w="1851"/>
            <w:tcMar>
              <w:left w:type="dxa" w:w="80"/>
              <w:right w:type="dxa" w:w="80"/>
            </w:tcMar>
          </w:tcPr>
          <w:p>
            <w:pPr>
              <w:pStyle w:val="Compact"/>
            </w:pPr>
            <w:r>
              <w:rPr>
                <w:rStyle w:val="VerbatimChar"/>
                <w:sz w:val="19"/>
                <w:szCs w:val="19"/>
                <w:lang w:val="pt-PT"/>
              </w:rPr>
              <w:t xml:space="preserve">[…]</w:t>
            </w:r>
          </w:p>
        </w:tc>
        <w:tc>
          <w:tcPr>
            <w:tcW w:type="dxa" w:w="1851"/>
            <w:tcMar>
              <w:left w:type="dxa" w:w="80"/>
              <w:right w:type="dxa" w:w="80"/>
            </w:tcMar>
          </w:tcPr>
          <w:p>
            <w:pPr>
              <w:pStyle w:val="Compact"/>
            </w:pPr>
            <w:r>
              <w:rPr>
                <w:rStyle w:val="VerbatimChar"/>
                <w:sz w:val="19"/>
                <w:szCs w:val="19"/>
                <w:lang w:val="pt-PT"/>
              </w:rPr>
              <w:t xml:space="preserve">[…]</w:t>
            </w:r>
          </w:p>
        </w:tc>
        <w:tc>
          <w:tcPr>
            <w:tcW w:type="dxa" w:w="1851"/>
            <w:tcMar>
              <w:left w:type="dxa" w:w="80"/>
              <w:right w:type="dxa" w:w="80"/>
            </w:tcMar>
          </w:tcPr>
          <w:p>
            <w:pPr>
              <w:pStyle w:val="Compact"/>
            </w:pPr>
            <w:r>
              <w:rPr>
                <w:rStyle w:val="VerbatimChar"/>
                <w:sz w:val="19"/>
                <w:szCs w:val="19"/>
                <w:lang w:val="pt-PT"/>
              </w:rPr>
              <w:t xml:space="preserve">[…]</w:t>
            </w:r>
          </w:p>
        </w:tc>
        <w:tc>
          <w:tcPr>
            <w:tcW w:type="dxa" w:w="1851"/>
            <w:tcMar>
              <w:left w:type="dxa" w:w="80"/>
              <w:right w:type="dxa" w:w="80"/>
            </w:tcMar>
          </w:tcPr>
          <w:p>
            <w:pPr>
              <w:pStyle w:val="Compact"/>
            </w:pPr>
            <w:r>
              <w:rPr>
                <w:rStyle w:val="VerbatimChar"/>
                <w:sz w:val="19"/>
                <w:szCs w:val="19"/>
                <w:lang w:val="pt-PT"/>
              </w:rPr>
              <w:t xml:space="preserve">[…]</w:t>
            </w:r>
          </w:p>
        </w:tc>
        <w:tc>
          <w:tcPr>
            <w:tcW w:type="dxa" w:w="1851"/>
            <w:tcMar>
              <w:left w:type="dxa" w:w="80"/>
              <w:right w:type="dxa" w:w="80"/>
            </w:tcMar>
          </w:tcPr>
          <w:p>
            <w:pPr>
              <w:pStyle w:val="Compact"/>
            </w:pPr>
            <w:r>
              <w:rPr>
                <w:rStyle w:val="VerbatimChar"/>
                <w:sz w:val="19"/>
                <w:szCs w:val="19"/>
                <w:lang w:val="pt-PT"/>
              </w:rPr>
              <w:t xml:space="preserve">[…]</w:t>
            </w:r>
          </w:p>
        </w:tc>
        <w:tc>
          <w:tcPr>
            <w:tcW w:type="dxa" w:w="1851"/>
            <w:tcMar>
              <w:left w:type="dxa" w:w="80"/>
              <w:right w:type="dxa" w:w="80"/>
            </w:tcMar>
          </w:tcPr>
          <w:p>
            <w:pPr>
              <w:pStyle w:val="Compact"/>
            </w:pPr>
            <w:r>
              <w:rPr>
                <w:rStyle w:val="VerbatimChar"/>
                <w:sz w:val="19"/>
                <w:szCs w:val="19"/>
                <w:lang w:val="pt-PT"/>
              </w:rPr>
              <w:t xml:space="preserve">[…]</w:t>
            </w:r>
          </w:p>
        </w:tc>
        <w:tc>
          <w:tcPr>
            <w:tcW w:type="dxa" w:w="1854"/>
            <w:tcMar>
              <w:left w:type="dxa" w:w="80"/>
              <w:right w:type="dxa" w:w="80"/>
            </w:tcMar>
          </w:tcPr>
          <w:p>
            <w:pPr>
              <w:pStyle w:val="Compact"/>
            </w:pPr>
            <w:r>
              <w:rPr>
                <w:rStyle w:val="VerbatimChar"/>
                <w:sz w:val="19"/>
                <w:szCs w:val="19"/>
                <w:lang w:val="pt-PT"/>
              </w:rPr>
              <w:t xml:space="preserve">[…]</w:t>
            </w:r>
          </w:p>
        </w:tc>
      </w:tr>
    </w:tbl>
    <w:p>
      <w:pPr>
        <w:sectPr>
          <w:type w:val="nextPage"/>
          <w:footnotePr>
            <w:numRestart w:val="eachSect"/>
          </w:footnotePr>
          <w:pgSz w:w="15840" w:h="12240" w:orient="landscape"/>
        </w:sectPr>
      </w:pPr>
    </w:p>
    <w:p>
      <w:r>
        <w:pict>
          <v:rect style="width:0;height:1.5pt" o:hralign="center" o:hrstd="t" o:hr="t"/>
        </w:pict>
      </w:r>
    </w:p>
    <w:bookmarkEnd w:id="156"/>
    <w:bookmarkStart w:id="157" w:name="X0a4229a342d90af78c8841a0f1788b55019567c"/>
    <w:p>
      <w:pPr>
        <w:pStyle w:val="Heading2"/>
        <w:keepNext/>
        <w:keepLines/>
      </w:pPr>
      <w:r>
        <w:rPr>
          <w:color w:val="000000"/>
          <w:lang w:val="pt-PT"/>
        </w:rPr>
        <w:t xml:space="preserve">10. Auto de aceitação</w:t>
      </w:r>
    </w:p>
    <w:p>
      <w:pPr>
        <w:pStyle w:val="FirstParagraph"/>
      </w:pPr>
      <w:r>
        <w:rPr>
          <w:lang w:val="pt-PT"/>
        </w:rPr>
        <w:t xml:space="preserve">Ao final dos testes, o relatório registra o resultado geral e eventuais ressalvas.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Secção</w:t>
            </w:r>
          </w:p>
        </w:tc>
        <w:tc>
          <w:tcPr/>
          <w:p>
            <w:pPr>
              <w:pStyle w:val="Compact"/>
            </w:pPr>
            <w:r>
              <w:rPr>
                <w:lang w:val="pt-PT"/>
              </w:rPr>
              <w:t xml:space="preserve">Valor</w:t>
            </w:r>
          </w:p>
        </w:tc>
      </w:tr>
      <w:tr>
        <w:trPr>
          <w:cantSplit/>
        </w:trPr>
        <w:tc>
          <w:tcPr/>
          <w:p>
            <w:pPr>
              <w:pStyle w:val="Compact"/>
            </w:pPr>
            <w:r>
              <w:rPr>
                <w:lang w:val="pt-PT"/>
              </w:rPr>
              <w:t xml:space="preserve">Versão submetida à aceitação</w:t>
            </w:r>
          </w:p>
        </w:tc>
        <w:tc>
          <w:tcPr/>
          <w:p>
            <w:pPr>
              <w:pStyle w:val="Compact"/>
            </w:pPr>
            <w:r>
              <w:rPr>
                <w:rStyle w:val="VerbatimChar"/>
                <w:lang w:val="pt-PT"/>
              </w:rPr>
              <w:t xml:space="preserve">[PARA SER INFORMADO]</w:t>
            </w:r>
          </w:p>
        </w:tc>
      </w:tr>
      <w:tr>
        <w:trPr>
          <w:cantSplit/>
        </w:trPr>
        <w:tc>
          <w:tcPr/>
          <w:p>
            <w:pPr>
              <w:pStyle w:val="Compact"/>
            </w:pPr>
            <w:r>
              <w:rPr>
                <w:lang w:val="pt-PT"/>
              </w:rPr>
              <w:t xml:space="preserve">Data da aceitação</w:t>
            </w:r>
          </w:p>
        </w:tc>
        <w:tc>
          <w:tcPr/>
          <w:p>
            <w:pPr>
              <w:pStyle w:val="Compact"/>
            </w:pPr>
            <w:r>
              <w:rPr>
                <w:rStyle w:val="VerbatimChar"/>
                <w:lang w:val="pt-PT"/>
              </w:rPr>
              <w:t xml:space="preserve">[PARA SER INFORMADO]</w:t>
            </w:r>
          </w:p>
        </w:tc>
      </w:tr>
      <w:tr>
        <w:trPr>
          <w:cantSplit/>
        </w:trPr>
        <w:tc>
          <w:tcPr/>
          <w:p>
            <w:pPr>
              <w:pStyle w:val="Compact"/>
            </w:pPr>
            <w:r>
              <w:rPr>
                <w:lang w:val="pt-PT"/>
              </w:rPr>
              <w:t xml:space="preserve">Número de testes compatíveis</w:t>
            </w:r>
          </w:p>
        </w:tc>
        <w:tc>
          <w:tcPr/>
          <w:p>
            <w:pPr>
              <w:pStyle w:val="Compact"/>
            </w:pPr>
            <w:r>
              <w:rPr>
                <w:rStyle w:val="VerbatimChar"/>
                <w:lang w:val="pt-PT"/>
              </w:rPr>
              <w:t xml:space="preserve">[…] / […]</w:t>
            </w:r>
          </w:p>
        </w:tc>
      </w:tr>
      <w:tr>
        <w:trPr>
          <w:cantSplit/>
        </w:trPr>
        <w:tc>
          <w:tcPr/>
          <w:p>
            <w:pPr>
              <w:pStyle w:val="Compact"/>
            </w:pPr>
            <w:r>
              <w:rPr>
                <w:lang w:val="pt-PT"/>
              </w:rPr>
              <w:t xml:space="preserve">Reservas</w:t>
            </w:r>
          </w:p>
        </w:tc>
        <w:tc>
          <w:tcPr/>
          <w:p>
            <w:pPr>
              <w:pStyle w:val="Compact"/>
            </w:pPr>
            <w:r>
              <w:rPr>
                <w:rStyle w:val="VerbatimChar"/>
                <w:lang w:val="pt-PT"/>
              </w:rPr>
              <w:t xml:space="preserve">[…]</w:t>
            </w:r>
          </w:p>
        </w:tc>
      </w:tr>
      <w:tr>
        <w:trPr>
          <w:cantSplit/>
        </w:trPr>
        <w:tc>
          <w:tcPr/>
          <w:p>
            <w:pPr>
              <w:pStyle w:val="Compact"/>
            </w:pPr>
            <w:r>
              <w:rPr>
                <w:lang w:val="pt-PT"/>
              </w:rPr>
              <w:t xml:space="preserve">Decisão</w:t>
            </w:r>
          </w:p>
        </w:tc>
        <w:tc>
          <w:tcPr/>
          <w:p>
            <w:pPr>
              <w:pStyle w:val="Compact"/>
            </w:pPr>
            <w:r>
              <w:rPr>
                <w:lang w:val="pt-PT"/>
              </w:rPr>
              <w:t xml:space="preserve">Aceitação concedida / concedida com reservas / adiada</w:t>
            </w:r>
          </w:p>
        </w:tc>
      </w:tr>
    </w:tbl>
    <w:p>
      <w:pPr>
        <w:pStyle w:val="BodyText"/>
      </w:pPr>
      <w:r>
        <w:rPr>
          <w:b/>
          <w:bCs/>
          <w:lang w:val="pt-PT"/>
        </w:rPr>
        <w:t xml:space="preserve">Assinaturas: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Função</w:t>
            </w:r>
          </w:p>
        </w:tc>
        <w:tc>
          <w:tcPr>
            <w:tcW w:type="dxa" w:w="1872"/>
            <w:tcMar>
              <w:left w:type="dxa" w:w="80"/>
              <w:right w:type="dxa" w:w="80"/>
            </w:tcMar>
          </w:tcPr>
          <w:p>
            <w:pPr>
              <w:pStyle w:val="Compact"/>
            </w:pPr>
            <w:r>
              <w:rPr>
                <w:sz w:val="19"/>
                <w:szCs w:val="19"/>
                <w:lang w:val="pt-PT"/>
              </w:rPr>
              <w:t xml:space="preserve">Nome</w:t>
            </w:r>
          </w:p>
        </w:tc>
        <w:tc>
          <w:tcPr>
            <w:tcW w:type="dxa" w:w="1872"/>
            <w:tcMar>
              <w:left w:type="dxa" w:w="80"/>
              <w:right w:type="dxa" w:w="80"/>
            </w:tcMar>
          </w:tcPr>
          <w:p>
            <w:pPr>
              <w:pStyle w:val="Compact"/>
            </w:pPr>
            <w:r>
              <w:rPr>
                <w:sz w:val="19"/>
                <w:szCs w:val="19"/>
                <w:lang w:val="pt-PT"/>
              </w:rPr>
              <w:t xml:space="preserve">Organização</w:t>
            </w:r>
          </w:p>
        </w:tc>
        <w:tc>
          <w:tcPr>
            <w:tcW w:type="dxa" w:w="1872"/>
            <w:tcMar>
              <w:left w:type="dxa" w:w="80"/>
              <w:right w:type="dxa" w:w="80"/>
            </w:tcMar>
          </w:tcPr>
          <w:p>
            <w:pPr>
              <w:pStyle w:val="Compact"/>
            </w:pPr>
            <w:r>
              <w:rPr>
                <w:sz w:val="19"/>
                <w:szCs w:val="19"/>
                <w:lang w:val="pt-PT"/>
              </w:rPr>
              <w:t xml:space="preserve">Data</w:t>
            </w:r>
          </w:p>
        </w:tc>
        <w:tc>
          <w:tcPr>
            <w:tcW w:type="dxa" w:w="1872"/>
            <w:tcMar>
              <w:left w:type="dxa" w:w="80"/>
              <w:right w:type="dxa" w:w="80"/>
            </w:tcMar>
          </w:tcPr>
          <w:p>
            <w:pPr>
              <w:pStyle w:val="Compact"/>
            </w:pPr>
            <w:r>
              <w:rPr>
                <w:sz w:val="19"/>
                <w:szCs w:val="19"/>
                <w:lang w:val="pt-PT"/>
              </w:rPr>
              <w:t xml:space="preserve">Assinatura</w:t>
            </w:r>
          </w:p>
        </w:tc>
      </w:tr>
      <w:tr>
        <w:trPr>
          <w:cantSplit/>
        </w:trPr>
        <w:tc>
          <w:tcPr>
            <w:tcW w:type="dxa" w:w="1872"/>
            <w:tcMar>
              <w:left w:type="dxa" w:w="80"/>
              <w:right w:type="dxa" w:w="80"/>
            </w:tcMar>
          </w:tcPr>
          <w:p>
            <w:pPr>
              <w:pStyle w:val="Compact"/>
            </w:pPr>
            <w:r>
              <w:rPr>
                <w:sz w:val="19"/>
                <w:szCs w:val="19"/>
                <w:lang w:val="pt-PT"/>
              </w:rPr>
              <w:t xml:space="preserve">Para o Cliente (DSI)</w:t>
            </w:r>
          </w:p>
        </w:tc>
        <w:tc>
          <w:tcPr>
            <w:tcW w:type="dxa" w:w="1872"/>
            <w:tcMar>
              <w:left w:type="dxa" w:w="80"/>
              <w:right w:type="dxa" w:w="80"/>
            </w:tcMar>
          </w:tcPr>
          <w:p>
            <w:pPr>
              <w:pStyle w:val="Compact"/>
            </w:pPr>
            <w:r>
              <w:rPr>
                <w:rStyle w:val="VerbatimChar"/>
                <w:sz w:val="19"/>
                <w:szCs w:val="19"/>
                <w:lang w:val="pt-PT"/>
              </w:rPr>
              <w:t xml:space="preserve">[PARA SER INFORMADO]</w:t>
            </w:r>
          </w:p>
        </w:tc>
        <w:tc>
          <w:tcPr>
            <w:tcW w:type="dxa" w:w="1872"/>
            <w:tcMar>
              <w:left w:type="dxa" w:w="80"/>
              <w:right w:type="dxa" w:w="80"/>
            </w:tcMar>
          </w:tcPr>
          <w:p>
            <w:pPr>
              <w:pStyle w:val="Compact"/>
            </w:pPr>
            <w:r>
              <w:rPr>
                <w:rStyle w:val="VerbatimChar"/>
                <w:sz w:val="19"/>
                <w:szCs w:val="19"/>
                <w:lang w:val="pt-PT"/>
              </w:rPr>
              <w:t xml:space="preserve">[Cliente]</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pt-PT"/>
              </w:rPr>
              <w:t xml:space="preserve">Para o integrador</w:t>
            </w:r>
          </w:p>
        </w:tc>
        <w:tc>
          <w:tcPr>
            <w:tcW w:type="dxa" w:w="1872"/>
            <w:tcMar>
              <w:left w:type="dxa" w:w="80"/>
              <w:right w:type="dxa" w:w="80"/>
            </w:tcMar>
          </w:tcPr>
          <w:p>
            <w:pPr>
              <w:pStyle w:val="Compact"/>
            </w:pPr>
            <w:r>
              <w:rPr>
                <w:rStyle w:val="VerbatimChar"/>
                <w:sz w:val="19"/>
                <w:szCs w:val="19"/>
                <w:lang w:val="pt-PT"/>
              </w:rPr>
              <w:t xml:space="preserve">[PARA SER INFORMADO]</w:t>
            </w:r>
          </w:p>
        </w:tc>
        <w:tc>
          <w:tcPr>
            <w:tcW w:type="dxa" w:w="1872"/>
            <w:tcMar>
              <w:left w:type="dxa" w:w="80"/>
              <w:right w:type="dxa" w:w="80"/>
            </w:tcMar>
          </w:tcPr>
          <w:p>
            <w:pPr>
              <w:pStyle w:val="Compact"/>
            </w:pPr>
            <w:r>
              <w:rPr>
                <w:sz w:val="19"/>
                <w:szCs w:val="19"/>
                <w:lang w:val="pt-PT"/>
              </w:rPr>
              <w:t xml:space="preserve">Integrador de projetos</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pt-PT"/>
              </w:rPr>
              <w:t xml:space="preserve">Para o editor/mantenedor</w:t>
            </w:r>
          </w:p>
        </w:tc>
        <w:tc>
          <w:tcPr>
            <w:tcW w:type="dxa" w:w="1872"/>
            <w:tcMar>
              <w:left w:type="dxa" w:w="80"/>
              <w:right w:type="dxa" w:w="80"/>
            </w:tcMar>
          </w:tcPr>
          <w:p>
            <w:pPr>
              <w:pStyle w:val="Compact"/>
            </w:pPr>
            <w:r>
              <w:rPr>
                <w:sz w:val="19"/>
                <w:szCs w:val="19"/>
                <w:lang w:val="pt-PT"/>
              </w:rPr>
              <w:t xml:space="preserve">Olivier Dupont (CTO)</w:t>
            </w:r>
          </w:p>
        </w:tc>
        <w:tc>
          <w:tcPr>
            <w:tcW w:type="dxa" w:w="1872"/>
            <w:tcMar>
              <w:left w:type="dxa" w:w="80"/>
              <w:right w:type="dxa" w:w="80"/>
            </w:tcMar>
          </w:tcPr>
          <w:p>
            <w:pPr>
              <w:pStyle w:val="Compact"/>
            </w:pPr>
            <w:r>
              <w:rPr>
                <w:sz w:val="19"/>
                <w:szCs w:val="19"/>
                <w:lang w:val="pt-PT"/>
              </w:rPr>
              <w:t xml:space="preserve">OHADJA</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bl>
    <w:p>
      <w:r>
        <w:pict>
          <v:rect style="width:0;height:1.5pt" o:hralign="center" o:hrstd="t" o:hr="t"/>
        </w:pict>
      </w:r>
    </w:p>
    <w:p>
      <w:pPr>
        <w:pStyle w:val="FirstParagraph"/>
      </w:pPr>
      <w:r>
        <w:rPr>
          <w:i/>
          <w:iCs/>
          <w:lang w:val="pt-PT"/>
        </w:rPr>
        <w:t xml:space="preserve">Documento de trabalho elaborado por OHADJA (editor/mantenedor) — caderno de testes de aceitação a ser executado em conjunto com o departamento de TI do Cliente. Os valores e limites da meta de desempenho devem ser fixados na configuração escolhida antes da aceitação ser fornecida.</w:t>
      </w:r>
    </w:p>
    <w:p>
      <w:r>
        <w:br w:type="page"/>
      </w:r>
    </w:p>
    <w:bookmarkEnd w:id="157"/>
    <w:bookmarkEnd w:id="158"/>
    <w:bookmarkStart w:id="182" w:name="X579196f840b6138eb90c49cf5fdc29a117e2879"/>
    <w:p>
      <w:pPr>
        <w:pStyle w:val="Heading1"/>
        <w:keepNext/>
        <w:keepLines/>
      </w:pPr>
      <w:r>
        <w:rPr>
          <w:color w:val="000000"/>
          <w:lang w:val="pt-PT"/>
        </w:rPr>
        <w:t xml:space="preserve">Plano de Garantia de Segurança (SAP) — Implementação local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pt-PT"/>
              </w:rPr>
              <w:t xml:space="preserve">Referência</w:t>
            </w:r>
          </w:p>
        </w:tc>
        <w:tc>
          <w:tcPr/>
          <w:p>
            <w:pPr>
              <w:pStyle w:val="Compact"/>
            </w:pPr>
            <w:r>
              <w:rPr>
                <w:lang w:val="pt-PT"/>
              </w:rPr>
              <w:t xml:space="preserve">OHA-ONPREM-PAS-2026-001</w:t>
            </w:r>
          </w:p>
        </w:tc>
      </w:tr>
      <w:tr>
        <w:trPr>
          <w:cantSplit/>
        </w:trPr>
        <w:tc>
          <w:tcPr/>
          <w:p>
            <w:pPr>
              <w:pStyle w:val="Compact"/>
            </w:pPr>
            <w:r>
              <w:rPr>
                <w:b/>
                <w:bCs/>
                <w:lang w:val="pt-PT"/>
              </w:rPr>
              <w:t xml:space="preserve">Versão</w:t>
            </w:r>
          </w:p>
        </w:tc>
        <w:tc>
          <w:tcPr/>
          <w:p>
            <w:pPr>
              <w:pStyle w:val="Compact"/>
            </w:pPr>
            <w:r>
              <w:rPr>
                <w:lang w:val="pt-PT"/>
              </w:rPr>
              <w:t xml:space="preserve">1.0</w:t>
            </w:r>
          </w:p>
        </w:tc>
      </w:tr>
      <w:tr>
        <w:trPr>
          <w:cantSplit/>
        </w:trPr>
        <w:tc>
          <w:tcPr/>
          <w:p>
            <w:pPr>
              <w:pStyle w:val="Compact"/>
            </w:pPr>
            <w:r>
              <w:rPr>
                <w:b/>
                <w:bCs/>
                <w:lang w:val="pt-PT"/>
              </w:rPr>
              <w:t xml:space="preserve">Data</w:t>
            </w:r>
          </w:p>
        </w:tc>
        <w:tc>
          <w:tcPr/>
          <w:p>
            <w:pPr>
              <w:pStyle w:val="Compact"/>
            </w:pPr>
            <w:r>
              <w:rPr>
                <w:lang w:val="pt-PT"/>
              </w:rPr>
              <w:t xml:space="preserve">2026-07-24</w:t>
            </w:r>
          </w:p>
        </w:tc>
      </w:tr>
      <w:tr>
        <w:trPr>
          <w:cantSplit/>
        </w:trPr>
        <w:tc>
          <w:tcPr/>
          <w:p>
            <w:pPr>
              <w:pStyle w:val="Compact"/>
            </w:pPr>
            <w:r>
              <w:rPr>
                <w:b/>
                <w:bCs/>
                <w:lang w:val="pt-PT"/>
              </w:rPr>
              <w:t xml:space="preserve">Editor/editor</w:t>
            </w:r>
          </w:p>
        </w:tc>
        <w:tc>
          <w:tcPr/>
          <w:p>
            <w:pPr>
              <w:pStyle w:val="Compact"/>
            </w:pPr>
            <w:r>
              <w:rPr>
                <w:lang w:val="pt-PT"/>
              </w:rPr>
              <w:t xml:space="preserve">OHADJA — editor e mantenedor do software TranscribIA — 60 rue François 1er, 75008 Paris</w:t>
            </w:r>
          </w:p>
        </w:tc>
      </w:tr>
      <w:tr>
        <w:trPr>
          <w:cantSplit/>
        </w:trPr>
        <w:tc>
          <w:tcPr/>
          <w:p>
            <w:pPr>
              <w:pStyle w:val="Compact"/>
            </w:pPr>
            <w:r>
              <w:rPr>
                <w:b/>
                <w:bCs/>
                <w:lang w:val="pt-PT"/>
              </w:rPr>
              <w:t xml:space="preserve">Integrador/distribuidor</w:t>
            </w:r>
          </w:p>
        </w:tc>
        <w:tc>
          <w:tcPr/>
          <w:p>
            <w:pPr>
              <w:pStyle w:val="Compact"/>
            </w:pPr>
            <w:r>
              <w:rPr>
                <w:lang w:val="pt-PT"/>
              </w:rPr>
              <w:t xml:space="preserve">Seu integrador (a especificar dependendo do projeto)</w:t>
            </w:r>
          </w:p>
        </w:tc>
      </w:tr>
      <w:tr>
        <w:trPr>
          <w:cantSplit/>
        </w:trPr>
        <w:tc>
          <w:tcPr/>
          <w:p>
            <w:pPr>
              <w:pStyle w:val="Compact"/>
            </w:pPr>
            <w:r>
              <w:rPr>
                <w:b/>
                <w:bCs/>
                <w:lang w:val="pt-PT"/>
              </w:rPr>
              <w:t xml:space="preserve">Revendedor comercial</w:t>
            </w:r>
          </w:p>
        </w:tc>
        <w:tc>
          <w:tcPr/>
          <w:p>
            <w:pPr>
              <w:pStyle w:val="Compact"/>
            </w:pPr>
            <w:r>
              <w:rPr>
                <w:lang w:val="pt-PT"/>
              </w:rPr>
              <w:t xml:space="preserve">AMBASSADIA SARL (Mónaco e França) — apenas função comercial, sem exploração ou acesso a dados de produção</w:t>
            </w:r>
          </w:p>
        </w:tc>
      </w:tr>
      <w:tr>
        <w:trPr>
          <w:cantSplit/>
        </w:trPr>
        <w:tc>
          <w:tcPr/>
          <w:p>
            <w:pPr>
              <w:pStyle w:val="Compact"/>
            </w:pPr>
            <w:r>
              <w:rPr>
                <w:b/>
                <w:bCs/>
                <w:lang w:val="pt-PT"/>
              </w:rPr>
              <w:t xml:space="preserve">Destinatário</w:t>
            </w:r>
          </w:p>
        </w:tc>
        <w:tc>
          <w:tcPr/>
          <w:p>
            <w:pPr>
              <w:pStyle w:val="Compact"/>
            </w:pPr>
            <w:r>
              <w:rPr>
                <w:lang w:val="pt-PT"/>
              </w:rPr>
              <w:t xml:space="preserve">Cliente — Direção de Sistemas de Informação (a personalizar durante o projeto)</w:t>
            </w:r>
          </w:p>
        </w:tc>
      </w:tr>
      <w:tr>
        <w:trPr>
          <w:cantSplit/>
        </w:trPr>
        <w:tc>
          <w:tcPr/>
          <w:p>
            <w:pPr>
              <w:pStyle w:val="Compact"/>
            </w:pPr>
            <w:r>
              <w:rPr>
                <w:b/>
                <w:bCs/>
                <w:lang w:val="pt-PT"/>
              </w:rPr>
              <w:t xml:space="preserve">Classificação</w:t>
            </w:r>
          </w:p>
        </w:tc>
        <w:tc>
          <w:tcPr/>
          <w:p>
            <w:pPr>
              <w:pStyle w:val="Compact"/>
            </w:pPr>
            <w:r>
              <w:rPr>
                <w:lang w:val="pt-PT"/>
              </w:rPr>
              <w:t xml:space="preserve">Público — documento padrão, adaptado para cada projeto de implementação</w:t>
            </w:r>
          </w:p>
        </w:tc>
      </w:tr>
    </w:tbl>
    <w:p>
      <w:pPr>
        <w:pStyle w:val="BlockText"/>
      </w:pPr>
      <w:r>
        <w:rPr>
          <w:lang w:val="pt-PT"/>
        </w:rPr>
        <w:t xml:space="preserve">Este Plano de Garantia de Segurança descreve a organização e as medidas de segurança aplicadas ao projeto de implementação local de TranscribIA para o Cliente. Está vinculado ao Arquivo de Projeto Detalhado, ao Arquivo de Operações e ao Livro de aceitação. Os compromissos de prazos e níveis de serviço ficam marcados como </w:t>
      </w:r>
      <w:r>
        <w:rPr>
          <w:lang w:val="pt-PT"/>
        </w:rPr>
        <w:t xml:space="preserve">propostas </w:t>
      </w:r>
      <w:r>
        <w:rPr>
          <w:b/>
          <w:bCs/>
          <w:lang w:val="pt-PT"/>
        </w:rPr>
        <w:t xml:space="preserve">a serem </w:t>
      </w:r>
      <w:r>
        <w:rPr>
          <w:lang w:val="pt-PT"/>
        </w:rPr>
        <w:t xml:space="preserve"/>
      </w:r>
      <w:r>
        <w:rPr>
          <w:lang w:val="pt-PT"/>
        </w:rPr>
        <w:t xml:space="preserve">confirmadas no contrato.</w:t>
      </w:r>
    </w:p>
    <w:p>
      <w:r>
        <w:pict>
          <v:rect style="width:0;height:1.5pt" o:hralign="center" o:hrstd="t" o:hr="t"/>
        </w:pict>
      </w:r>
    </w:p>
    <w:bookmarkStart w:id="161" w:name="Xcb8ef9ec9aa53e60fa6647a9e055eed7bb9b7c9"/>
    <w:p>
      <w:pPr>
        <w:pStyle w:val="Heading2"/>
        <w:keepNext/>
        <w:keepLines/>
      </w:pPr>
      <w:r>
        <w:rPr>
          <w:color w:val="000000"/>
          <w:lang w:val="pt-PT"/>
        </w:rPr>
        <w:t xml:space="preserve">1. Objetivo e âmbito</w:t>
      </w:r>
    </w:p>
    <w:bookmarkStart w:id="159" w:name="Xf4671889473d27fcb7b5710cf7ac2343be1d8a0"/>
    <w:p>
      <w:pPr>
        <w:pStyle w:val="Heading3"/>
        <w:keepNext/>
        <w:keepLines/>
      </w:pPr>
      <w:r>
        <w:rPr>
          <w:color w:val="000000"/>
          <w:lang w:val="pt-PT"/>
        </w:rPr>
        <w:t xml:space="preserve">1.1 Objetivo</w:t>
      </w:r>
    </w:p>
    <w:p>
      <w:pPr>
        <w:pStyle w:val="FirstParagraph"/>
      </w:pPr>
      <w:r>
        <w:rPr>
          <w:lang w:val="pt-PT"/>
        </w:rPr>
        <w:t xml:space="preserve">O objetivo deste PAS é descrever os arranjos feitos por OHADJA (editor e mantenedor do software) e o integrador do projeto para garantir a segurança da solução TranscribIA ao longo do projeto: design, entrega, operação, manutenção e reversibilidade, como parte de uma implementação local </w:t>
      </w:r>
      <w:r>
        <w:rPr>
          <w:lang w:val="pt-PT"/>
        </w:rPr>
        <w:t xml:space="preserve"/>
      </w:r>
      <w:r>
        <w:rPr>
          <w:b/>
          <w:bCs/>
          <w:lang w:val="pt-PT"/>
        </w:rPr>
        <w:t xml:space="preserve">isolada nas </w:t>
      </w:r>
      <w:r>
        <w:rPr>
          <w:lang w:val="pt-PT"/>
        </w:rPr>
        <w:t xml:space="preserve">salas </w:t>
      </w:r>
      <w:r>
        <w:rPr>
          <w:lang w:val="pt-PT"/>
        </w:rPr>
        <w:t xml:space="preserve">de servidores da Sala A (ativa) e da Sala B (backup) do Cliente. A AMBASSADIA SARL atua exclusivamente como revendedor comercial (Mónaco e França), sem função operacional ou acesso a dados de produção.</w:t>
      </w:r>
    </w:p>
    <w:bookmarkEnd w:id="159"/>
    <w:bookmarkStart w:id="160" w:name="Xe6d48918a4ff7962161398c1ba7c9edfed7b67d"/>
    <w:p>
      <w:pPr>
        <w:pStyle w:val="Heading3"/>
        <w:keepNext/>
        <w:keepLines/>
      </w:pPr>
      <w:r>
        <w:rPr>
          <w:color w:val="000000"/>
          <w:lang w:val="pt-PT"/>
        </w:rPr>
        <w:t xml:space="preserve">1.2 Âmbito</w:t>
      </w:r>
    </w:p>
    <w:p>
      <w:pPr>
        <w:pStyle w:val="Compact"/>
        <w:numPr>
          <w:ilvl w:val="0"/>
          <w:numId w:val="1048"/>
        </w:numPr>
      </w:pPr>
      <w:r>
        <w:rPr>
          <w:lang w:val="pt-PT"/>
        </w:rPr>
        <w:t xml:space="preserve">Segurança da solução de software TranscribIA e sua cadeia de entrega.</w:t>
      </w:r>
    </w:p>
    <w:p>
      <w:pPr>
        <w:pStyle w:val="Compact"/>
        <w:numPr>
          <w:ilvl w:val="0"/>
          <w:numId w:val="1048"/>
        </w:numPr>
      </w:pPr>
      <w:r>
        <w:rPr>
          <w:lang w:val="pt-PT"/>
        </w:rPr>
        <w:t xml:space="preserve">Medidas organizacionais e técnicas aplicáveis ao projeto de implementação.</w:t>
      </w:r>
    </w:p>
    <w:p>
      <w:pPr>
        <w:pStyle w:val="Compact"/>
        <w:numPr>
          <w:ilvl w:val="0"/>
          <w:numId w:val="1048"/>
        </w:numPr>
      </w:pPr>
      <w:r>
        <w:rPr>
          <w:lang w:val="pt-PT"/>
        </w:rPr>
        <w:t xml:space="preserve">Gestão de vulnerabilidades, incidentes e acessos de provedores.</w:t>
      </w:r>
    </w:p>
    <w:p>
      <w:pPr>
        <w:pStyle w:val="Compact"/>
        <w:numPr>
          <w:ilvl w:val="0"/>
          <w:numId w:val="1048"/>
        </w:numPr>
      </w:pPr>
      <w:r>
        <w:rPr>
          <w:lang w:val="pt-PT"/>
        </w:rPr>
        <w:t xml:space="preserve">Reversibilidade e compromissos.</w:t>
      </w:r>
    </w:p>
    <w:p>
      <w:pPr>
        <w:pStyle w:val="FirstParagraph"/>
      </w:pPr>
      <w:r>
        <w:rPr>
          <w:b/>
          <w:bCs/>
          <w:lang w:val="pt-PT"/>
        </w:rPr>
        <w:t xml:space="preserve">Fora do perímetro: </w:t>
      </w:r>
      <w:r>
        <w:rPr>
          <w:lang w:val="pt-PT"/>
        </w:rPr>
        <w:t xml:space="preserve"/>
      </w:r>
      <w:r>
        <w:rPr>
          <w:lang w:val="pt-PT"/>
        </w:rPr>
        <w:t xml:space="preserve">a segurança da infraestrutura subjacente do Cliente (rede, salas físicas, estações de utilizadores, PKI interna) é da responsabilidade do Cliente; o SAP especifica responsabilidades compartilhadas. No </w:t>
      </w:r>
      <w:r>
        <w:rPr>
          <w:lang w:val="pt-PT"/>
        </w:rPr>
        <w:t xml:space="preserve"/>
      </w:r>
      <w:r>
        <w:rPr>
          <w:b/>
          <w:bCs/>
          <w:lang w:val="pt-PT"/>
        </w:rPr>
        <w:t xml:space="preserve">modo local, o controlo operacional dos controlos cabe ao </w:t>
      </w:r>
      <w:r>
        <w:rPr>
          <w:lang w:val="pt-PT"/>
        </w:rPr>
        <w:t xml:space="preserve">Cliente, com o editor fornecendo a solução robusta, documentação e suporte.</w:t>
      </w:r>
    </w:p>
    <w:p>
      <w:r>
        <w:pict>
          <v:rect style="width:0;height:1.5pt" o:hralign="center" o:hrstd="t" o:hr="t"/>
        </w:pict>
      </w:r>
    </w:p>
    <w:bookmarkEnd w:id="160"/>
    <w:bookmarkEnd w:id="161"/>
    <w:bookmarkStart w:id="165" w:name="X8e7d9fbb1c3ec070b17fd666a0e23374a0f2289"/>
    <w:p>
      <w:pPr>
        <w:pStyle w:val="Heading2"/>
        <w:keepNext/>
        <w:keepLines/>
      </w:pPr>
      <w:r>
        <w:rPr>
          <w:color w:val="000000"/>
          <w:lang w:val="pt-PT"/>
        </w:rPr>
        <w:t xml:space="preserve">2. Organização de segurança</w:t>
      </w:r>
    </w:p>
    <w:bookmarkStart w:id="162" w:name="X5d8c99d7a92bc9a8ddb942757b7d810e524cddd"/>
    <w:p>
      <w:pPr>
        <w:pStyle w:val="Heading3"/>
        <w:keepNext/>
        <w:keepLines/>
      </w:pPr>
      <w:r>
        <w:rPr>
          <w:color w:val="000000"/>
          <w:lang w:val="pt-PT"/>
        </w:rPr>
        <w:t xml:space="preserve">2.1 Funções e responsabilidades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Ator</w:t>
            </w:r>
          </w:p>
        </w:tc>
        <w:tc>
          <w:tcPr/>
          <w:p>
            <w:pPr>
              <w:pStyle w:val="Compact"/>
            </w:pPr>
            <w:r>
              <w:rPr>
                <w:lang w:val="pt-PT"/>
              </w:rPr>
              <w:t xml:space="preserve">Função de segurança</w:t>
            </w:r>
          </w:p>
        </w:tc>
      </w:tr>
      <w:tr>
        <w:trPr>
          <w:cantSplit/>
        </w:trPr>
        <w:tc>
          <w:tcPr/>
          <w:p>
            <w:pPr>
              <w:pStyle w:val="Compact"/>
            </w:pPr>
            <w:r>
              <w:rPr>
                <w:b/>
                <w:bCs/>
                <w:lang w:val="pt-PT"/>
              </w:rPr>
              <w:t xml:space="preserve">OHADJA </w:t>
            </w:r>
            <w:r>
              <w:rPr>
                <w:lang w:val="pt-PT"/>
              </w:rPr>
              <w:t xml:space="preserve"/>
            </w:r>
            <w:r>
              <w:rPr>
                <w:lang w:val="pt-PT"/>
              </w:rPr>
              <w:t xml:space="preserve">(editor/mantenedor)</w:t>
            </w:r>
          </w:p>
        </w:tc>
        <w:tc>
          <w:tcPr/>
          <w:p>
            <w:pPr>
              <w:pStyle w:val="Compact"/>
            </w:pPr>
            <w:r>
              <w:rPr>
                <w:lang w:val="pt-PT"/>
              </w:rPr>
              <w:t xml:space="preserve">Segurança de software (SDLC seguro, revisões, patches), fornecimento de uma solução robusta e documentada, suporte e manutenção, gerenciamento de vulnerabilidades de produtos, repositório ISMS. Subcontratante (art. 28 RGPD) se aplicável</w:t>
            </w:r>
          </w:p>
        </w:tc>
      </w:tr>
      <w:tr>
        <w:trPr>
          <w:cantSplit/>
        </w:trPr>
        <w:tc>
          <w:tcPr/>
          <w:p>
            <w:pPr>
              <w:pStyle w:val="Compact"/>
            </w:pPr>
            <w:r>
              <w:rPr>
                <w:b/>
                <w:bCs/>
                <w:lang w:val="pt-PT"/>
              </w:rPr>
              <w:t xml:space="preserve">Integrador de projetos </w:t>
            </w:r>
            <w:r>
              <w:rPr>
                <w:lang w:val="pt-PT"/>
              </w:rPr>
              <w:t xml:space="preserve"/>
            </w:r>
            <w:r>
              <w:rPr>
                <w:lang w:val="pt-PT"/>
              </w:rPr>
              <w:t xml:space="preserve">(integrador/distribuidor)</w:t>
            </w:r>
          </w:p>
        </w:tc>
        <w:tc>
          <w:tcPr/>
          <w:p>
            <w:pPr>
              <w:pStyle w:val="Compact"/>
            </w:pPr>
            <w:r>
              <w:rPr>
                <w:lang w:val="pt-PT"/>
              </w:rPr>
              <w:t xml:space="preserve">Integração, coordenação de implementação, relacionamento de primeiro nível com o cliente; </w:t>
            </w:r>
            <w:r>
              <w:rPr>
                <w:lang w:val="pt-PT"/>
              </w:rPr>
              <w:t xml:space="preserve"/>
            </w:r>
            <w:r>
              <w:rPr>
                <w:b/>
                <w:bCs/>
                <w:lang w:val="pt-PT"/>
              </w:rPr>
              <w:t xml:space="preserve"/>
            </w:r>
            <w:r>
              <w:rPr>
                <w:lang w:val="pt-PT"/>
              </w:rPr>
              <w:t xml:space="preserve">não </w:t>
            </w:r>
            <w:r>
              <w:rPr>
                <w:lang w:val="pt-PT"/>
              </w:rPr>
              <w:t xml:space="preserve">acessa dados de produção</w:t>
            </w:r>
          </w:p>
        </w:tc>
      </w:tr>
      <w:tr>
        <w:trPr>
          <w:cantSplit/>
        </w:trPr>
        <w:tc>
          <w:tcPr/>
          <w:p>
            <w:pPr>
              <w:pStyle w:val="Compact"/>
            </w:pPr>
            <w:r>
              <w:rPr>
                <w:b/>
                <w:bCs/>
                <w:lang w:val="pt-PT"/>
              </w:rPr>
              <w:t xml:space="preserve">AMBASSADIA SARL </w:t>
            </w:r>
            <w:r>
              <w:rPr>
                <w:lang w:val="pt-PT"/>
              </w:rPr>
              <w:t xml:space="preserve"/>
            </w:r>
            <w:r>
              <w:rPr>
                <w:lang w:val="pt-PT"/>
              </w:rPr>
              <w:t xml:space="preserve">(revendedor comercial — Mónaco e França)</w:t>
            </w:r>
          </w:p>
        </w:tc>
        <w:tc>
          <w:tcPr/>
          <w:p>
            <w:pPr>
              <w:pStyle w:val="Compact"/>
            </w:pPr>
            <w:r>
              <w:rPr>
                <w:lang w:val="pt-PT"/>
              </w:rPr>
              <w:t xml:space="preserve">Apenas função comercial: marketing, relação contratual upstream. </w:t>
            </w:r>
            <w:r>
              <w:rPr>
                <w:lang w:val="pt-PT"/>
              </w:rPr>
              <w:t xml:space="preserve">Sem </w:t>
            </w:r>
            <w:r>
              <w:rPr>
                <w:b/>
                <w:bCs/>
                <w:lang w:val="pt-PT"/>
              </w:rPr>
              <w:t xml:space="preserve">funções operacionais, sem acesso aos dados de produção</w:t>
            </w:r>
          </w:p>
        </w:tc>
      </w:tr>
      <w:tr>
        <w:trPr>
          <w:cantSplit/>
        </w:trPr>
        <w:tc>
          <w:tcPr/>
          <w:p>
            <w:pPr>
              <w:pStyle w:val="Compact"/>
            </w:pPr>
            <w:r>
              <w:rPr>
                <w:b/>
                <w:bCs/>
                <w:lang w:val="pt-PT"/>
              </w:rPr>
              <w:t xml:space="preserve">Cliente </w:t>
            </w:r>
            <w:r>
              <w:rPr>
                <w:lang w:val="pt-PT"/>
              </w:rPr>
              <w:t xml:space="preserve"/>
            </w:r>
            <w:r>
              <w:rPr>
                <w:lang w:val="pt-PT"/>
              </w:rPr>
              <w:t xml:space="preserve">(cliente, responsável pelo tratamento)</w:t>
            </w:r>
          </w:p>
        </w:tc>
        <w:tc>
          <w:tcPr/>
          <w:p>
            <w:pPr>
              <w:pStyle w:val="Compact"/>
            </w:pPr>
            <w:r>
              <w:rPr>
                <w:lang w:val="pt-PT"/>
              </w:rPr>
              <w:t xml:space="preserve">Operação on-premise, segurança de infraestrutura (rede, física, PKI), gerenciamento de contas, aplicação de procedimentos, decisão de acesso do provedor</w:t>
            </w:r>
          </w:p>
        </w:tc>
      </w:tr>
    </w:tbl>
    <w:bookmarkEnd w:id="162"/>
    <w:bookmarkStart w:id="163" w:name="X3a750e171fd30dae0ade3105514c5398b325c23"/>
    <w:p>
      <w:pPr>
        <w:pStyle w:val="Heading3"/>
        <w:keepNext/>
        <w:keepLines/>
      </w:pPr>
      <w:r>
        <w:rPr>
          <w:color w:val="000000"/>
          <w:lang w:val="pt-PT"/>
        </w:rPr>
        <w:t xml:space="preserve">2.2 Representante de segurança</w:t>
      </w:r>
    </w:p>
    <w:p>
      <w:pPr>
        <w:pStyle w:val="Compact"/>
        <w:numPr>
          <w:ilvl w:val="0"/>
          <w:numId w:val="1049"/>
        </w:numPr>
      </w:pPr>
      <w:r>
        <w:rPr>
          <w:b/>
          <w:bCs/>
          <w:lang w:val="pt-PT"/>
        </w:rPr>
        <w:t xml:space="preserve">Contacto de segurança da OHADJA (editor/responsável pela </w:t>
      </w:r>
      <w:r>
        <w:rPr>
          <w:lang w:val="pt-PT"/>
        </w:rPr>
        <w:t xml:space="preserve"/>
      </w:r>
      <w:r>
        <w:rPr>
          <w:lang w:val="pt-PT"/>
        </w:rPr>
        <w:t xml:space="preserve">manutenção): Olivier Dupont (CTO, cofundador), também pessoa de contacto para proteção de dados </w:t>
      </w:r>
      <w:r>
        <w:rPr>
          <w:lang w:val="pt-PT"/>
        </w:rPr>
        <w:t xml:space="preserve">— </w:t>
      </w:r>
      <w:r>
        <w:rPr>
          <w:rStyle w:val="VerbatimChar"/>
          <w:lang w:val="pt-PT"/>
        </w:rPr>
        <w:t xml:space="preserve">privacy@transcribia.eu</w:t>
      </w:r>
      <w:r>
        <w:rPr>
          <w:lang w:val="pt-PT"/>
        </w:rPr>
        <w:t xml:space="preserve">.</w:t>
      </w:r>
    </w:p>
    <w:p>
      <w:pPr>
        <w:pStyle w:val="Compact"/>
        <w:numPr>
          <w:ilvl w:val="0"/>
          <w:numId w:val="1049"/>
        </w:numPr>
      </w:pPr>
      <w:r>
        <w:rPr>
          <w:b/>
          <w:bCs/>
          <w:lang w:val="pt-PT"/>
        </w:rPr>
        <w:t xml:space="preserve">Representante de segurança do </w:t>
      </w:r>
      <w:r>
        <w:rPr>
          <w:lang w:val="pt-PT"/>
        </w:rPr>
        <w:t xml:space="preserve"/>
      </w:r>
      <w:r>
        <w:rPr>
          <w:rStyle w:val="VerbatimChar"/>
          <w:lang w:val="pt-PT"/>
        </w:rPr>
        <w:t xml:space="preserve">cliente: [ATENÇÃO: correspondente de segurança </w:t>
      </w:r>
      <w:r>
        <w:rPr>
          <w:lang w:val="pt-PT"/>
        </w:rPr>
        <w:t xml:space="preserve">CISO/DSI].</w:t>
      </w:r>
    </w:p>
    <w:p>
      <w:pPr>
        <w:pStyle w:val="Compact"/>
        <w:numPr>
          <w:ilvl w:val="0"/>
          <w:numId w:val="1049"/>
        </w:numPr>
      </w:pPr>
      <w:r>
        <w:rPr>
          <w:b/>
          <w:bCs/>
          <w:lang w:val="pt-PT"/>
        </w:rPr>
        <w:t xml:space="preserve">Contacto do integrador: </w:t>
      </w:r>
      <w:r>
        <w:rPr>
          <w:lang w:val="pt-PT"/>
        </w:rPr>
        <w:t xml:space="preserve"/>
      </w:r>
      <w:r>
        <w:rPr>
          <w:rStyle w:val="VerbatimChar"/>
          <w:lang w:val="pt-PT"/>
        </w:rPr>
        <w:t xml:space="preserve">[ATENÇÃO: integrador do </w:t>
      </w:r>
      <w:r>
        <w:rPr>
          <w:lang w:val="pt-PT"/>
        </w:rPr>
        <w:t xml:space="preserve">projeto].</w:t>
      </w:r>
    </w:p>
    <w:bookmarkEnd w:id="163"/>
    <w:bookmarkStart w:id="164" w:name="Xa748e33a4b189c0bd6879f3e4b06cee8352ed35"/>
    <w:p>
      <w:pPr>
        <w:pStyle w:val="Heading3"/>
        <w:keepNext/>
        <w:keepLines/>
      </w:pPr>
      <w:r>
        <w:rPr>
          <w:color w:val="000000"/>
          <w:lang w:val="pt-PT"/>
        </w:rPr>
        <w:t xml:space="preserve">2.3 Modelo de responsabilidade (local)</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pt-PT"/>
              </w:rPr>
              <w:t xml:space="preserve">Domínio</w:t>
            </w:r>
          </w:p>
        </w:tc>
        <w:tc>
          <w:tcPr>
            <w:tcW w:type="dxa" w:w="2340"/>
            <w:tcMar>
              <w:left w:type="dxa" w:w="80"/>
              <w:right w:type="dxa" w:w="80"/>
            </w:tcMar>
          </w:tcPr>
          <w:p>
            <w:pPr>
              <w:pStyle w:val="Compact"/>
            </w:pPr>
            <w:r>
              <w:rPr>
                <w:sz w:val="19"/>
                <w:szCs w:val="19"/>
                <w:lang w:val="pt-PT"/>
              </w:rPr>
              <w:t xml:space="preserve">Editor</w:t>
            </w:r>
          </w:p>
        </w:tc>
        <w:tc>
          <w:tcPr>
            <w:tcW w:type="dxa" w:w="2340"/>
            <w:tcMar>
              <w:left w:type="dxa" w:w="80"/>
              <w:right w:type="dxa" w:w="80"/>
            </w:tcMar>
          </w:tcPr>
          <w:p>
            <w:pPr>
              <w:pStyle w:val="Compact"/>
            </w:pPr>
            <w:r>
              <w:rPr>
                <w:sz w:val="19"/>
                <w:szCs w:val="19"/>
                <w:lang w:val="pt-PT"/>
              </w:rPr>
              <w:t xml:space="preserve">Integrador</w:t>
            </w:r>
          </w:p>
        </w:tc>
        <w:tc>
          <w:tcPr>
            <w:tcW w:type="dxa" w:w="2340"/>
            <w:tcMar>
              <w:left w:type="dxa" w:w="80"/>
              <w:right w:type="dxa" w:w="80"/>
            </w:tcMar>
          </w:tcPr>
          <w:p>
            <w:pPr>
              <w:pStyle w:val="Compact"/>
            </w:pPr>
            <w:r>
              <w:rPr>
                <w:sz w:val="19"/>
                <w:szCs w:val="19"/>
                <w:lang w:val="pt-PT"/>
              </w:rPr>
              <w:t xml:space="preserve">Cliente</w:t>
            </w:r>
          </w:p>
        </w:tc>
      </w:tr>
      <w:tr>
        <w:trPr>
          <w:cantSplit/>
        </w:trPr>
        <w:tc>
          <w:tcPr>
            <w:tcW w:type="dxa" w:w="2340"/>
            <w:tcMar>
              <w:left w:type="dxa" w:w="80"/>
              <w:right w:type="dxa" w:w="80"/>
            </w:tcMar>
          </w:tcPr>
          <w:p>
            <w:pPr>
              <w:pStyle w:val="Compact"/>
            </w:pPr>
            <w:r>
              <w:rPr>
                <w:sz w:val="19"/>
                <w:szCs w:val="19"/>
                <w:lang w:val="pt-PT"/>
              </w:rPr>
              <w:t xml:space="preserve">Segurança de Código / SDLC</w:t>
            </w:r>
          </w:p>
        </w:tc>
        <w:tc>
          <w:tcPr>
            <w:tcW w:type="dxa" w:w="2340"/>
            <w:tcMar>
              <w:left w:type="dxa" w:w="80"/>
              <w:right w:type="dxa" w:w="80"/>
            </w:tcMar>
          </w:tcPr>
          <w:p>
            <w:pPr>
              <w:pStyle w:val="Compact"/>
            </w:pPr>
            <w:r>
              <w:rPr>
                <w:sz w:val="19"/>
                <w:szCs w:val="19"/>
                <w:lang w:val="pt-PT"/>
              </w:rPr>
              <w:t xml:space="preserve">✔</w:t>
            </w:r>
          </w:p>
        </w:tc>
        <w:tc>
          <w:tcPr>
            <w:tcW w:type="dxa" w:w="2340"/>
            <w:tcMar>
              <w:left w:type="dxa" w:w="80"/>
              <w:right w:type="dxa" w:w="80"/>
            </w:tcMar>
          </w:tcPr>
          <w:p>
            <w:pPr>
              <w:pStyle w:val="Compact"/>
            </w:pP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pt-PT"/>
              </w:rPr>
              <w:t xml:space="preserve">Entrega de integridade (versões marcadas)</w:t>
            </w:r>
          </w:p>
        </w:tc>
        <w:tc>
          <w:tcPr>
            <w:tcW w:type="dxa" w:w="2340"/>
            <w:tcMar>
              <w:left w:type="dxa" w:w="80"/>
              <w:right w:type="dxa" w:w="80"/>
            </w:tcMar>
          </w:tcPr>
          <w:p>
            <w:pPr>
              <w:pStyle w:val="Compact"/>
            </w:pPr>
            <w:r>
              <w:rPr>
                <w:sz w:val="19"/>
                <w:szCs w:val="19"/>
                <w:lang w:val="pt-PT"/>
              </w:rPr>
              <w:t xml:space="preserve">✔</w:t>
            </w:r>
          </w:p>
        </w:tc>
        <w:tc>
          <w:tcPr>
            <w:tcW w:type="dxa" w:w="2340"/>
            <w:tcMar>
              <w:left w:type="dxa" w:w="80"/>
              <w:right w:type="dxa" w:w="80"/>
            </w:tcMar>
          </w:tcPr>
          <w:p>
            <w:pPr>
              <w:pStyle w:val="Compact"/>
            </w:pPr>
            <w:r>
              <w:rPr>
                <w:sz w:val="19"/>
                <w:szCs w:val="19"/>
                <w:lang w:val="pt-PT"/>
              </w:rPr>
              <w:t xml:space="preserve">✔ (implementação)</w:t>
            </w: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pt-PT"/>
              </w:rPr>
              <w:t xml:space="preserve">Proteção do SO/Docker</w:t>
            </w:r>
          </w:p>
        </w:tc>
        <w:tc>
          <w:tcPr>
            <w:tcW w:type="dxa" w:w="2340"/>
            <w:tcMar>
              <w:left w:type="dxa" w:w="80"/>
              <w:right w:type="dxa" w:w="80"/>
            </w:tcMar>
          </w:tcPr>
          <w:p>
            <w:pPr>
              <w:pStyle w:val="Compact"/>
            </w:pPr>
            <w:r>
              <w:rPr>
                <w:sz w:val="19"/>
                <w:szCs w:val="19"/>
                <w:lang w:val="pt-PT"/>
              </w:rPr>
              <w:t xml:space="preserve">✔ (guia)</w:t>
            </w:r>
          </w:p>
        </w:tc>
        <w:tc>
          <w:tcPr>
            <w:tcW w:type="dxa" w:w="2340"/>
            <w:tcMar>
              <w:left w:type="dxa" w:w="80"/>
              <w:right w:type="dxa" w:w="80"/>
            </w:tcMar>
          </w:tcPr>
          <w:p>
            <w:pPr>
              <w:pStyle w:val="Compact"/>
            </w:pPr>
            <w:r>
              <w:rPr>
                <w:sz w:val="19"/>
                <w:szCs w:val="19"/>
                <w:lang w:val="pt-PT"/>
              </w:rPr>
              <w:t xml:space="preserve">✔ (implementação)</w:t>
            </w:r>
          </w:p>
        </w:tc>
        <w:tc>
          <w:tcPr>
            <w:tcW w:type="dxa" w:w="2340"/>
            <w:tcMar>
              <w:left w:type="dxa" w:w="80"/>
              <w:right w:type="dxa" w:w="80"/>
            </w:tcMar>
          </w:tcPr>
          <w:p>
            <w:pPr>
              <w:pStyle w:val="Compact"/>
            </w:pPr>
            <w:r>
              <w:rPr>
                <w:sz w:val="19"/>
                <w:szCs w:val="19"/>
                <w:lang w:val="pt-PT"/>
              </w:rPr>
              <w:t xml:space="preserve">✔ (operação)</w:t>
            </w:r>
          </w:p>
        </w:tc>
      </w:tr>
      <w:tr>
        <w:trPr>
          <w:cantSplit/>
        </w:trPr>
        <w:tc>
          <w:tcPr>
            <w:tcW w:type="dxa" w:w="2340"/>
            <w:tcMar>
              <w:left w:type="dxa" w:w="80"/>
              <w:right w:type="dxa" w:w="80"/>
            </w:tcMar>
          </w:tcPr>
          <w:p>
            <w:pPr>
              <w:pStyle w:val="Compact"/>
            </w:pPr>
            <w:r>
              <w:rPr>
                <w:sz w:val="19"/>
                <w:szCs w:val="19"/>
                <w:lang w:val="pt-PT"/>
              </w:rPr>
              <w:t xml:space="preserve">Rede/segmentação/firewall</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pt-PT"/>
              </w:rPr>
              <w:t xml:space="preserve">(conselho)</w:t>
            </w:r>
          </w:p>
        </w:tc>
        <w:tc>
          <w:tcPr>
            <w:tcW w:type="dxa" w:w="2340"/>
            <w:tcMar>
              <w:left w:type="dxa" w:w="80"/>
              <w:right w:type="dxa" w:w="80"/>
            </w:tcMar>
          </w:tcPr>
          <w:p>
            <w:pPr>
              <w:pStyle w:val="Compact"/>
            </w:pPr>
            <w:r>
              <w:rPr>
                <w:sz w:val="19"/>
                <w:szCs w:val="19"/>
                <w:lang w:val="pt-PT"/>
              </w:rPr>
              <w:t xml:space="preserve">✔</w:t>
            </w:r>
          </w:p>
        </w:tc>
      </w:tr>
      <w:tr>
        <w:trPr>
          <w:cantSplit/>
        </w:trPr>
        <w:tc>
          <w:tcPr>
            <w:tcW w:type="dxa" w:w="2340"/>
            <w:tcMar>
              <w:left w:type="dxa" w:w="80"/>
              <w:right w:type="dxa" w:w="80"/>
            </w:tcMar>
          </w:tcPr>
          <w:p>
            <w:pPr>
              <w:pStyle w:val="Compact"/>
            </w:pPr>
            <w:r>
              <w:rPr>
                <w:sz w:val="19"/>
                <w:szCs w:val="19"/>
                <w:lang w:val="pt-PT"/>
              </w:rPr>
              <w:t xml:space="preserve">Segurança física dos quartos</w:t>
            </w:r>
          </w:p>
        </w:tc>
        <w:tc>
          <w:tcPr>
            <w:tcW w:type="dxa" w:w="2340"/>
            <w:tcMar>
              <w:left w:type="dxa" w:w="80"/>
              <w:right w:type="dxa" w:w="80"/>
            </w:tcMar>
          </w:tcPr>
          <w:p>
            <w:pPr>
              <w:pStyle w:val="Compact"/>
            </w:pP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pt-PT"/>
              </w:rPr>
              <w:t xml:space="preserve">✔</w:t>
            </w:r>
          </w:p>
        </w:tc>
      </w:tr>
      <w:tr>
        <w:trPr>
          <w:cantSplit/>
        </w:trPr>
        <w:tc>
          <w:tcPr>
            <w:tcW w:type="dxa" w:w="2340"/>
            <w:tcMar>
              <w:left w:type="dxa" w:w="80"/>
              <w:right w:type="dxa" w:w="80"/>
            </w:tcMar>
          </w:tcPr>
          <w:p>
            <w:pPr>
              <w:pStyle w:val="Compact"/>
            </w:pPr>
            <w:r>
              <w:rPr>
                <w:sz w:val="19"/>
                <w:szCs w:val="19"/>
                <w:lang w:val="pt-PT"/>
              </w:rPr>
              <w:t xml:space="preserve">Gerenciamento de contas/RBAC/2FA</w:t>
            </w:r>
          </w:p>
        </w:tc>
        <w:tc>
          <w:tcPr>
            <w:tcW w:type="dxa" w:w="2340"/>
            <w:tcMar>
              <w:left w:type="dxa" w:w="80"/>
              <w:right w:type="dxa" w:w="80"/>
            </w:tcMar>
          </w:tcPr>
          <w:p>
            <w:pPr>
              <w:pStyle w:val="Compact"/>
            </w:pPr>
            <w:r>
              <w:rPr>
                <w:sz w:val="19"/>
                <w:szCs w:val="19"/>
                <w:lang w:val="pt-PT"/>
              </w:rPr>
              <w:t xml:space="preserve">(fornecido)</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pt-PT"/>
              </w:rPr>
              <w:t xml:space="preserve">✔ (administração)</w:t>
            </w:r>
          </w:p>
        </w:tc>
      </w:tr>
      <w:tr>
        <w:trPr>
          <w:cantSplit/>
        </w:trPr>
        <w:tc>
          <w:tcPr>
            <w:tcW w:type="dxa" w:w="2340"/>
            <w:tcMar>
              <w:left w:type="dxa" w:w="80"/>
              <w:right w:type="dxa" w:w="80"/>
            </w:tcMar>
          </w:tcPr>
          <w:p>
            <w:pPr>
              <w:pStyle w:val="Compact"/>
            </w:pPr>
            <w:r>
              <w:rPr>
                <w:sz w:val="19"/>
                <w:szCs w:val="19"/>
                <w:lang w:val="pt-PT"/>
              </w:rPr>
              <w:t xml:space="preserve">Backups/restauração</w:t>
            </w:r>
          </w:p>
        </w:tc>
        <w:tc>
          <w:tcPr>
            <w:tcW w:type="dxa" w:w="2340"/>
            <w:tcMar>
              <w:left w:type="dxa" w:w="80"/>
              <w:right w:type="dxa" w:w="80"/>
            </w:tcMar>
          </w:tcPr>
          <w:p>
            <w:pPr>
              <w:pStyle w:val="Compact"/>
            </w:pPr>
            <w:r>
              <w:rPr>
                <w:sz w:val="19"/>
                <w:szCs w:val="19"/>
                <w:lang w:val="pt-PT"/>
              </w:rPr>
              <w:t xml:space="preserve">(fornecido)</w:t>
            </w:r>
          </w:p>
        </w:tc>
        <w:tc>
          <w:tcPr>
            <w:tcW w:type="dxa" w:w="2340"/>
            <w:tcMar>
              <w:left w:type="dxa" w:w="80"/>
              <w:right w:type="dxa" w:w="80"/>
            </w:tcMar>
          </w:tcPr>
          <w:p>
            <w:pPr>
              <w:pStyle w:val="Compact"/>
            </w:pPr>
            <w:r>
              <w:rPr>
                <w:sz w:val="19"/>
                <w:szCs w:val="19"/>
                <w:lang w:val="pt-PT"/>
              </w:rPr>
              <w:t xml:space="preserve">✔ (configuração)</w:t>
            </w:r>
          </w:p>
        </w:tc>
        <w:tc>
          <w:tcPr>
            <w:tcW w:type="dxa" w:w="2340"/>
            <w:tcMar>
              <w:left w:type="dxa" w:w="80"/>
              <w:right w:type="dxa" w:w="80"/>
            </w:tcMar>
          </w:tcPr>
          <w:p>
            <w:pPr>
              <w:pStyle w:val="Compact"/>
            </w:pPr>
            <w:r>
              <w:rPr>
                <w:sz w:val="19"/>
                <w:szCs w:val="19"/>
                <w:lang w:val="pt-PT"/>
              </w:rPr>
              <w:t xml:space="preserve">✔ (execução, chaves)</w:t>
            </w:r>
          </w:p>
        </w:tc>
      </w:tr>
      <w:tr>
        <w:trPr>
          <w:cantSplit/>
        </w:trPr>
        <w:tc>
          <w:tcPr>
            <w:tcW w:type="dxa" w:w="2340"/>
            <w:tcMar>
              <w:left w:type="dxa" w:w="80"/>
              <w:right w:type="dxa" w:w="80"/>
            </w:tcMar>
          </w:tcPr>
          <w:p>
            <w:pPr>
              <w:pStyle w:val="Compact"/>
            </w:pPr>
            <w:r>
              <w:rPr>
                <w:sz w:val="19"/>
                <w:szCs w:val="19"/>
                <w:lang w:val="pt-PT"/>
              </w:rPr>
              <w:t xml:space="preserve">Supervisão / alertas</w:t>
            </w:r>
          </w:p>
        </w:tc>
        <w:tc>
          <w:tcPr>
            <w:tcW w:type="dxa" w:w="2340"/>
            <w:tcMar>
              <w:left w:type="dxa" w:w="80"/>
              <w:right w:type="dxa" w:w="80"/>
            </w:tcMar>
          </w:tcPr>
          <w:p>
            <w:pPr>
              <w:pStyle w:val="Compact"/>
            </w:pPr>
            <w:r>
              <w:rPr>
                <w:sz w:val="19"/>
                <w:szCs w:val="19"/>
                <w:lang w:val="pt-PT"/>
              </w:rPr>
              <w:t xml:space="preserve">(fornecido)</w:t>
            </w:r>
          </w:p>
        </w:tc>
        <w:tc>
          <w:tcPr>
            <w:tcW w:type="dxa" w:w="2340"/>
            <w:tcMar>
              <w:left w:type="dxa" w:w="80"/>
              <w:right w:type="dxa" w:w="80"/>
            </w:tcMar>
          </w:tcPr>
          <w:p>
            <w:pPr>
              <w:pStyle w:val="Compact"/>
            </w:pPr>
            <w:r>
              <w:rPr>
                <w:sz w:val="19"/>
                <w:szCs w:val="19"/>
                <w:lang w:val="pt-PT"/>
              </w:rPr>
              <w:t xml:space="preserve">✔ (configuração)</w:t>
            </w:r>
          </w:p>
        </w:tc>
        <w:tc>
          <w:tcPr>
            <w:tcW w:type="dxa" w:w="2340"/>
            <w:tcMar>
              <w:left w:type="dxa" w:w="80"/>
              <w:right w:type="dxa" w:w="80"/>
            </w:tcMar>
          </w:tcPr>
          <w:p>
            <w:pPr>
              <w:pStyle w:val="Compact"/>
            </w:pPr>
            <w:r>
              <w:rPr>
                <w:sz w:val="19"/>
                <w:szCs w:val="19"/>
                <w:lang w:val="pt-PT"/>
              </w:rPr>
              <w:t xml:space="preserve">✔ (operação)</w:t>
            </w:r>
          </w:p>
        </w:tc>
      </w:tr>
      <w:tr>
        <w:trPr>
          <w:cantSplit/>
        </w:trPr>
        <w:tc>
          <w:tcPr>
            <w:tcW w:type="dxa" w:w="2340"/>
            <w:tcMar>
              <w:left w:type="dxa" w:w="80"/>
              <w:right w:type="dxa" w:w="80"/>
            </w:tcMar>
          </w:tcPr>
          <w:p>
            <w:pPr>
              <w:pStyle w:val="Compact"/>
            </w:pPr>
            <w:r>
              <w:rPr>
                <w:sz w:val="19"/>
                <w:szCs w:val="19"/>
                <w:lang w:val="pt-PT"/>
              </w:rPr>
              <w:t xml:space="preserve">Gerenciamento de incidentes</w:t>
            </w:r>
          </w:p>
        </w:tc>
        <w:tc>
          <w:tcPr>
            <w:tcW w:type="dxa" w:w="2340"/>
            <w:tcMar>
              <w:left w:type="dxa" w:w="80"/>
              <w:right w:type="dxa" w:w="80"/>
            </w:tcMar>
          </w:tcPr>
          <w:p>
            <w:pPr>
              <w:pStyle w:val="Compact"/>
            </w:pPr>
            <w:r>
              <w:rPr>
                <w:sz w:val="19"/>
                <w:szCs w:val="19"/>
                <w:lang w:val="pt-PT"/>
              </w:rPr>
              <w:t xml:space="preserve">(suporte)</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pt-PT"/>
              </w:rPr>
              <w:t xml:space="preserve">✔ (dirigindo)</w:t>
            </w:r>
          </w:p>
        </w:tc>
      </w:tr>
    </w:tbl>
    <w:p>
      <w:r>
        <w:pict>
          <v:rect style="width:0;height:1.5pt" o:hralign="center" o:hrstd="t" o:hr="t"/>
        </w:pict>
      </w:r>
    </w:p>
    <w:bookmarkEnd w:id="164"/>
    <w:bookmarkEnd w:id="165"/>
    <w:bookmarkStart w:id="166" w:name="Xba6a84f3674a4919d8d253edcb01a711029516a"/>
    <w:p>
      <w:pPr>
        <w:pStyle w:val="Heading2"/>
        <w:keepNext/>
        <w:keepLines/>
      </w:pPr>
      <w:r>
        <w:rPr>
          <w:color w:val="000000"/>
          <w:lang w:val="pt-PT"/>
        </w:rPr>
        <w:t xml:space="preserve">3. Repositório documental de segurança (SGSI)</w:t>
      </w:r>
    </w:p>
    <w:p>
      <w:pPr>
        <w:pStyle w:val="FirstParagraph"/>
      </w:pPr>
      <w:r>
        <w:rPr>
          <w:lang w:val="pt-PT"/>
        </w:rPr>
        <w:t xml:space="preserve">OHADJA é baseado em 16 </w:t>
      </w:r>
      <w:r>
        <w:rPr>
          <w:lang w:val="pt-PT"/>
        </w:rPr>
        <w:t xml:space="preserve"/>
      </w:r>
      <w:r>
        <w:rPr>
          <w:b/>
          <w:bCs/>
          <w:lang w:val="pt-PT"/>
        </w:rPr>
        <w:t xml:space="preserve">políticas SGSI formalizadas </w:t>
      </w:r>
      <w:r>
        <w:rPr>
          <w:lang w:val="pt-PT"/>
        </w:rPr>
        <w:t xml:space="preserve"/>
      </w:r>
      <w:r>
        <w:rPr>
          <w:lang w:val="pt-PT"/>
        </w:rPr>
        <w:t xml:space="preserve">(abordagem estruturada ISO/IEC 27001 iniciada; nenhuma certificação </w:t>
      </w:r>
      <w:r>
        <w:rPr>
          <w:lang w:val="pt-PT"/>
        </w:rPr>
        <w:t xml:space="preserve"/>
      </w:r>
      <w:r>
        <w:rPr>
          <w:b/>
          <w:bCs/>
          <w:lang w:val="pt-PT"/>
        </w:rPr>
        <w:t xml:space="preserve">obtida até o momento, certificação </w:t>
      </w:r>
      <w:r>
        <w:rPr>
          <w:lang w:val="pt-PT"/>
        </w:rPr>
        <w:t xml:space="preserve">prevista para o início de 2027). Estas políticas estão </w:t>
      </w:r>
      <w:r>
        <w:rPr>
          <w:lang w:val="pt-PT"/>
        </w:rPr>
        <w:t xml:space="preserve">disponíveis </w:t>
      </w:r>
      <w:r>
        <w:rPr>
          <w:b/>
          <w:bCs/>
          <w:lang w:val="pt-PT"/>
        </w:rPr>
        <w:t xml:space="preserve">mediante </w:t>
      </w:r>
      <w:r>
        <w:rPr>
          <w:lang w:val="pt-PT"/>
        </w:rPr>
        <w:t xml:space="preserve">solicitação.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w:t>
            </w:r>
          </w:p>
        </w:tc>
        <w:tc>
          <w:tcPr/>
          <w:p>
            <w:pPr>
              <w:pStyle w:val="Compact"/>
            </w:pPr>
            <w:r>
              <w:rPr>
                <w:lang w:val="pt-PT"/>
              </w:rPr>
              <w:t xml:space="preserve">Política</w:t>
            </w:r>
          </w:p>
        </w:tc>
      </w:tr>
      <w:tr>
        <w:trPr>
          <w:cantSplit/>
        </w:trPr>
        <w:tc>
          <w:tcPr/>
          <w:p>
            <w:pPr>
              <w:pStyle w:val="Compact"/>
            </w:pPr>
            <w:r>
              <w:rPr>
                <w:lang w:val="pt-PT"/>
              </w:rPr>
              <w:t xml:space="preserve">1</w:t>
            </w:r>
          </w:p>
        </w:tc>
        <w:tc>
          <w:tcPr/>
          <w:p>
            <w:pPr>
              <w:pStyle w:val="Compact"/>
            </w:pPr>
            <w:r>
              <w:rPr>
                <w:lang w:val="pt-PT"/>
              </w:rPr>
              <w:t xml:space="preserve">Segurança da informação (política-quadro)</w:t>
            </w:r>
          </w:p>
        </w:tc>
      </w:tr>
      <w:tr>
        <w:trPr>
          <w:cantSplit/>
        </w:trPr>
        <w:tc>
          <w:tcPr/>
          <w:p>
            <w:pPr>
              <w:pStyle w:val="Compact"/>
            </w:pPr>
            <w:r>
              <w:rPr>
                <w:lang w:val="pt-PT"/>
              </w:rPr>
              <w:t xml:space="preserve">2</w:t>
            </w:r>
          </w:p>
        </w:tc>
        <w:tc>
          <w:tcPr/>
          <w:p>
            <w:pPr>
              <w:pStyle w:val="Compact"/>
            </w:pPr>
            <w:r>
              <w:rPr>
                <w:lang w:val="pt-PT"/>
              </w:rPr>
              <w:t xml:space="preserve">Classificação das informações</w:t>
            </w:r>
          </w:p>
        </w:tc>
      </w:tr>
      <w:tr>
        <w:trPr>
          <w:cantSplit/>
        </w:trPr>
        <w:tc>
          <w:tcPr/>
          <w:p>
            <w:pPr>
              <w:pStyle w:val="Compact"/>
            </w:pPr>
            <w:r>
              <w:rPr>
                <w:lang w:val="pt-PT"/>
              </w:rPr>
              <w:t xml:space="preserve">3</w:t>
            </w:r>
          </w:p>
        </w:tc>
        <w:tc>
          <w:tcPr/>
          <w:p>
            <w:pPr>
              <w:pStyle w:val="Compact"/>
            </w:pPr>
            <w:r>
              <w:rPr>
                <w:lang w:val="pt-PT"/>
              </w:rPr>
              <w:t xml:space="preserve">Cifragem</w:t>
            </w:r>
          </w:p>
        </w:tc>
      </w:tr>
      <w:tr>
        <w:trPr>
          <w:cantSplit/>
        </w:trPr>
        <w:tc>
          <w:tcPr/>
          <w:p>
            <w:pPr>
              <w:pStyle w:val="Compact"/>
            </w:pPr>
            <w:r>
              <w:rPr>
                <w:lang w:val="pt-PT"/>
              </w:rPr>
              <w:t xml:space="preserve">4</w:t>
            </w:r>
          </w:p>
        </w:tc>
        <w:tc>
          <w:tcPr/>
          <w:p>
            <w:pPr>
              <w:pStyle w:val="Compact"/>
            </w:pPr>
            <w:r>
              <w:rPr>
                <w:lang w:val="pt-PT"/>
              </w:rPr>
              <w:t xml:space="preserve">Controlo de acesso</w:t>
            </w:r>
          </w:p>
        </w:tc>
      </w:tr>
      <w:tr>
        <w:trPr>
          <w:cantSplit/>
        </w:trPr>
        <w:tc>
          <w:tcPr/>
          <w:p>
            <w:pPr>
              <w:pStyle w:val="Compact"/>
            </w:pPr>
            <w:r>
              <w:rPr>
                <w:lang w:val="pt-PT"/>
              </w:rPr>
              <w:t xml:space="preserve">5</w:t>
            </w:r>
          </w:p>
        </w:tc>
        <w:tc>
          <w:tcPr/>
          <w:p>
            <w:pPr>
              <w:pStyle w:val="Compact"/>
            </w:pPr>
            <w:r>
              <w:rPr>
                <w:lang w:val="pt-PT"/>
              </w:rPr>
              <w:t xml:space="preserve">Senhas</w:t>
            </w:r>
          </w:p>
        </w:tc>
      </w:tr>
      <w:tr>
        <w:trPr>
          <w:cantSplit/>
        </w:trPr>
        <w:tc>
          <w:tcPr/>
          <w:p>
            <w:pPr>
              <w:pStyle w:val="Compact"/>
            </w:pPr>
            <w:r>
              <w:rPr>
                <w:lang w:val="pt-PT"/>
              </w:rPr>
              <w:t xml:space="preserve">6</w:t>
            </w:r>
          </w:p>
        </w:tc>
        <w:tc>
          <w:tcPr/>
          <w:p>
            <w:pPr>
              <w:pStyle w:val="Compact"/>
            </w:pPr>
            <w:r>
              <w:rPr>
                <w:lang w:val="pt-PT"/>
              </w:rPr>
              <w:t xml:space="preserve">Gestão de mudanças</w:t>
            </w:r>
          </w:p>
        </w:tc>
      </w:tr>
      <w:tr>
        <w:trPr>
          <w:cantSplit/>
        </w:trPr>
        <w:tc>
          <w:tcPr/>
          <w:p>
            <w:pPr>
              <w:pStyle w:val="Compact"/>
            </w:pPr>
            <w:r>
              <w:rPr>
                <w:lang w:val="pt-PT"/>
              </w:rPr>
              <w:t xml:space="preserve">7</w:t>
            </w:r>
          </w:p>
        </w:tc>
        <w:tc>
          <w:tcPr/>
          <w:p>
            <w:pPr>
              <w:pStyle w:val="Compact"/>
            </w:pPr>
            <w:r>
              <w:rPr>
                <w:lang w:val="pt-PT"/>
              </w:rPr>
              <w:t xml:space="preserve">Ciclo de vida de desenvolvimento de software seguro (SDLC)</w:t>
            </w:r>
          </w:p>
        </w:tc>
      </w:tr>
      <w:tr>
        <w:trPr>
          <w:cantSplit/>
        </w:trPr>
        <w:tc>
          <w:tcPr/>
          <w:p>
            <w:pPr>
              <w:pStyle w:val="Compact"/>
            </w:pPr>
            <w:r>
              <w:rPr>
                <w:lang w:val="pt-PT"/>
              </w:rPr>
              <w:t xml:space="preserve">8</w:t>
            </w:r>
          </w:p>
        </w:tc>
        <w:tc>
          <w:tcPr/>
          <w:p>
            <w:pPr>
              <w:pStyle w:val="Compact"/>
            </w:pPr>
            <w:r>
              <w:rPr>
                <w:lang w:val="pt-PT"/>
              </w:rPr>
              <w:t xml:space="preserve">Segurança física</w:t>
            </w:r>
          </w:p>
        </w:tc>
      </w:tr>
      <w:tr>
        <w:trPr>
          <w:cantSplit/>
        </w:trPr>
        <w:tc>
          <w:tcPr/>
          <w:p>
            <w:pPr>
              <w:pStyle w:val="Compact"/>
            </w:pPr>
            <w:r>
              <w:rPr>
                <w:lang w:val="pt-PT"/>
              </w:rPr>
              <w:t xml:space="preserve">9</w:t>
            </w:r>
          </w:p>
        </w:tc>
        <w:tc>
          <w:tcPr/>
          <w:p>
            <w:pPr>
              <w:pStyle w:val="Compact"/>
            </w:pPr>
            <w:r>
              <w:rPr>
                <w:lang w:val="pt-PT"/>
              </w:rPr>
              <w:t xml:space="preserve">Resposta a incidentes</w:t>
            </w:r>
          </w:p>
        </w:tc>
      </w:tr>
      <w:tr>
        <w:trPr>
          <w:cantSplit/>
        </w:trPr>
        <w:tc>
          <w:tcPr/>
          <w:p>
            <w:pPr>
              <w:pStyle w:val="Compact"/>
            </w:pPr>
            <w:r>
              <w:rPr>
                <w:lang w:val="pt-PT"/>
              </w:rPr>
              <w:t xml:space="preserve">10</w:t>
            </w:r>
          </w:p>
        </w:tc>
        <w:tc>
          <w:tcPr/>
          <w:p>
            <w:pPr>
              <w:pStyle w:val="Compact"/>
            </w:pPr>
            <w:r>
              <w:rPr>
                <w:lang w:val="pt-PT"/>
              </w:rPr>
              <w:t xml:space="preserve">Cópia de segurança</w:t>
            </w:r>
          </w:p>
        </w:tc>
      </w:tr>
      <w:tr>
        <w:trPr>
          <w:cantSplit/>
        </w:trPr>
        <w:tc>
          <w:tcPr/>
          <w:p>
            <w:pPr>
              <w:pStyle w:val="Compact"/>
            </w:pPr>
            <w:r>
              <w:rPr>
                <w:lang w:val="pt-PT"/>
              </w:rPr>
              <w:t xml:space="preserve">11</w:t>
            </w:r>
          </w:p>
        </w:tc>
        <w:tc>
          <w:tcPr/>
          <w:p>
            <w:pPr>
              <w:pStyle w:val="Compact"/>
            </w:pPr>
            <w:r>
              <w:rPr>
                <w:lang w:val="pt-PT"/>
              </w:rPr>
              <w:t xml:space="preserve">Plano de continuidade/retomada de negócios (PCA/PRA)</w:t>
            </w:r>
          </w:p>
        </w:tc>
      </w:tr>
      <w:tr>
        <w:trPr>
          <w:cantSplit/>
        </w:trPr>
        <w:tc>
          <w:tcPr/>
          <w:p>
            <w:pPr>
              <w:pStyle w:val="Compact"/>
            </w:pPr>
            <w:r>
              <w:rPr>
                <w:lang w:val="pt-PT"/>
              </w:rPr>
              <w:t xml:space="preserve">12</w:t>
            </w:r>
          </w:p>
        </w:tc>
        <w:tc>
          <w:tcPr/>
          <w:p>
            <w:pPr>
              <w:pStyle w:val="Compact"/>
            </w:pPr>
            <w:r>
              <w:rPr>
                <w:lang w:val="pt-PT"/>
              </w:rPr>
              <w:t xml:space="preserve">Segurança de rede</w:t>
            </w:r>
          </w:p>
        </w:tc>
      </w:tr>
      <w:tr>
        <w:trPr>
          <w:cantSplit/>
        </w:trPr>
        <w:tc>
          <w:tcPr/>
          <w:p>
            <w:pPr>
              <w:pStyle w:val="Compact"/>
            </w:pPr>
            <w:r>
              <w:rPr>
                <w:lang w:val="pt-PT"/>
              </w:rPr>
              <w:t xml:space="preserve">13</w:t>
            </w:r>
          </w:p>
        </w:tc>
        <w:tc>
          <w:tcPr/>
          <w:p>
            <w:pPr>
              <w:pStyle w:val="Compact"/>
            </w:pPr>
            <w:r>
              <w:rPr>
                <w:lang w:val="pt-PT"/>
              </w:rPr>
              <w:t xml:space="preserve">Proteção de dados</w:t>
            </w:r>
          </w:p>
        </w:tc>
      </w:tr>
      <w:tr>
        <w:trPr>
          <w:cantSplit/>
        </w:trPr>
        <w:tc>
          <w:tcPr/>
          <w:p>
            <w:pPr>
              <w:pStyle w:val="Compact"/>
            </w:pPr>
            <w:r>
              <w:rPr>
                <w:lang w:val="pt-PT"/>
              </w:rPr>
              <w:t xml:space="preserve">14</w:t>
            </w:r>
          </w:p>
        </w:tc>
        <w:tc>
          <w:tcPr/>
          <w:p>
            <w:pPr>
              <w:pStyle w:val="Compact"/>
            </w:pPr>
            <w:r>
              <w:rPr>
                <w:lang w:val="pt-PT"/>
              </w:rPr>
              <w:t xml:space="preserve">Ética</w:t>
            </w:r>
          </w:p>
        </w:tc>
      </w:tr>
      <w:tr>
        <w:trPr>
          <w:cantSplit/>
        </w:trPr>
        <w:tc>
          <w:tcPr/>
          <w:p>
            <w:pPr>
              <w:pStyle w:val="Compact"/>
            </w:pPr>
            <w:r>
              <w:rPr>
                <w:lang w:val="pt-PT"/>
              </w:rPr>
              <w:t xml:space="preserve">15</w:t>
            </w:r>
          </w:p>
        </w:tc>
        <w:tc>
          <w:tcPr/>
          <w:p>
            <w:pPr>
              <w:pStyle w:val="Compact"/>
            </w:pPr>
            <w:r>
              <w:rPr>
                <w:lang w:val="pt-PT"/>
              </w:rPr>
              <w:t xml:space="preserve">Uso aceitável</w:t>
            </w:r>
          </w:p>
        </w:tc>
      </w:tr>
      <w:tr>
        <w:trPr>
          <w:cantSplit/>
        </w:trPr>
        <w:tc>
          <w:tcPr/>
          <w:p>
            <w:pPr>
              <w:pStyle w:val="Compact"/>
            </w:pPr>
            <w:r>
              <w:rPr>
                <w:lang w:val="pt-PT"/>
              </w:rPr>
              <w:t xml:space="preserve">16</w:t>
            </w:r>
          </w:p>
        </w:tc>
        <w:tc>
          <w:tcPr/>
          <w:p>
            <w:pPr>
              <w:pStyle w:val="Compact"/>
            </w:pPr>
            <w:r>
              <w:rPr>
                <w:lang w:val="pt-PT"/>
              </w:rPr>
              <w:t xml:space="preserve">Vulnerabilidade e gerenciamento de patches</w:t>
            </w:r>
          </w:p>
        </w:tc>
      </w:tr>
    </w:tbl>
    <w:p>
      <w:pPr>
        <w:pStyle w:val="BlockText"/>
      </w:pPr>
      <w:r>
        <w:rPr>
          <w:b/>
          <w:bCs/>
          <w:lang w:val="pt-PT"/>
        </w:rPr>
        <w:t xml:space="preserve">Estado real das certificações </w:t>
      </w:r>
      <w:r>
        <w:rPr>
          <w:lang w:val="pt-PT"/>
        </w:rPr>
        <w:t xml:space="preserve"/>
      </w:r>
      <w:r>
        <w:rPr>
          <w:lang w:val="pt-PT"/>
        </w:rPr>
        <w:t xml:space="preserve">(não deve ser interpretado exageradamente): abordagem ISO/IEC 27001 iniciada (políticas SGSI formalizadas), certificação </w:t>
      </w:r>
      <w:r>
        <w:rPr>
          <w:lang w:val="pt-PT"/>
        </w:rPr>
        <w:t xml:space="preserve"/>
      </w:r>
      <w:r>
        <w:rPr>
          <w:b/>
          <w:bCs/>
          <w:lang w:val="pt-PT"/>
        </w:rPr>
        <w:t xml:space="preserve">prevista para </w:t>
      </w:r>
      <w:r>
        <w:rPr>
          <w:lang w:val="pt-PT"/>
        </w:rPr>
        <w:t xml:space="preserve"/>
      </w:r>
      <w:r>
        <w:rPr>
          <w:lang w:val="pt-PT"/>
        </w:rPr>
        <w:t xml:space="preserve">o início de 2027; </w:t>
      </w:r>
      <w:r>
        <w:rPr>
          <w:lang w:val="pt-PT"/>
        </w:rPr>
        <w:t xml:space="preserve">Auditoria </w:t>
      </w:r>
      <w:r>
        <w:rPr>
          <w:b/>
          <w:bCs/>
          <w:lang w:val="pt-PT"/>
        </w:rPr>
        <w:t xml:space="preserve">SOC 2 Tipo </w:t>
      </w:r>
      <w:r>
        <w:rPr>
          <w:lang w:val="pt-PT"/>
        </w:rPr>
        <w:t xml:space="preserve"/>
      </w:r>
      <w:r>
        <w:rPr>
          <w:lang w:val="pt-PT"/>
        </w:rPr>
        <w:t xml:space="preserve">I prevista para 2026; HDS em estudo (relevante apenas para dados de saúde); SecNumCloud em espera, não direcionado no curto </w:t>
      </w:r>
      <w:r>
        <w:rPr>
          <w:lang w:val="pt-PT"/>
        </w:rPr>
        <w:t xml:space="preserve"/>
      </w:r>
      <w:r>
        <w:rPr>
          <w:b/>
          <w:bCs/>
          <w:lang w:val="pt-PT"/>
        </w:rPr>
        <w:t xml:space="preserve">prazo. Nenhuma dessas certificações foi obtida até o momento.</w:t>
      </w:r>
    </w:p>
    <w:p>
      <w:r>
        <w:pict>
          <v:rect style="width:0;height:1.5pt" o:hralign="center" o:hrstd="t" o:hr="t"/>
        </w:pict>
      </w:r>
    </w:p>
    <w:bookmarkEnd w:id="166"/>
    <w:bookmarkStart w:id="170" w:name="Xa488fc63592bb339d688ae67399a0048920466b"/>
    <w:p>
      <w:pPr>
        <w:pStyle w:val="Heading2"/>
        <w:keepNext/>
        <w:keepLines/>
      </w:pPr>
      <w:r>
        <w:rPr>
          <w:color w:val="000000"/>
          <w:lang w:val="pt-PT"/>
        </w:rPr>
        <w:t xml:space="preserve">4. Medidas de segurança aplicadas ao projeto</w:t>
      </w:r>
    </w:p>
    <w:p>
      <w:pPr>
        <w:pStyle w:val="FirstParagraph"/>
      </w:pPr>
      <w:r>
        <w:rPr>
          <w:lang w:val="pt-PT"/>
        </w:rPr>
        <w:t xml:space="preserve">As medidas estão organizadas em três fases (medidas técnicas organizacionais — OMP): desenvolvimento, execução e operação.</w:t>
      </w:r>
    </w:p>
    <w:bookmarkStart w:id="167" w:name="Xf630a794f53503a0eefb2ba285f2a6cf8e0b222"/>
    <w:p>
      <w:pPr>
        <w:pStyle w:val="Heading3"/>
        <w:keepNext/>
        <w:keepLines/>
      </w:pPr>
      <w:r>
        <w:rPr>
          <w:color w:val="000000"/>
          <w:lang w:val="pt-PT"/>
        </w:rPr>
        <w:t xml:space="preserve">4.1 Desenvolvimento (SDLC seguro)</w:t>
      </w:r>
    </w:p>
    <w:p>
      <w:pPr>
        <w:pStyle w:val="Compact"/>
        <w:numPr>
          <w:ilvl w:val="0"/>
          <w:numId w:val="1050"/>
        </w:numPr>
      </w:pPr>
      <w:r>
        <w:rPr>
          <w:b/>
          <w:bCs/>
          <w:lang w:val="pt-PT"/>
        </w:rPr>
        <w:t xml:space="preserve">Revisões sistemáticas de segurança antes de cada </w:t>
      </w:r>
      <w:r>
        <w:rPr>
          <w:lang w:val="pt-PT"/>
        </w:rPr>
        <w:t xml:space="preserve">lançamento, </w:t>
      </w:r>
      <w:r>
        <w:rPr>
          <w:lang w:val="pt-PT"/>
        </w:rPr>
        <w:t xml:space="preserve"/>
      </w:r>
      <w:r>
        <w:rPr>
          <w:b/>
          <w:bCs/>
          <w:lang w:val="pt-PT"/>
        </w:rPr>
        <w:t xml:space="preserve">incluindo análises </w:t>
      </w:r>
      <w:r>
        <w:rPr>
          <w:lang w:val="pt-PT"/>
        </w:rPr>
        <w:t xml:space="preserve"/>
      </w:r>
      <w:r>
        <w:rPr>
          <w:lang w:val="pt-PT"/>
        </w:rPr>
        <w:t xml:space="preserve">adversas (busca ativa de desvios, injeções, vazamentos entre locatários).</w:t>
      </w:r>
    </w:p>
    <w:p>
      <w:pPr>
        <w:pStyle w:val="Compact"/>
        <w:numPr>
          <w:ilvl w:val="0"/>
          <w:numId w:val="1050"/>
        </w:numPr>
      </w:pPr>
      <w:r>
        <w:rPr>
          <w:b/>
          <w:bCs/>
          <w:lang w:val="pt-PT"/>
        </w:rPr>
        <w:t xml:space="preserve">Testes automatizados </w:t>
      </w:r>
      <w:r>
        <w:rPr>
          <w:lang w:val="pt-PT"/>
        </w:rPr>
        <w:t xml:space="preserve"/>
      </w:r>
      <w:r>
        <w:rPr>
          <w:lang w:val="pt-PT"/>
        </w:rPr>
        <w:t xml:space="preserve">(funcionais e de segurança) realizados antes da entrega.</w:t>
      </w:r>
    </w:p>
    <w:p>
      <w:pPr>
        <w:pStyle w:val="Compact"/>
        <w:numPr>
          <w:ilvl w:val="0"/>
          <w:numId w:val="1050"/>
        </w:numPr>
      </w:pPr>
      <w:r>
        <w:rPr>
          <w:lang w:val="pt-PT"/>
        </w:rPr>
        <w:t xml:space="preserve">Gerenciamento de dependências e monitorização de vulnerabilidades de componentes.</w:t>
      </w:r>
    </w:p>
    <w:p>
      <w:pPr>
        <w:pStyle w:val="Compact"/>
        <w:numPr>
          <w:ilvl w:val="0"/>
          <w:numId w:val="1050"/>
        </w:numPr>
      </w:pPr>
      <w:r>
        <w:rPr>
          <w:lang w:val="pt-PT"/>
        </w:rPr>
        <w:t xml:space="preserve">Medidas de aplicação nativa: isolamento multilocatário por esquema PostgreSQL, RBAC de 5 níveis, 2FA TOTP, senha step-up, tokens Sanctum com hash SHA-256, custo bcrypt 12, CSP + CORS estrito, limitação de taxa, proteção anti-SSRF em endpoints LLM organizacionais, antivírus ClamAV em uploads, URLs assinados temporários para streaming.</w:t>
      </w:r>
    </w:p>
    <w:bookmarkEnd w:id="167"/>
    <w:bookmarkStart w:id="168" w:name="Xa3ea6fda29feea4d6d444014d880f48b07b16ab"/>
    <w:p>
      <w:pPr>
        <w:pStyle w:val="Heading3"/>
        <w:keepNext/>
        <w:keepLines/>
      </w:pPr>
      <w:r>
        <w:rPr>
          <w:color w:val="000000"/>
          <w:lang w:val="pt-PT"/>
        </w:rPr>
        <w:t xml:space="preserve">4.2 Entrega</w:t>
      </w:r>
    </w:p>
    <w:p>
      <w:pPr>
        <w:pStyle w:val="Compact"/>
        <w:numPr>
          <w:ilvl w:val="0"/>
          <w:numId w:val="1051"/>
        </w:numPr>
      </w:pPr>
      <w:r>
        <w:rPr>
          <w:b/>
          <w:bCs/>
          <w:lang w:val="pt-PT"/>
        </w:rPr>
        <w:t xml:space="preserve">Implementação somente por versão etiquetada </w:t>
      </w:r>
      <w:r>
        <w:rPr>
          <w:lang w:val="pt-PT"/>
        </w:rPr>
        <w:t xml:space="preserve"/>
      </w:r>
      <w:r>
        <w:rPr>
          <w:lang w:val="pt-PT"/>
        </w:rPr>
        <w:t xml:space="preserve">(rastreabilidade e reprodutibilidade); nenhuma entrega de uma filial em movimento.</w:t>
      </w:r>
    </w:p>
    <w:p>
      <w:pPr>
        <w:pStyle w:val="Compact"/>
        <w:numPr>
          <w:ilvl w:val="0"/>
          <w:numId w:val="1051"/>
        </w:numPr>
      </w:pPr>
      <w:r>
        <w:rPr>
          <w:b/>
          <w:bCs/>
          <w:lang w:val="pt-PT"/>
        </w:rPr>
        <w:t xml:space="preserve">Integridade: </w:t>
      </w:r>
      <w:r>
        <w:rPr>
          <w:lang w:val="pt-PT"/>
        </w:rPr>
        <w:t xml:space="preserve"/>
      </w:r>
      <w:r>
        <w:rPr>
          <w:lang w:val="pt-PT"/>
        </w:rPr>
        <w:t xml:space="preserve">controlo dos artefatos entregues; em uma variante isolada, fornecimento </w:t>
      </w:r>
      <w:r>
        <w:rPr>
          <w:lang w:val="pt-PT"/>
        </w:rPr>
        <w:t xml:space="preserve">por </w:t>
      </w:r>
      <w:r>
        <w:rPr>
          <w:b/>
          <w:bCs/>
          <w:lang w:val="pt-PT"/>
        </w:rPr>
        <w:t xml:space="preserve">depósito/registo interno </w:t>
      </w:r>
      <w:r>
        <w:rPr>
          <w:lang w:val="pt-PT"/>
        </w:rPr>
        <w:t xml:space="preserve"/>
      </w:r>
      <w:r>
        <w:rPr>
          <w:lang w:val="pt-PT"/>
        </w:rPr>
        <w:t xml:space="preserve">controlado (ver DCD §11.5).</w:t>
      </w:r>
    </w:p>
    <w:p>
      <w:pPr>
        <w:pStyle w:val="Compact"/>
        <w:numPr>
          <w:ilvl w:val="0"/>
          <w:numId w:val="1051"/>
        </w:numPr>
      </w:pPr>
      <w:r>
        <w:rPr>
          <w:lang w:val="pt-PT"/>
        </w:rPr>
        <w:t xml:space="preserve">Documentação de implementação, operação e aceitação fornecida.</w:t>
      </w:r>
    </w:p>
    <w:bookmarkEnd w:id="168"/>
    <w:bookmarkStart w:id="169" w:name="Xd6a49a1c24f37624d0a610812e1f09a39e1a269"/>
    <w:p>
      <w:pPr>
        <w:pStyle w:val="Heading3"/>
        <w:keepNext/>
        <w:keepLines/>
      </w:pPr>
      <w:r>
        <w:rPr>
          <w:color w:val="000000"/>
          <w:lang w:val="pt-PT"/>
        </w:rPr>
        <w:t xml:space="preserve">4.3 Operação</w:t>
      </w:r>
    </w:p>
    <w:p>
      <w:pPr>
        <w:pStyle w:val="Compact"/>
        <w:numPr>
          <w:ilvl w:val="0"/>
          <w:numId w:val="1052"/>
        </w:numPr>
      </w:pPr>
      <w:r>
        <w:rPr>
          <w:b/>
          <w:bCs/>
          <w:lang w:val="pt-PT"/>
        </w:rPr>
        <w:t xml:space="preserve">Endurecimento </w:t>
      </w:r>
      <w:r>
        <w:rPr>
          <w:lang w:val="pt-PT"/>
        </w:rPr>
        <w:t xml:space="preserve"/>
      </w:r>
      <w:r>
        <w:rPr>
          <w:lang w:val="pt-PT"/>
        </w:rPr>
        <w:t xml:space="preserve">do SO (SSH por chave, firewall de host deny-by-default, fail2ban) e Docker (</w:t>
      </w:r>
      <w:r>
        <w:rPr>
          <w:rStyle w:val="VerbatimChar"/>
          <w:lang w:val="pt-PT"/>
        </w:rPr>
        <w:t xml:space="preserve">no-new-privileges</w:t>
      </w:r>
      <w:r>
        <w:rPr>
          <w:lang w:val="pt-PT"/>
        </w:rPr>
        <w:t xml:space="preserve">, </w:t>
      </w:r>
      <w:r>
        <w:rPr>
          <w:lang w:val="pt-PT"/>
        </w:rPr>
        <w:t xml:space="preserve"/>
      </w:r>
      <w:r>
        <w:rPr>
          <w:rStyle w:val="VerbatimChar"/>
          <w:lang w:val="pt-PT"/>
        </w:rPr>
        <w:t xml:space="preserve">cap_drop: ALL</w:t>
      </w:r>
      <w:r>
        <w:rPr>
          <w:lang w:val="pt-PT"/>
        </w:rPr>
        <w:t xml:space="preserve">, portas não publicadas exceto ponto de entrada, PostgreSQL/Redis vinculado ao loop local).</w:t>
      </w:r>
    </w:p>
    <w:p>
      <w:pPr>
        <w:pStyle w:val="Compact"/>
        <w:numPr>
          <w:ilvl w:val="0"/>
          <w:numId w:val="1052"/>
        </w:numPr>
      </w:pPr>
      <w:r>
        <w:rPr>
          <w:b/>
          <w:bCs/>
          <w:lang w:val="pt-PT"/>
        </w:rPr>
        <w:t xml:space="preserve">Privilégio mínimo: </w:t>
      </w:r>
      <w:r>
        <w:rPr>
          <w:lang w:val="pt-PT"/>
        </w:rPr>
        <w:t xml:space="preserve"/>
      </w:r>
      <w:r>
        <w:rPr>
          <w:lang w:val="pt-PT"/>
        </w:rPr>
        <w:t xml:space="preserve">contas de serviço dedicadas (replicação, sincronização, GPU), contas de utilizador nominativas, RBAC.</w:t>
      </w:r>
    </w:p>
    <w:p>
      <w:pPr>
        <w:pStyle w:val="Compact"/>
        <w:numPr>
          <w:ilvl w:val="0"/>
          <w:numId w:val="1052"/>
        </w:numPr>
      </w:pPr>
      <w:r>
        <w:rPr>
          <w:b/>
          <w:bCs/>
          <w:lang w:val="pt-PT"/>
        </w:rPr>
        <w:t xml:space="preserve">Logging: trilha </w:t>
      </w:r>
      <w:r>
        <w:rPr>
          <w:lang w:val="pt-PT"/>
        </w:rPr>
        <w:t xml:space="preserve"/>
      </w:r>
      <w:r>
        <w:rPr>
          <w:lang w:val="pt-PT"/>
        </w:rPr>
        <w:t xml:space="preserve">de auditoria por organização e plataforma, CSV/JSON exportável; registos técnicos rotativas.</w:t>
      </w:r>
    </w:p>
    <w:p>
      <w:pPr>
        <w:pStyle w:val="Compact"/>
        <w:numPr>
          <w:ilvl w:val="0"/>
          <w:numId w:val="1052"/>
        </w:numPr>
      </w:pPr>
      <w:r>
        <w:rPr>
          <w:b/>
          <w:bCs/>
          <w:lang w:val="pt-PT"/>
        </w:rPr>
        <w:t xml:space="preserve">Cifragem: </w:t>
      </w:r>
      <w:r>
        <w:rPr>
          <w:lang w:val="pt-PT"/>
        </w:rPr>
        <w:t xml:space="preserve"/>
      </w:r>
      <w:r>
        <w:rPr>
          <w:lang w:val="pt-PT"/>
        </w:rPr>
        <w:t xml:space="preserve">TLS ≥ 1.2 em trânsito, segredos 2FA em AES-256-CBC, backups cifrados sistematicamente </w:t>
      </w:r>
      <w:r>
        <w:rPr>
          <w:lang w:val="pt-PT"/>
        </w:rPr>
        <w:t xml:space="preserve"/>
      </w:r>
      <w:r>
        <w:rPr>
          <w:rStyle w:val="VerbatimChar"/>
          <w:lang w:val="pt-PT"/>
        </w:rPr>
        <w:t xml:space="preserve">age</w:t>
      </w:r>
      <w:r>
        <w:rPr>
          <w:lang w:val="pt-PT"/>
        </w:rPr>
        <w:t xml:space="preserve"> </w:t>
      </w:r>
      <w:r>
        <w:rPr>
          <w:lang w:val="pt-PT"/>
        </w:rPr>
        <w:t xml:space="preserve">antes da terceirização; encriptação do disco do sistema em repouso: </w:t>
      </w:r>
      <w:r>
        <w:rPr>
          <w:lang w:val="pt-PT"/>
        </w:rPr>
        <w:t xml:space="preserve"/>
      </w:r>
      <w:r>
        <w:rPr>
          <w:b/>
          <w:bCs/>
          <w:lang w:val="pt-PT"/>
        </w:rPr>
        <w:t xml:space="preserve">recomendação de implementação </w:t>
      </w:r>
      <w:r>
        <w:rPr>
          <w:lang w:val="pt-PT"/>
        </w:rPr>
        <w:t xml:space="preserve"/>
      </w:r>
      <w:r>
        <w:rPr>
          <w:lang w:val="pt-PT"/>
        </w:rPr>
        <w:t xml:space="preserve">dirigida ao Cliente na sua infra-estrutura (LUKS/FDE, de acordo com as suas normas).</w:t>
      </w:r>
    </w:p>
    <w:p>
      <w:pPr>
        <w:pStyle w:val="Compact"/>
        <w:numPr>
          <w:ilvl w:val="0"/>
          <w:numId w:val="1052"/>
        </w:numPr>
      </w:pPr>
      <w:r>
        <w:rPr>
          <w:b/>
          <w:bCs/>
          <w:lang w:val="pt-PT"/>
        </w:rPr>
        <w:t xml:space="preserve">Backups e continuidade: </w:t>
      </w:r>
      <w:r>
        <w:rPr>
          <w:lang w:val="pt-PT"/>
        </w:rPr>
        <w:t xml:space="preserve"/>
      </w:r>
      <w:r>
        <w:rPr>
          <w:lang w:val="pt-PT"/>
        </w:rPr>
        <w:t xml:space="preserve">cifrados diariamente, retenção de 90 dias/30 dias por organização, snapshot anti-sobregravação antes da restauração, arquitetura ativa/de backup (Sala A/Sala B), objetivos de RTO ≤ 4 h e RPO ≤ 24 h (alvo ≤ 15 min).</w:t>
      </w:r>
    </w:p>
    <w:p>
      <w:r>
        <w:pict>
          <v:rect style="width:0;height:1.5pt" o:hralign="center" o:hrstd="t" o:hr="t"/>
        </w:pict>
      </w:r>
    </w:p>
    <w:bookmarkEnd w:id="169"/>
    <w:bookmarkEnd w:id="170"/>
    <w:bookmarkStart w:id="173" w:name="X5866973c2913170c5476a6a6b717f743058e2e3"/>
    <w:p>
      <w:pPr>
        <w:pStyle w:val="Heading2"/>
        <w:keepNext/>
        <w:keepLines/>
      </w:pPr>
      <w:r>
        <w:rPr>
          <w:color w:val="000000"/>
          <w:lang w:val="pt-PT"/>
        </w:rPr>
        <w:t xml:space="preserve">5. Vulnerabilidade e gerenciamento de patches</w:t>
      </w:r>
    </w:p>
    <w:bookmarkStart w:id="171" w:name="Xbae35f53070c0f7f2c31495597f8a73704e6cf1"/>
    <w:p>
      <w:pPr>
        <w:pStyle w:val="Heading3"/>
        <w:keepNext/>
        <w:keepLines/>
      </w:pPr>
      <w:r>
        <w:rPr>
          <w:color w:val="000000"/>
          <w:lang w:val="pt-PT"/>
        </w:rPr>
        <w:t xml:space="preserve">5.1 Processo</w:t>
      </w:r>
    </w:p>
    <w:p>
      <w:pPr>
        <w:pStyle w:val="Compact"/>
        <w:numPr>
          <w:ilvl w:val="0"/>
          <w:numId w:val="1053"/>
        </w:numPr>
      </w:pPr>
      <w:r>
        <w:rPr>
          <w:lang w:val="pt-PT"/>
        </w:rPr>
        <w:t xml:space="preserve">Monitorização contínuo de vulnerabilidades (componentes e dependências da aplicação).</w:t>
      </w:r>
    </w:p>
    <w:p>
      <w:pPr>
        <w:pStyle w:val="Compact"/>
        <w:numPr>
          <w:ilvl w:val="0"/>
          <w:numId w:val="1053"/>
        </w:numPr>
      </w:pPr>
      <w:r>
        <w:rPr>
          <w:b/>
          <w:bCs/>
          <w:lang w:val="pt-PT"/>
        </w:rPr>
        <w:t xml:space="preserve">Priorização por criticidade </w:t>
      </w:r>
      <w:r>
        <w:rPr>
          <w:lang w:val="pt-PT"/>
        </w:rPr>
        <w:t xml:space="preserve"/>
      </w:r>
      <w:r>
        <w:rPr>
          <w:lang w:val="pt-PT"/>
        </w:rPr>
        <w:t xml:space="preserve">(CVSS e explorabilidade no contexto local isolado).</w:t>
      </w:r>
    </w:p>
    <w:p>
      <w:pPr>
        <w:pStyle w:val="Compact"/>
        <w:numPr>
          <w:ilvl w:val="0"/>
          <w:numId w:val="1053"/>
        </w:numPr>
      </w:pPr>
      <w:r>
        <w:rPr>
          <w:lang w:val="pt-PT"/>
        </w:rPr>
        <w:t xml:space="preserve">Correções entregues por versão marcada; em ambiente isolado, aplicação de acordo com o procedimento de atualização offline (DCD §11.5, EXPL-10/EXPL-13).</w:t>
      </w:r>
    </w:p>
    <w:bookmarkEnd w:id="171"/>
    <w:bookmarkStart w:id="172" w:name="Xdb6f60ddeed78849197dc81f10f7c0f788fb17e"/>
    <w:p>
      <w:pPr>
        <w:pStyle w:val="Heading3"/>
        <w:keepNext/>
        <w:keepLines/>
      </w:pPr>
      <w:r>
        <w:rPr>
          <w:color w:val="000000"/>
          <w:lang w:val="pt-PT"/>
        </w:rPr>
        <w:t xml:space="preserve">5.2 Prazos de correção (indicativo — proposta)</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Criticidade</w:t>
            </w:r>
          </w:p>
        </w:tc>
        <w:tc>
          <w:tcPr/>
          <w:p>
            <w:pPr>
              <w:pStyle w:val="Compact"/>
            </w:pPr>
            <w:r>
              <w:rPr>
                <w:lang w:val="pt-PT"/>
              </w:rPr>
              <w:t xml:space="preserve">Tempo de correção proposto</w:t>
            </w:r>
          </w:p>
        </w:tc>
        <w:tc>
          <w:tcPr/>
          <w:p>
            <w:pPr>
              <w:pStyle w:val="Compact"/>
            </w:pPr>
            <w:r>
              <w:rPr>
                <w:lang w:val="pt-PT"/>
              </w:rPr>
              <w:t xml:space="preserve">Estado</w:t>
            </w:r>
          </w:p>
        </w:tc>
      </w:tr>
      <w:tr>
        <w:trPr>
          <w:cantSplit/>
        </w:trPr>
        <w:tc>
          <w:tcPr/>
          <w:p>
            <w:pPr>
              <w:pStyle w:val="Compact"/>
            </w:pPr>
            <w:r>
              <w:rPr>
                <w:lang w:val="pt-PT"/>
              </w:rPr>
              <w:t xml:space="preserve">Crítica</w:t>
            </w:r>
          </w:p>
        </w:tc>
        <w:tc>
          <w:tcPr/>
          <w:p>
            <w:pPr>
              <w:pStyle w:val="Compact"/>
            </w:pPr>
            <w:r>
              <w:rPr>
                <w:lang w:val="pt-PT"/>
              </w:rPr>
              <w:t xml:space="preserve">72 horas</w:t>
            </w:r>
          </w:p>
        </w:tc>
        <w:tc>
          <w:tcPr/>
          <w:p>
            <w:pPr>
              <w:pStyle w:val="Compact"/>
            </w:pPr>
            <w:r>
              <w:rPr>
                <w:lang w:val="pt-PT"/>
              </w:rPr>
              <w:t xml:space="preserve">[proposta — a confirmar no contrato]</w:t>
            </w:r>
          </w:p>
        </w:tc>
      </w:tr>
      <w:tr>
        <w:trPr>
          <w:cantSplit/>
        </w:trPr>
        <w:tc>
          <w:tcPr/>
          <w:p>
            <w:pPr>
              <w:pStyle w:val="Compact"/>
            </w:pPr>
            <w:r>
              <w:rPr>
                <w:lang w:val="pt-PT"/>
              </w:rPr>
              <w:t xml:space="preserve">Alto</w:t>
            </w:r>
          </w:p>
        </w:tc>
        <w:tc>
          <w:tcPr/>
          <w:p>
            <w:pPr>
              <w:pStyle w:val="Compact"/>
            </w:pPr>
            <w:r>
              <w:rPr>
                <w:lang w:val="pt-PT"/>
              </w:rPr>
              <w:t xml:space="preserve">7 dias</w:t>
            </w:r>
          </w:p>
        </w:tc>
        <w:tc>
          <w:tcPr/>
          <w:p>
            <w:pPr>
              <w:pStyle w:val="Compact"/>
            </w:pPr>
            <w:r>
              <w:rPr>
                <w:lang w:val="pt-PT"/>
              </w:rPr>
              <w:t xml:space="preserve">[proposta — a confirmar no contrato]</w:t>
            </w:r>
          </w:p>
        </w:tc>
      </w:tr>
      <w:tr>
        <w:trPr>
          <w:cantSplit/>
        </w:trPr>
        <w:tc>
          <w:tcPr/>
          <w:p>
            <w:pPr>
              <w:pStyle w:val="Compact"/>
            </w:pPr>
            <w:r>
              <w:rPr>
                <w:lang w:val="pt-PT"/>
              </w:rPr>
              <w:t xml:space="preserve">Média</w:t>
            </w:r>
          </w:p>
        </w:tc>
        <w:tc>
          <w:tcPr/>
          <w:p>
            <w:pPr>
              <w:pStyle w:val="Compact"/>
            </w:pPr>
            <w:r>
              <w:rPr>
                <w:lang w:val="pt-PT"/>
              </w:rPr>
              <w:t xml:space="preserve">30 dias</w:t>
            </w:r>
          </w:p>
        </w:tc>
        <w:tc>
          <w:tcPr/>
          <w:p>
            <w:pPr>
              <w:pStyle w:val="Compact"/>
            </w:pPr>
            <w:r>
              <w:rPr>
                <w:lang w:val="pt-PT"/>
              </w:rPr>
              <w:t xml:space="preserve">[proposta — a confirmar no contrato]</w:t>
            </w:r>
          </w:p>
        </w:tc>
      </w:tr>
      <w:tr>
        <w:trPr>
          <w:cantSplit/>
        </w:trPr>
        <w:tc>
          <w:tcPr/>
          <w:p>
            <w:pPr>
              <w:pStyle w:val="Compact"/>
            </w:pPr>
            <w:r>
              <w:rPr>
                <w:lang w:val="pt-PT"/>
              </w:rPr>
              <w:t xml:space="preserve">Baixa</w:t>
            </w:r>
          </w:p>
        </w:tc>
        <w:tc>
          <w:tcPr/>
          <w:p>
            <w:pPr>
              <w:pStyle w:val="Compact"/>
            </w:pPr>
            <w:r>
              <w:rPr>
                <w:lang w:val="pt-PT"/>
              </w:rPr>
              <w:t xml:space="preserve">Próximo lançamento planejado</w:t>
            </w:r>
          </w:p>
        </w:tc>
        <w:tc>
          <w:tcPr/>
          <w:p>
            <w:pPr>
              <w:pStyle w:val="Compact"/>
            </w:pPr>
            <w:r>
              <w:rPr>
                <w:lang w:val="pt-PT"/>
              </w:rPr>
              <w:t xml:space="preserve">[proposta — a confirmar no contrato]</w:t>
            </w:r>
          </w:p>
        </w:tc>
      </w:tr>
    </w:tbl>
    <w:p>
      <w:pPr>
        <w:pStyle w:val="BlockText"/>
      </w:pPr>
      <w:r>
        <w:rPr>
          <w:lang w:val="pt-PT"/>
        </w:rPr>
        <w:t xml:space="preserve">Na implementação isolada, </w:t>
      </w:r>
      <w:r>
        <w:rPr>
          <w:b/>
          <w:bCs/>
          <w:lang w:val="pt-PT"/>
        </w:rPr>
        <w:t xml:space="preserve">a </w:t>
      </w:r>
      <w:r>
        <w:rPr>
          <w:lang w:val="pt-PT"/>
        </w:rPr>
        <w:t xml:space="preserve"/>
      </w:r>
      <w:r>
        <w:rPr>
          <w:lang w:val="pt-PT"/>
        </w:rPr>
        <w:t xml:space="preserve">aplicação efetiva de patches depende da janela de manutenção e do procedimento offline do Cliente; Os prazos acima visam que </w:t>
      </w:r>
      <w:r>
        <w:rPr>
          <w:lang w:val="pt-PT"/>
        </w:rPr>
        <w:t xml:space="preserve"/>
      </w:r>
      <w:r>
        <w:rPr>
          <w:b/>
          <w:bCs/>
          <w:lang w:val="pt-PT"/>
        </w:rPr>
        <w:t xml:space="preserve">o patch seja </w:t>
      </w:r>
      <w:r>
        <w:rPr>
          <w:lang w:val="pt-PT"/>
        </w:rPr>
        <w:t xml:space="preserve"/>
      </w:r>
      <w:r>
        <w:rPr>
          <w:lang w:val="pt-PT"/>
        </w:rPr>
        <w:t xml:space="preserve">disponibilizado pela editora.</w:t>
      </w:r>
    </w:p>
    <w:p>
      <w:r>
        <w:pict>
          <v:rect style="width:0;height:1.5pt" o:hralign="center" o:hrstd="t" o:hr="t"/>
        </w:pict>
      </w:r>
    </w:p>
    <w:bookmarkEnd w:id="172"/>
    <w:bookmarkEnd w:id="173"/>
    <w:bookmarkStart w:id="176" w:name="X990a3864a322e7863cf5268ad72daf92e52406f"/>
    <w:p>
      <w:pPr>
        <w:pStyle w:val="Heading2"/>
        <w:keepNext/>
        <w:keepLines/>
      </w:pPr>
      <w:r>
        <w:rPr>
          <w:color w:val="000000"/>
          <w:lang w:val="pt-PT"/>
        </w:rPr>
        <w:t xml:space="preserve">6. Gestão de incidentes de segurança</w:t>
      </w:r>
    </w:p>
    <w:bookmarkStart w:id="174" w:name="X28a25df8abf3fe0b7d661831d94eaa023085632"/>
    <w:p>
      <w:pPr>
        <w:pStyle w:val="Heading3"/>
        <w:keepNext/>
        <w:keepLines/>
      </w:pPr>
      <w:r>
        <w:rPr>
          <w:color w:val="000000"/>
          <w:lang w:val="pt-PT"/>
        </w:rPr>
        <w:t xml:space="preserve">6.1 Processo</w:t>
      </w:r>
    </w:p>
    <w:p>
      <w:pPr>
        <w:pStyle w:val="Compact"/>
        <w:numPr>
          <w:ilvl w:val="0"/>
          <w:numId w:val="1054"/>
        </w:numPr>
      </w:pPr>
      <w:r>
        <w:rPr>
          <w:b/>
          <w:bCs/>
          <w:lang w:val="pt-PT"/>
        </w:rPr>
        <w:t xml:space="preserve">Detecção: </w:t>
      </w:r>
      <w:r>
        <w:rPr>
          <w:lang w:val="pt-PT"/>
        </w:rPr>
        <w:t xml:space="preserve"/>
      </w:r>
      <w:r>
        <w:rPr>
          <w:lang w:val="pt-PT"/>
        </w:rPr>
        <w:t xml:space="preserve">supervisão, trilha de auditoria, alertas antivírus, relatórios.</w:t>
      </w:r>
    </w:p>
    <w:p>
      <w:pPr>
        <w:pStyle w:val="Compact"/>
        <w:numPr>
          <w:ilvl w:val="0"/>
          <w:numId w:val="1054"/>
        </w:numPr>
      </w:pPr>
      <w:r>
        <w:rPr>
          <w:b/>
          <w:bCs/>
          <w:lang w:val="pt-PT"/>
        </w:rPr>
        <w:t xml:space="preserve">Qualificação: </w:t>
      </w:r>
      <w:r>
        <w:rPr>
          <w:lang w:val="pt-PT"/>
        </w:rPr>
        <w:t xml:space="preserve"/>
      </w:r>
      <w:r>
        <w:rPr>
          <w:lang w:val="pt-PT"/>
        </w:rPr>
        <w:t xml:space="preserve">natureza, âmbito (serviço/servidor/sala/organização), gravidade, potencial violação de dados pessoais.</w:t>
      </w:r>
    </w:p>
    <w:p>
      <w:pPr>
        <w:pStyle w:val="Compact"/>
        <w:numPr>
          <w:ilvl w:val="0"/>
          <w:numId w:val="1054"/>
        </w:numPr>
      </w:pPr>
      <w:r>
        <w:rPr>
          <w:b/>
          <w:bCs/>
          <w:lang w:val="pt-PT"/>
        </w:rPr>
        <w:t xml:space="preserve">Contenção e erradicação: </w:t>
      </w:r>
      <w:r>
        <w:rPr>
          <w:lang w:val="pt-PT"/>
        </w:rPr>
        <w:t xml:space="preserve"/>
      </w:r>
      <w:r>
        <w:rPr>
          <w:lang w:val="pt-PT"/>
        </w:rPr>
        <w:t xml:space="preserve">isolamento, aplicação de cenários de recuperação (DCD §13).</w:t>
      </w:r>
    </w:p>
    <w:p>
      <w:pPr>
        <w:pStyle w:val="Compact"/>
        <w:numPr>
          <w:ilvl w:val="0"/>
          <w:numId w:val="1054"/>
        </w:numPr>
      </w:pPr>
      <w:r>
        <w:rPr>
          <w:b/>
          <w:bCs/>
          <w:lang w:val="pt-PT"/>
        </w:rPr>
        <w:t xml:space="preserve">Notificação </w:t>
      </w:r>
      <w:r>
        <w:rPr>
          <w:lang w:val="pt-PT"/>
        </w:rPr>
        <w:t xml:space="preserve"/>
      </w:r>
      <w:r>
        <w:rPr>
          <w:lang w:val="pt-PT"/>
        </w:rPr>
        <w:t xml:space="preserve">(ver §6.2).</w:t>
      </w:r>
    </w:p>
    <w:p>
      <w:pPr>
        <w:pStyle w:val="Compact"/>
        <w:numPr>
          <w:ilvl w:val="0"/>
          <w:numId w:val="1054"/>
        </w:numPr>
      </w:pPr>
      <w:r>
        <w:rPr>
          <w:b/>
          <w:bCs/>
          <w:lang w:val="pt-PT"/>
        </w:rPr>
        <w:t xml:space="preserve">Recuperação: </w:t>
      </w:r>
      <w:r>
        <w:rPr>
          <w:lang w:val="pt-PT"/>
        </w:rPr>
        <w:t xml:space="preserve"/>
      </w:r>
      <w:r>
        <w:rPr>
          <w:lang w:val="pt-PT"/>
        </w:rPr>
        <w:t xml:space="preserve">retomada do serviço, verificações de integridade.</w:t>
      </w:r>
    </w:p>
    <w:p>
      <w:pPr>
        <w:pStyle w:val="Compact"/>
        <w:numPr>
          <w:ilvl w:val="0"/>
          <w:numId w:val="1054"/>
        </w:numPr>
      </w:pPr>
      <w:r>
        <w:rPr>
          <w:b/>
          <w:bCs/>
          <w:lang w:val="pt-PT"/>
        </w:rPr>
        <w:t xml:space="preserve">Feedback: análise </w:t>
      </w:r>
      <w:r>
        <w:rPr>
          <w:lang w:val="pt-PT"/>
        </w:rPr>
        <w:t xml:space="preserve"/>
      </w:r>
      <w:r>
        <w:rPr>
          <w:lang w:val="pt-PT"/>
        </w:rPr>
        <w:t xml:space="preserve">de causas, ações corretivas, atualização documental.</w:t>
      </w:r>
    </w:p>
    <w:bookmarkEnd w:id="174"/>
    <w:bookmarkStart w:id="175" w:name="Xf19d7f07ee76b7812076d755ca08ffebb9b0f1a"/>
    <w:p>
      <w:pPr>
        <w:pStyle w:val="Heading3"/>
        <w:keepNext/>
        <w:keepLines/>
      </w:pPr>
      <w:r>
        <w:rPr>
          <w:color w:val="000000"/>
          <w:lang w:val="pt-PT"/>
        </w:rPr>
        <w:t xml:space="preserve">6.2 Notificação</w:t>
      </w:r>
    </w:p>
    <w:p>
      <w:pPr>
        <w:pStyle w:val="Compact"/>
        <w:numPr>
          <w:ilvl w:val="0"/>
          <w:numId w:val="1055"/>
        </w:numPr>
      </w:pPr>
      <w:r>
        <w:rPr>
          <w:lang w:val="pt-PT"/>
        </w:rPr>
        <w:t xml:space="preserve">Em caso de </w:t>
      </w:r>
      <w:r>
        <w:rPr>
          <w:lang w:val="pt-PT"/>
        </w:rPr>
        <w:t xml:space="preserve">violação </w:t>
      </w:r>
      <w:r>
        <w:rPr>
          <w:b/>
          <w:bCs/>
          <w:lang w:val="pt-PT"/>
        </w:rPr>
        <w:t xml:space="preserve">de dados pessoais, notificação ao Cliente responsável </w:t>
      </w:r>
      <w:r>
        <w:rPr>
          <w:lang w:val="pt-PT"/>
        </w:rPr>
        <w:t xml:space="preserve">pelo tratamento sem demora injustificada após ter conhecimento, incluindo fora </w:t>
      </w:r>
      <w:r>
        <w:rPr>
          <w:lang w:val="pt-PT"/>
        </w:rPr>
        <w:t xml:space="preserve"/>
      </w:r>
      <w:r>
        <w:rPr>
          <w:b/>
          <w:bCs/>
          <w:lang w:val="pt-PT"/>
        </w:rPr>
        <w:t xml:space="preserve">dos dias úteis, com os </w:t>
      </w:r>
      <w:r>
        <w:rPr>
          <w:lang w:val="pt-PT"/>
        </w:rPr>
        <w:t xml:space="preserve"/>
      </w:r>
      <w:r>
        <w:rPr>
          <w:lang w:val="pt-PT"/>
        </w:rPr>
        <w:t xml:space="preserve">elementos disponíveis sobre a natureza, o âmbito e as medidas; informações complementares transmitidas sem demora injustificada.</w:t>
      </w:r>
    </w:p>
    <w:p>
      <w:pPr>
        <w:pStyle w:val="Compact"/>
        <w:numPr>
          <w:ilvl w:val="0"/>
          <w:numId w:val="1055"/>
        </w:numPr>
      </w:pPr>
      <w:r>
        <w:rPr>
          <w:lang w:val="pt-PT"/>
        </w:rPr>
        <w:t xml:space="preserve">O Cliente, responsável pelo tratamento, avalia se é exigida uma notificação à autoridade de controlo competente nos termos do artigo 33.º do RGPD; quando exigida, realiza-a sem demora injustificada e, sempre que possível, nas 72 horas após ter conhecimento da violação. A </w:t>
      </w:r>
      <w:r>
        <w:rPr>
          <w:b/>
          <w:bCs/>
          <w:lang w:val="pt-PT"/>
        </w:rPr>
        <w:t xml:space="preserve">autoridade não é determinada </w:t>
      </w:r>
      <w:r>
        <w:rPr>
          <w:lang w:val="pt-PT"/>
        </w:rPr>
        <w:t xml:space="preserve">pelo idioma do documento; a CNIL é a autoridade francesa. Avalia separadamente a comunicação aos titulares dos dados quando o risco for elevado, nas condições do artigo 34.º.</w:t>
      </w:r>
    </w:p>
    <w:p>
      <w:pPr>
        <w:pStyle w:val="Compact"/>
        <w:numPr>
          <w:ilvl w:val="0"/>
          <w:numId w:val="1055"/>
        </w:numPr>
      </w:pPr>
      <w:r>
        <w:rPr>
          <w:lang w:val="pt-PT"/>
        </w:rPr>
        <w:t xml:space="preserve">Contacto do editor/mantenedor (OHADJA): </w:t>
      </w:r>
      <w:r>
        <w:rPr>
          <w:lang w:val="pt-PT"/>
        </w:rPr>
        <w:t xml:space="preserve"/>
      </w:r>
      <w:r>
        <w:rPr>
          <w:rStyle w:val="VerbatimChar"/>
          <w:lang w:val="pt-PT"/>
        </w:rPr>
        <w:t xml:space="preserve">privacy@transcribia.eu</w:t>
      </w:r>
      <w:r>
        <w:rPr>
          <w:lang w:val="pt-PT"/>
        </w:rPr>
        <w:t xml:space="preserve">.</w:t>
      </w:r>
    </w:p>
    <w:p>
      <w:r>
        <w:pict>
          <v:rect style="width:0;height:1.5pt" o:hralign="center" o:hrstd="t" o:hr="t"/>
        </w:pict>
      </w:r>
    </w:p>
    <w:bookmarkEnd w:id="175"/>
    <w:bookmarkEnd w:id="176"/>
    <w:bookmarkStart w:id="177" w:name="X55675ba7ec60071c6382c0d095db1b42e3cd3a7"/>
    <w:p>
      <w:pPr>
        <w:pStyle w:val="Heading2"/>
        <w:keepNext/>
        <w:keepLines/>
      </w:pPr>
      <w:r>
        <w:rPr>
          <w:color w:val="000000"/>
          <w:lang w:val="pt-PT"/>
        </w:rPr>
        <w:t xml:space="preserve">7. Controlo de acesso do provedor de serviços</w:t>
      </w:r>
    </w:p>
    <w:p>
      <w:pPr>
        <w:pStyle w:val="FirstParagraph"/>
      </w:pPr>
      <w:r>
        <w:rPr>
          <w:b/>
          <w:bCs/>
          <w:lang w:val="pt-PT"/>
        </w:rPr>
        <w:t xml:space="preserve">Princípio: sem acesso permanente. </w:t>
      </w:r>
      <w:r>
        <w:rPr>
          <w:lang w:val="pt-PT"/>
        </w:rPr>
        <w:t xml:space="preserve"/>
      </w:r>
      <w:r>
        <w:rPr>
          <w:lang w:val="pt-PT"/>
        </w:rPr>
        <w:t xml:space="preserve">Na implementação local, OHADJA (editor/mantenedor) e o integrador do </w:t>
      </w:r>
      <w:r>
        <w:rPr>
          <w:lang w:val="pt-PT"/>
        </w:rPr>
        <w:t xml:space="preserve"/>
      </w:r>
      <w:r>
        <w:rPr>
          <w:b/>
          <w:bCs/>
          <w:lang w:val="pt-PT"/>
        </w:rPr>
        <w:t xml:space="preserve">projeto não têm acesso </w:t>
      </w:r>
      <w:r>
        <w:rPr>
          <w:lang w:val="pt-PT"/>
        </w:rPr>
        <w:t xml:space="preserve"/>
      </w:r>
      <w:r>
        <w:rPr>
          <w:lang w:val="pt-PT"/>
        </w:rPr>
        <w:t xml:space="preserve">permanente à plataforma de produção do Cliente. O revendedor AMBASSADIA </w:t>
      </w:r>
      <w:r>
        <w:rPr>
          <w:lang w:val="pt-PT"/>
        </w:rPr>
        <w:t xml:space="preserve"/>
      </w:r>
      <w:r>
        <w:rPr>
          <w:b/>
          <w:bCs/>
          <w:lang w:val="pt-PT"/>
        </w:rPr>
        <w:t xml:space="preserve">não tem qualquer tipo de </w:t>
      </w:r>
      <w:r>
        <w:rPr>
          <w:lang w:val="pt-PT"/>
        </w:rPr>
        <w:t xml:space="preserve"/>
      </w:r>
      <w:r>
        <w:rPr>
          <w:lang w:val="pt-PT"/>
        </w:rPr>
        <w:t xml:space="preserve">acesso aos ambientes ou dados.</w:t>
      </w:r>
    </w:p>
    <w:p>
      <w:pPr>
        <w:pStyle w:val="Compact"/>
        <w:numPr>
          <w:ilvl w:val="0"/>
          <w:numId w:val="1056"/>
        </w:numPr>
      </w:pPr>
      <w:r>
        <w:rPr>
          <w:lang w:val="pt-PT"/>
        </w:rPr>
        <w:t xml:space="preserve">Qualquer acesso remoto ao OHADJA (suporte, diagnóstico, manutenção) só é possível </w:t>
      </w:r>
      <w:r>
        <w:rPr>
          <w:lang w:val="pt-PT"/>
        </w:rPr>
        <w:t xml:space="preserve"/>
      </w:r>
      <w:r>
        <w:rPr>
          <w:b/>
          <w:bCs/>
          <w:lang w:val="pt-PT"/>
        </w:rPr>
        <w:t xml:space="preserve">mediante autorização prévia expressa do Cliente, </w:t>
      </w:r>
      <w:r>
        <w:rPr>
          <w:lang w:val="pt-PT"/>
        </w:rPr>
        <w:t xml:space="preserve">caso a caso.</w:t>
      </w:r>
    </w:p>
    <w:p>
      <w:pPr>
        <w:pStyle w:val="Compact"/>
        <w:numPr>
          <w:ilvl w:val="0"/>
          <w:numId w:val="1056"/>
        </w:numPr>
      </w:pPr>
      <w:r>
        <w:rPr>
          <w:lang w:val="pt-PT"/>
        </w:rPr>
        <w:t xml:space="preserve">Qualquer sessão de acesso </w:t>
      </w:r>
      <w:r>
        <w:rPr>
          <w:lang w:val="pt-PT"/>
        </w:rPr>
        <w:t xml:space="preserve">é </w:t>
      </w:r>
      <w:r>
        <w:rPr>
          <w:b/>
          <w:bCs/>
          <w:lang w:val="pt-PT"/>
        </w:rPr>
        <w:t xml:space="preserve">nominativa, </w:t>
      </w:r>
      <w:r>
        <w:rPr>
          <w:lang w:val="pt-PT"/>
        </w:rPr>
        <w:t xml:space="preserve"/>
      </w:r>
      <w:r>
        <w:rPr>
          <w:lang w:val="pt-PT"/>
        </w:rPr>
        <w:t xml:space="preserve"/>
      </w:r>
      <w:r>
        <w:rPr>
          <w:b/>
          <w:bCs/>
          <w:lang w:val="pt-PT"/>
        </w:rPr>
        <w:t xml:space="preserve">supervisionada </w:t>
      </w:r>
      <w:r>
        <w:rPr>
          <w:lang w:val="pt-PT"/>
        </w:rPr>
        <w:t xml:space="preserve"/>
      </w:r>
      <w:r>
        <w:rPr>
          <w:lang w:val="pt-PT"/>
        </w:rPr>
        <w:t xml:space="preserve"/>
      </w:r>
      <w:r>
        <w:rPr>
          <w:lang w:val="pt-PT"/>
        </w:rPr>
        <w:t xml:space="preserve"/>
      </w:r>
      <w:r>
        <w:rPr>
          <w:b/>
          <w:bCs/>
          <w:lang w:val="pt-PT"/>
        </w:rPr>
        <w:t xml:space="preserve">e </w:t>
      </w:r>
      <w:r>
        <w:rPr>
          <w:lang w:val="pt-PT"/>
        </w:rPr>
        <w:t xml:space="preserve">rastreada </w:t>
      </w:r>
      <w:r>
        <w:rPr>
          <w:lang w:val="pt-PT"/>
        </w:rPr>
        <w:t xml:space="preserve">(suporte do departamento de TI, registo, duração limitada).</w:t>
      </w:r>
    </w:p>
    <w:p>
      <w:pPr>
        <w:pStyle w:val="Compact"/>
        <w:numPr>
          <w:ilvl w:val="0"/>
          <w:numId w:val="1056"/>
        </w:numPr>
      </w:pPr>
      <w:r>
        <w:rPr>
          <w:lang w:val="pt-PT"/>
        </w:rPr>
        <w:t xml:space="preserve">Nenhuma conta de provedor inativa; o acesso </w:t>
      </w:r>
      <w:r>
        <w:rPr>
          <w:lang w:val="pt-PT"/>
        </w:rPr>
        <w:t xml:space="preserve">é </w:t>
      </w:r>
      <w:r>
        <w:rPr>
          <w:b/>
          <w:bCs/>
          <w:lang w:val="pt-PT"/>
        </w:rPr>
        <w:t xml:space="preserve">revogado </w:t>
      </w:r>
      <w:r>
        <w:rPr>
          <w:lang w:val="pt-PT"/>
        </w:rPr>
        <w:t xml:space="preserve"/>
      </w:r>
      <w:r>
        <w:rPr>
          <w:lang w:val="pt-PT"/>
        </w:rPr>
        <w:t xml:space="preserve">no final da intervenção.</w:t>
      </w:r>
    </w:p>
    <w:p>
      <w:pPr>
        <w:pStyle w:val="Compact"/>
        <w:numPr>
          <w:ilvl w:val="0"/>
          <w:numId w:val="1056"/>
        </w:numPr>
      </w:pPr>
      <w:r>
        <w:rPr>
          <w:lang w:val="pt-PT"/>
        </w:rPr>
        <w:t xml:space="preserve">Nenhuma cópia local dos dados de produção por parte do provedor de serviços.</w:t>
      </w:r>
    </w:p>
    <w:p>
      <w:pPr>
        <w:pStyle w:val="Compact"/>
        <w:numPr>
          <w:ilvl w:val="0"/>
          <w:numId w:val="1056"/>
        </w:numPr>
      </w:pPr>
      <w:r>
        <w:rPr>
          <w:lang w:val="pt-PT"/>
        </w:rPr>
        <w:t xml:space="preserve">A conta </w:t>
      </w:r>
      <w:r>
        <w:rPr>
          <w:lang w:val="pt-PT"/>
        </w:rPr>
        <w:t xml:space="preserve"/>
      </w:r>
      <w:r>
        <w:rPr>
          <w:rStyle w:val="VerbatimChar"/>
          <w:lang w:val="pt-PT"/>
        </w:rPr>
        <w:t xml:space="preserve">super_agent</w:t>
      </w:r>
      <w:r>
        <w:rPr>
          <w:lang w:val="pt-PT"/>
        </w:rPr>
        <w:t xml:space="preserve"> </w:t>
      </w:r>
      <w:r>
        <w:rPr>
          <w:lang w:val="pt-PT"/>
        </w:rPr>
        <w:t xml:space="preserve">do integrador existe apenas no ambiente de </w:t>
      </w:r>
      <w:r>
        <w:rPr>
          <w:lang w:val="pt-PT"/>
        </w:rPr>
        <w:t xml:space="preserve"/>
      </w:r>
      <w:r>
        <w:rPr>
          <w:b/>
          <w:bCs/>
          <w:lang w:val="pt-PT"/>
        </w:rPr>
        <w:t xml:space="preserve">demonstração </w:t>
      </w:r>
      <w:r>
        <w:rPr>
          <w:lang w:val="pt-PT"/>
        </w:rPr>
        <w:t xml:space="preserve"/>
      </w:r>
      <w:r>
        <w:rPr>
          <w:lang w:val="pt-PT"/>
        </w:rPr>
        <w:t xml:space="preserve">(nunca em produção) e não dá </w:t>
      </w:r>
      <w:r>
        <w:rPr>
          <w:lang w:val="pt-PT"/>
        </w:rPr>
        <w:t xml:space="preserve"/>
      </w:r>
      <w:r>
        <w:rPr>
          <w:b/>
          <w:bCs/>
          <w:lang w:val="pt-PT"/>
        </w:rPr>
        <w:t xml:space="preserve">acesso ao conteúdo </w:t>
      </w:r>
      <w:r>
        <w:rPr>
          <w:lang w:val="pt-PT"/>
        </w:rPr>
        <w:t xml:space="preserve"/>
      </w:r>
      <w:r>
        <w:rPr>
          <w:lang w:val="pt-PT"/>
        </w:rPr>
        <w:t xml:space="preserve">das organizações.</w:t>
      </w:r>
    </w:p>
    <w:p>
      <w:pPr>
        <w:pStyle w:val="BlockText"/>
      </w:pPr>
      <w:r>
        <w:rPr>
          <w:b/>
          <w:bCs/>
          <w:lang w:val="pt-PT"/>
        </w:rPr>
        <w:t xml:space="preserve">Engajamento — localização das intervenções. </w:t>
      </w:r>
      <w:r>
        <w:rPr>
          <w:lang w:val="pt-PT"/>
        </w:rPr>
        <w:t xml:space="preserve"/>
      </w:r>
      <w:r>
        <w:rPr>
          <w:lang w:val="pt-PT"/>
        </w:rPr>
        <w:t xml:space="preserve">Qualquer intervenção de suporte e manutenção do OHADJA é realizada </w:t>
      </w:r>
      <w:r>
        <w:rPr>
          <w:lang w:val="pt-PT"/>
        </w:rPr>
        <w:t xml:space="preserve"/>
      </w:r>
      <w:r>
        <w:rPr>
          <w:b/>
          <w:bCs/>
          <w:lang w:val="pt-PT"/>
        </w:rPr>
        <w:t xml:space="preserve">exclusivamente na França ou na União Europeia. Nenhum acesso </w:t>
      </w:r>
      <w:r>
        <w:rPr>
          <w:lang w:val="pt-PT"/>
        </w:rPr>
        <w:t xml:space="preserve">administrativo ou de suporte é realizado a partir de um país terceiro fora do EEE. Este compromisso é consistente com a natureza da OHADJA, editora estabelecida em França (Paris). Constitui um compromisso contratual a incluir no contrato de manutenção.</w:t>
      </w:r>
    </w:p>
    <w:p>
      <w:r>
        <w:pict>
          <v:rect style="width:0;height:1.5pt" o:hralign="center" o:hrstd="t" o:hr="t"/>
        </w:pict>
      </w:r>
    </w:p>
    <w:bookmarkEnd w:id="177"/>
    <w:bookmarkStart w:id="178" w:name="X11ff2a099049a9b0760c01b4e8b4475e8b5d05c"/>
    <w:p>
      <w:pPr>
        <w:pStyle w:val="Heading2"/>
        <w:keepNext/>
        <w:keepLines/>
      </w:pPr>
      <w:r>
        <w:rPr>
          <w:color w:val="000000"/>
          <w:lang w:val="pt-PT"/>
        </w:rPr>
        <w:t xml:space="preserve">8. Reversibilidade (segurança)</w:t>
      </w:r>
    </w:p>
    <w:p>
      <w:pPr>
        <w:pStyle w:val="Compact"/>
        <w:numPr>
          <w:ilvl w:val="0"/>
          <w:numId w:val="1057"/>
        </w:numPr>
      </w:pPr>
      <w:r>
        <w:rPr>
          <w:b/>
          <w:bCs/>
          <w:lang w:val="pt-PT"/>
        </w:rPr>
        <w:t xml:space="preserve">Exportação completa por organização </w:t>
      </w:r>
      <w:r>
        <w:rPr>
          <w:lang w:val="pt-PT"/>
        </w:rPr>
        <w:t xml:space="preserve"/>
      </w:r>
      <w:r>
        <w:rPr>
          <w:lang w:val="pt-PT"/>
        </w:rPr>
        <w:t xml:space="preserve">de autoatendimento (</w:t>
      </w:r>
      <w:r>
        <w:rPr>
          <w:rStyle w:val="VerbatimChar"/>
          <w:lang w:val="pt-PT"/>
        </w:rPr>
        <w:t xml:space="preserve">.tar.gz</w:t>
      </w:r>
      <w:r>
        <w:rPr>
          <w:lang w:val="pt-PT"/>
        </w:rPr>
        <w:t xml:space="preserve"> </w:t>
      </w:r>
      <w:r>
        <w:rPr>
          <w:lang w:val="pt-PT"/>
        </w:rPr>
        <w:t xml:space="preserve">assinado SHA-256): sessões, áudio, transcrições, gerações de IA, votos, presença, dicionário, registo de atividades, utilizadores.</w:t>
      </w:r>
    </w:p>
    <w:p>
      <w:pPr>
        <w:pStyle w:val="Compact"/>
        <w:numPr>
          <w:ilvl w:val="0"/>
          <w:numId w:val="1057"/>
        </w:numPr>
      </w:pPr>
      <w:r>
        <w:rPr>
          <w:b/>
          <w:bCs/>
          <w:lang w:val="pt-PT"/>
        </w:rPr>
        <w:t xml:space="preserve">Recuperação granular </w:t>
      </w:r>
      <w:r>
        <w:rPr>
          <w:lang w:val="pt-PT"/>
        </w:rPr>
        <w:t xml:space="preserve"/>
      </w:r>
      <w:r>
        <w:rPr>
          <w:lang w:val="pt-PT"/>
        </w:rPr>
        <w:t xml:space="preserve">por organização.</w:t>
      </w:r>
    </w:p>
    <w:p>
      <w:pPr>
        <w:pStyle w:val="Compact"/>
        <w:numPr>
          <w:ilvl w:val="0"/>
          <w:numId w:val="1057"/>
        </w:numPr>
      </w:pPr>
      <w:r>
        <w:rPr>
          <w:b/>
          <w:bCs/>
          <w:lang w:val="pt-PT"/>
        </w:rPr>
        <w:t xml:space="preserve">Exclusão certificada </w:t>
      </w:r>
      <w:r>
        <w:rPr>
          <w:lang w:val="pt-PT"/>
        </w:rPr>
        <w:t xml:space="preserve"/>
      </w:r>
      <w:r>
        <w:rPr>
          <w:lang w:val="pt-PT"/>
        </w:rPr>
        <w:t xml:space="preserve">(art. 17 RGPD) rastreada com certificado de exclusão.</w:t>
      </w:r>
    </w:p>
    <w:p>
      <w:pPr>
        <w:pStyle w:val="Compact"/>
        <w:numPr>
          <w:ilvl w:val="0"/>
          <w:numId w:val="1057"/>
        </w:numPr>
      </w:pPr>
      <w:r>
        <w:rPr>
          <w:lang w:val="pt-PT"/>
        </w:rPr>
        <w:t xml:space="preserve">No final do contrato: devolução dos dados e depois eliminação, de acordo com os termos do DPA (devolução/eliminação no prazo de 30 dias + eliminação dos backups no prazo de 90 dias + certificado).</w:t>
      </w:r>
    </w:p>
    <w:p>
      <w:pPr>
        <w:pStyle w:val="Compact"/>
        <w:numPr>
          <w:ilvl w:val="0"/>
          <w:numId w:val="1057"/>
        </w:numPr>
      </w:pPr>
      <w:r>
        <w:rPr>
          <w:lang w:val="pt-PT"/>
        </w:rPr>
        <w:t xml:space="preserve">As </w:t>
      </w:r>
      <w:r>
        <w:rPr>
          <w:lang w:val="pt-PT"/>
        </w:rPr>
        <w:t xml:space="preserve"/>
      </w:r>
      <w:r>
        <w:rPr>
          <w:b/>
          <w:bCs/>
          <w:lang w:val="pt-PT"/>
        </w:rPr>
        <w:t xml:space="preserve">chaves de cifragem dos backups </w:t>
      </w:r>
      <w:r>
        <w:rPr>
          <w:lang w:val="pt-PT"/>
        </w:rPr>
        <w:t xml:space="preserve"/>
      </w:r>
      <w:r>
        <w:rPr>
          <w:lang w:val="pt-PT"/>
        </w:rPr>
        <w:t xml:space="preserve">estão em poder do Cliente, a reversibilidade não depende de segredo do editor.</w:t>
      </w:r>
    </w:p>
    <w:p>
      <w:r>
        <w:pict>
          <v:rect style="width:0;height:1.5pt" o:hralign="center" o:hrstd="t" o:hr="t"/>
        </w:pict>
      </w:r>
    </w:p>
    <w:bookmarkEnd w:id="178"/>
    <w:bookmarkStart w:id="179" w:name="Xaf792b86397cdd49b989fcabb6474a3aaee708b"/>
    <w:p>
      <w:pPr>
        <w:pStyle w:val="Heading2"/>
        <w:keepNext/>
        <w:keepLines/>
      </w:pPr>
      <w:r>
        <w:rPr>
          <w:color w:val="000000"/>
          <w:lang w:val="pt-PT"/>
        </w:rPr>
        <w:t xml:space="preserve">9. Compromissos e limites</w:t>
      </w:r>
    </w:p>
    <w:p>
      <w:pPr>
        <w:pStyle w:val="FirstParagraph"/>
      </w:pPr>
      <w:r>
        <w:rPr>
          <w:b/>
          <w:bCs/>
          <w:lang w:val="pt-PT"/>
        </w:rPr>
        <w:t xml:space="preserve">Compromissos:</w:t>
      </w:r>
    </w:p>
    <w:p>
      <w:pPr>
        <w:pStyle w:val="Compact"/>
        <w:numPr>
          <w:ilvl w:val="0"/>
          <w:numId w:val="1058"/>
        </w:numPr>
      </w:pPr>
      <w:r>
        <w:rPr>
          <w:lang w:val="pt-PT"/>
        </w:rPr>
        <w:t xml:space="preserve">Solução reforçada, desenvolvida de acordo com um SDLC seguro com revisões (incluindo contraditórias) antes de cada lançamento.</w:t>
      </w:r>
    </w:p>
    <w:p>
      <w:pPr>
        <w:pStyle w:val="Compact"/>
        <w:numPr>
          <w:ilvl w:val="0"/>
          <w:numId w:val="1058"/>
        </w:numPr>
      </w:pPr>
      <w:r>
        <w:rPr>
          <w:lang w:val="pt-PT"/>
        </w:rPr>
        <w:t xml:space="preserve">Documentação completa (projeto, operação, aceitação, segurança).</w:t>
      </w:r>
    </w:p>
    <w:p>
      <w:pPr>
        <w:pStyle w:val="Compact"/>
        <w:numPr>
          <w:ilvl w:val="0"/>
          <w:numId w:val="1058"/>
        </w:numPr>
      </w:pPr>
      <w:r>
        <w:rPr>
          <w:lang w:val="pt-PT"/>
        </w:rPr>
        <w:t xml:space="preserve">Suporte de acordo com os termos acordados (ver EXPL-16/EXPL-17).</w:t>
      </w:r>
    </w:p>
    <w:p>
      <w:pPr>
        <w:pStyle w:val="Compact"/>
        <w:numPr>
          <w:ilvl w:val="0"/>
          <w:numId w:val="1058"/>
        </w:numPr>
      </w:pPr>
      <w:r>
        <w:rPr>
          <w:lang w:val="pt-PT"/>
        </w:rPr>
        <w:t xml:space="preserve">Nenhum processamento biométrico automático persistente introduzido sem atualização explícita do DPA (aviso ≥ 60 dias).</w:t>
      </w:r>
    </w:p>
    <w:p>
      <w:pPr>
        <w:pStyle w:val="Compact"/>
        <w:numPr>
          <w:ilvl w:val="0"/>
          <w:numId w:val="1058"/>
        </w:numPr>
      </w:pPr>
      <w:r>
        <w:rPr>
          <w:lang w:val="pt-PT"/>
        </w:rPr>
        <w:t xml:space="preserve">Sem acesso permanente à produção; suporta acesso somente com autorização expressa, supervisionada e rastreada.</w:t>
      </w:r>
    </w:p>
    <w:p>
      <w:pPr>
        <w:pStyle w:val="Compact"/>
        <w:numPr>
          <w:ilvl w:val="0"/>
          <w:numId w:val="1058"/>
        </w:numPr>
      </w:pPr>
      <w:r>
        <w:rPr>
          <w:lang w:val="pt-PT"/>
        </w:rPr>
        <w:t xml:space="preserve">Apoio e manutenção realizados </w:t>
      </w:r>
      <w:r>
        <w:rPr>
          <w:lang w:val="pt-PT"/>
        </w:rPr>
        <w:t xml:space="preserve"/>
      </w:r>
      <w:r>
        <w:rPr>
          <w:b/>
          <w:bCs/>
          <w:lang w:val="pt-PT"/>
        </w:rPr>
        <w:t xml:space="preserve">exclusivamente a partir de França/União Europeia </w:t>
      </w:r>
      <w:r>
        <w:rPr>
          <w:lang w:val="pt-PT"/>
        </w:rPr>
        <w:t xml:space="preserve"/>
      </w:r>
      <w:r>
        <w:rPr>
          <w:lang w:val="pt-PT"/>
        </w:rPr>
        <w:t xml:space="preserve">(sem intervenção de um país terceiro fora do EEE).</w:t>
      </w:r>
    </w:p>
    <w:p>
      <w:pPr>
        <w:pStyle w:val="FirstParagraph"/>
      </w:pPr>
      <w:r>
        <w:rPr>
          <w:b/>
          <w:bCs/>
          <w:lang w:val="pt-PT"/>
        </w:rPr>
        <w:t xml:space="preserve">Limites (transparência):</w:t>
      </w:r>
    </w:p>
    <w:p>
      <w:pPr>
        <w:pStyle w:val="Compact"/>
        <w:numPr>
          <w:ilvl w:val="0"/>
          <w:numId w:val="1059"/>
        </w:numPr>
      </w:pPr>
      <w:r>
        <w:rPr>
          <w:b/>
          <w:bCs/>
          <w:lang w:val="pt-PT"/>
        </w:rPr>
        <w:t xml:space="preserve">Nenhuma certificação </w:t>
      </w:r>
      <w:r>
        <w:rPr>
          <w:lang w:val="pt-PT"/>
        </w:rPr>
        <w:t xml:space="preserve"/>
      </w:r>
      <w:r>
        <w:rPr>
          <w:lang w:val="pt-PT"/>
        </w:rPr>
        <w:t xml:space="preserve">(ISO 27001, SOC 2, HDS, SecNumCloud) </w:t>
      </w:r>
      <w:r>
        <w:rPr>
          <w:lang w:val="pt-PT"/>
        </w:rPr>
        <w:t xml:space="preserve"/>
      </w:r>
      <w:r>
        <w:rPr>
          <w:b/>
          <w:bCs/>
          <w:lang w:val="pt-PT"/>
        </w:rPr>
        <w:t xml:space="preserve">obtida até o </w:t>
      </w:r>
      <w:r>
        <w:rPr>
          <w:lang w:val="pt-PT"/>
        </w:rPr>
        <w:t xml:space="preserve">momento; </w:t>
      </w:r>
      <w:r>
        <w:rPr>
          <w:lang w:val="pt-PT"/>
        </w:rPr>
        <w:t xml:space="preserve">procedimentos atuais/planeados (ver §3).</w:t>
      </w:r>
    </w:p>
    <w:p>
      <w:pPr>
        <w:pStyle w:val="Compact"/>
        <w:numPr>
          <w:ilvl w:val="0"/>
          <w:numId w:val="1059"/>
        </w:numPr>
      </w:pPr>
      <w:r>
        <w:rPr>
          <w:lang w:val="pt-PT"/>
        </w:rPr>
        <w:t xml:space="preserve">A declaração “sem dados na nuvem” aplica-se </w:t>
      </w:r>
      <w:r>
        <w:rPr>
          <w:lang w:val="pt-PT"/>
        </w:rPr>
        <w:t xml:space="preserve"/>
      </w:r>
      <w:r>
        <w:rPr>
          <w:b/>
          <w:bCs/>
          <w:lang w:val="pt-PT"/>
        </w:rPr>
        <w:t xml:space="preserve">apenas à variante local isolada </w:t>
      </w:r>
      <w:r>
        <w:rPr>
          <w:lang w:val="pt-PT"/>
        </w:rPr>
        <w:t xml:space="preserve"/>
      </w:r>
      <w:r>
        <w:rPr>
          <w:lang w:val="pt-PT"/>
        </w:rPr>
        <w:t xml:space="preserve">descrita aqui.</w:t>
      </w:r>
    </w:p>
    <w:p>
      <w:pPr>
        <w:pStyle w:val="Compact"/>
        <w:numPr>
          <w:ilvl w:val="0"/>
          <w:numId w:val="1059"/>
        </w:numPr>
      </w:pPr>
      <w:r>
        <w:rPr>
          <w:lang w:val="pt-PT"/>
        </w:rPr>
        <w:t xml:space="preserve">A segurança da infraestrutura subjacente (rede, física, PKI, operações) é da responsabilidade do Cliente.</w:t>
      </w:r>
    </w:p>
    <w:p>
      <w:pPr>
        <w:pStyle w:val="Compact"/>
        <w:numPr>
          <w:ilvl w:val="0"/>
          <w:numId w:val="1059"/>
        </w:numPr>
      </w:pPr>
      <w:r>
        <w:rPr>
          <w:lang w:val="pt-PT"/>
        </w:rPr>
        <w:t xml:space="preserve">ClamAV em </w:t>
      </w:r>
      <w:r>
        <w:rPr>
          <w:lang w:val="pt-PT"/>
        </w:rPr>
        <w:t xml:space="preserve"/>
      </w:r>
      <w:r>
        <w:rPr>
          <w:b/>
          <w:bCs/>
          <w:lang w:val="pt-PT"/>
        </w:rPr>
        <w:t xml:space="preserve">modo fail-open com </w:t>
      </w:r>
      <w:r>
        <w:rPr>
          <w:lang w:val="pt-PT"/>
        </w:rPr>
        <w:t xml:space="preserve"/>
      </w:r>
      <w:r>
        <w:rPr>
          <w:lang w:val="pt-PT"/>
        </w:rPr>
        <w:t xml:space="preserve">registo: quando o scanner está indisponível, o evento fica registado — a incluir na análise de risco do Cliente.</w:t>
      </w:r>
    </w:p>
    <w:p>
      <w:pPr>
        <w:pStyle w:val="Compact"/>
        <w:numPr>
          <w:ilvl w:val="0"/>
          <w:numId w:val="1059"/>
        </w:numPr>
      </w:pPr>
      <w:r>
        <w:rPr>
          <w:lang w:val="pt-PT"/>
        </w:rPr>
        <w:t xml:space="preserve">Os tempos de correção e os níveis de serviço são </w:t>
      </w:r>
      <w:r>
        <w:rPr>
          <w:lang w:val="pt-PT"/>
        </w:rPr>
        <w:t xml:space="preserve"/>
      </w:r>
      <w:r>
        <w:rPr>
          <w:b/>
          <w:bCs/>
          <w:lang w:val="pt-PT"/>
        </w:rPr>
        <w:t xml:space="preserve">propostas a </w:t>
      </w:r>
      <w:r>
        <w:rPr>
          <w:lang w:val="pt-PT"/>
        </w:rPr>
        <w:t xml:space="preserve"/>
      </w:r>
      <w:r>
        <w:rPr>
          <w:lang w:val="pt-PT"/>
        </w:rPr>
        <w:t xml:space="preserve">confirmar no contrato.</w:t>
      </w:r>
    </w:p>
    <w:p>
      <w:r>
        <w:pict>
          <v:rect style="width:0;height:1.5pt" o:hralign="center" o:hrstd="t" o:hr="t"/>
        </w:pict>
      </w:r>
    </w:p>
    <w:bookmarkEnd w:id="179"/>
    <w:bookmarkStart w:id="180" w:name="Xe6f82c3d27eccb5c8256ef77906554a3c8d67e2"/>
    <w:p>
      <w:pPr>
        <w:pStyle w:val="Heading2"/>
        <w:keepNext/>
        <w:keepLines/>
      </w:pPr>
      <w:r>
        <w:rPr>
          <w:color w:val="000000"/>
          <w:lang w:val="pt-PT"/>
        </w:rPr>
        <w:t xml:space="preserve">10. Rastreamento</w:t>
      </w:r>
    </w:p>
    <w:p>
      <w:pPr>
        <w:pStyle w:val="Compact"/>
        <w:numPr>
          <w:ilvl w:val="0"/>
          <w:numId w:val="1060"/>
        </w:numPr>
      </w:pPr>
      <w:r>
        <w:rPr>
          <w:b/>
          <w:bCs/>
          <w:lang w:val="pt-PT"/>
        </w:rPr>
        <w:t xml:space="preserve">Comitê de monitorização de </w:t>
      </w:r>
      <w:r>
        <w:rPr>
          <w:lang w:val="pt-PT"/>
        </w:rPr>
        <w:t xml:space="preserve"/>
      </w:r>
      <w:r>
        <w:rPr>
          <w:lang w:val="pt-PT"/>
        </w:rPr>
        <w:t xml:space="preserve">segurança: reunião periódica de editores/integradores/clientes </w:t>
      </w:r>
      <w:r>
        <w:rPr>
          <w:lang w:val="pt-PT"/>
        </w:rPr>
        <w:t xml:space="preserve"/>
      </w:r>
      <w:r>
        <w:rPr>
          <w:rStyle w:val="VerbatimChar"/>
          <w:lang w:val="pt-PT"/>
        </w:rPr>
        <w:t xml:space="preserve">[OBSERVAÇÃO: frequência, por ex. </w:t>
      </w:r>
      <w:r>
        <w:rPr>
          <w:lang w:val="pt-PT"/>
        </w:rPr>
        <w:t xml:space="preserve">semestral].</w:t>
      </w:r>
    </w:p>
    <w:p>
      <w:pPr>
        <w:pStyle w:val="Compact"/>
        <w:numPr>
          <w:ilvl w:val="0"/>
          <w:numId w:val="1060"/>
        </w:numPr>
      </w:pPr>
      <w:r>
        <w:rPr>
          <w:b/>
          <w:bCs/>
          <w:lang w:val="pt-PT"/>
        </w:rPr>
        <w:t xml:space="preserve">Indicadores </w:t>
      </w:r>
      <w:r>
        <w:rPr>
          <w:lang w:val="pt-PT"/>
        </w:rPr>
        <w:t xml:space="preserve"/>
      </w:r>
      <w:r>
        <w:rPr>
          <w:lang w:val="pt-PT"/>
        </w:rPr>
        <w:t xml:space="preserve">propostos: número de incidentes e tempo de processamento, vulnerabilidades identificadas/corrigidas e prazos, resultados de testes periódicos de restauração, taxa de disponibilidade, atendimento aos GTIs.</w:t>
      </w:r>
    </w:p>
    <w:p>
      <w:pPr>
        <w:pStyle w:val="Compact"/>
        <w:numPr>
          <w:ilvl w:val="0"/>
          <w:numId w:val="1060"/>
        </w:numPr>
      </w:pPr>
      <w:r>
        <w:rPr>
          <w:b/>
          <w:bCs/>
          <w:lang w:val="pt-PT"/>
        </w:rPr>
        <w:t xml:space="preserve">Revisão </w:t>
      </w:r>
      <w:r>
        <w:rPr>
          <w:lang w:val="pt-PT"/>
        </w:rPr>
        <w:t xml:space="preserve"/>
      </w:r>
      <w:r>
        <w:rPr>
          <w:lang w:val="pt-PT"/>
        </w:rPr>
        <w:t xml:space="preserve">anual deste PAS e da norma SGSI.</w:t>
      </w:r>
    </w:p>
    <w:p>
      <w:pPr>
        <w:pStyle w:val="Compact"/>
        <w:numPr>
          <w:ilvl w:val="0"/>
          <w:numId w:val="1060"/>
        </w:numPr>
      </w:pPr>
      <w:r>
        <w:rPr>
          <w:b/>
          <w:bCs/>
          <w:lang w:val="pt-PT"/>
        </w:rPr>
        <w:t xml:space="preserve">Atualizações: </w:t>
      </w:r>
      <w:r>
        <w:rPr>
          <w:lang w:val="pt-PT"/>
        </w:rPr>
        <w:t xml:space="preserve"/>
      </w:r>
      <w:r>
        <w:rPr>
          <w:lang w:val="pt-PT"/>
        </w:rPr>
        <w:t xml:space="preserve">o PAS é revisado a cada mudança importante na arquitetura ou no contexto regulatório.</w:t>
      </w:r>
    </w:p>
    <w:p>
      <w:r>
        <w:pict>
          <v:rect style="width:0;height:1.5pt" o:hralign="center" o:hrstd="t" o:hr="t"/>
        </w:pict>
      </w:r>
    </w:p>
    <w:bookmarkEnd w:id="180"/>
    <w:bookmarkStart w:id="181" w:name="annexe--documents-liés"/>
    <w:p>
      <w:pPr>
        <w:pStyle w:val="Heading2"/>
        <w:keepNext/>
        <w:keepLines/>
      </w:pPr>
      <w:r>
        <w:rPr>
          <w:color w:val="000000"/>
          <w:lang w:val="pt-PT"/>
        </w:rPr>
        <w:t xml:space="preserve">Apêndice — Documentos relacionados</w:t>
      </w:r>
    </w:p>
    <w:p>
      <w:pPr>
        <w:pStyle w:val="Compact"/>
        <w:numPr>
          <w:ilvl w:val="0"/>
          <w:numId w:val="1061"/>
        </w:numPr>
      </w:pPr>
      <w:r>
        <w:rPr>
          <w:rStyle w:val="VerbatimChar"/>
          <w:lang w:val="pt-PT"/>
        </w:rPr>
        <w:t xml:space="preserve">01_Dossier_Conception_Detaillee.md</w:t>
      </w:r>
      <w:r>
        <w:rPr>
          <w:lang w:val="pt-PT"/>
        </w:rPr>
        <w:t xml:space="preserve"> </w:t>
      </w:r>
      <w:r>
        <w:rPr>
          <w:lang w:val="pt-PT"/>
        </w:rPr>
        <w:t xml:space="preserve">— arquitetura e matrizes de fluxo.</w:t>
      </w:r>
    </w:p>
    <w:p>
      <w:pPr>
        <w:pStyle w:val="Compact"/>
        <w:numPr>
          <w:ilvl w:val="0"/>
          <w:numId w:val="1061"/>
        </w:numPr>
      </w:pPr>
      <w:r>
        <w:rPr>
          <w:rStyle w:val="VerbatimChar"/>
          <w:lang w:val="pt-PT"/>
        </w:rPr>
        <w:t xml:space="preserve">02_Dossier_Exploitation.md</w:t>
      </w:r>
      <w:r>
        <w:rPr>
          <w:lang w:val="pt-PT"/>
        </w:rPr>
        <w:t xml:space="preserve"> </w:t>
      </w:r>
      <w:r>
        <w:rPr>
          <w:lang w:val="pt-PT"/>
        </w:rPr>
        <w:t xml:space="preserve">— arquivos operacionais.</w:t>
      </w:r>
    </w:p>
    <w:p>
      <w:pPr>
        <w:pStyle w:val="Compact"/>
        <w:numPr>
          <w:ilvl w:val="0"/>
          <w:numId w:val="1061"/>
        </w:numPr>
      </w:pPr>
      <w:r>
        <w:rPr>
          <w:rStyle w:val="VerbatimChar"/>
          <w:lang w:val="pt-PT"/>
        </w:rPr>
        <w:t xml:space="preserve">03_Dossier_Qualification_Cahier_Recette.md</w:t>
      </w:r>
      <w:r>
        <w:rPr>
          <w:lang w:val="pt-PT"/>
        </w:rPr>
        <w:t xml:space="preserve"> </w:t>
      </w:r>
      <w:r>
        <w:rPr>
          <w:lang w:val="pt-PT"/>
        </w:rPr>
        <w:t xml:space="preserve">— testes e aceitação.</w:t>
      </w:r>
    </w:p>
    <w:p>
      <w:pPr>
        <w:pStyle w:val="Compact"/>
        <w:numPr>
          <w:ilvl w:val="0"/>
          <w:numId w:val="1061"/>
        </w:numPr>
      </w:pPr>
      <w:r>
        <w:rPr>
          <w:lang w:val="pt-PT"/>
        </w:rPr>
        <w:t xml:space="preserve">Arquivo RGPD (específico do projeto) — atores, transferências, conservação, correlação de voz.</w:t>
      </w:r>
    </w:p>
    <w:p>
      <w:pPr>
        <w:pStyle w:val="Compact"/>
        <w:numPr>
          <w:ilvl w:val="0"/>
          <w:numId w:val="1061"/>
        </w:numPr>
      </w:pPr>
      <w:r>
        <w:rPr>
          <w:lang w:val="pt-PT"/>
        </w:rPr>
        <w:t xml:space="preserve">16 Políticas de SGSI — </w:t>
      </w:r>
      <w:r>
        <w:rPr>
          <w:lang w:val="pt-PT"/>
        </w:rPr>
        <w:t xml:space="preserve"/>
      </w:r>
      <w:r>
        <w:rPr>
          <w:b/>
          <w:bCs/>
          <w:lang w:val="pt-PT"/>
        </w:rPr>
        <w:t xml:space="preserve">disponíveis mediante </w:t>
      </w:r>
      <w:r>
        <w:rPr>
          <w:lang w:val="pt-PT"/>
        </w:rPr>
        <w:t xml:space="preserve">solicitação.</w:t>
      </w:r>
    </w:p>
    <w:p>
      <w:r>
        <w:pict>
          <v:rect style="width:0;height:1.5pt" o:hralign="center" o:hrstd="t" o:hr="t"/>
        </w:pict>
      </w:r>
    </w:p>
    <w:p>
      <w:pPr>
        <w:pStyle w:val="FirstParagraph"/>
      </w:pPr>
      <w:r>
        <w:rPr>
          <w:i/>
          <w:iCs/>
          <w:lang w:val="pt-PT"/>
        </w:rPr>
        <w:t xml:space="preserve">Documento de trabalho elaborado por OHADJA (editor/mantenedor do software TranscribIA) — a ser validado pelo seu consultor jurídico/DPO antes da assinatura. Os compromissos de prazos e níveis de serviço constituem propostas a confirmar no contrato.</w:t>
      </w:r>
    </w:p>
    <w:bookmarkEnd w:id="181"/>
    <w:bookmarkEnd w:id="182"/>
    <w:p>
      <w:pPr>
        <w:pStyle w:val="Heading1"/>
        <w:pageBreakBefore/>
        <w:keepNext/>
        <w:keepLines/>
      </w:pPr>
      <w:r>
        <w:rPr>
          <w:lang w:val="pt-PT"/>
          <w:color w:val="000000"/>
        </w:rPr>
        <w:t xml:space="preserve">Anexo sobre as regras nacionais de implementação</w:t>
      </w:r>
    </w:p>
    <w:p>
      <w:pPr>
        <w:pStyle w:val="Heading2"/>
        <w:keepNext/>
        <w:keepLines/>
      </w:pPr>
      <w:r>
        <w:rPr>
          <w:lang w:val="pt-PT"/>
          <w:color w:val="000000"/>
        </w:rPr>
        <w:t xml:space="preserve">Âmbito deste anexo</w:t>
      </w:r>
    </w:p>
    <w:p>
      <w:pPr>
        <w:pStyle w:val="BodyText"/>
      </w:pPr>
      <w:r>
        <w:rPr>
          <w:lang w:val="pt-PT"/>
        </w:rPr>
        <w:t xml:space="preserve">Esta edição abrange a base do RGPD da União Europeia e os aspetos de implementação abaixo indicados para França, Irlanda, Países Baixos, Espanha e Portugal. Estas notas devem ser lidas em função do país e da utilização efetivos do Cliente, independentemente do idioma do documento. Complementam os documentos do projeto sem alterar automaticamente a identidade das partes, o direito francês escolhido ou os tribunais designados. Ficam ressalvadas as normas imperativas aplicáveis ao Cliente. As referências nacionais francesas do corpo do documento continuam identificadas como tal; não constituem uma equivalência estrangeira.</w:t>
      </w:r>
    </w:p>
    <w:p>
      <w:pPr>
        <w:pStyle w:val="Heading2"/>
        <w:keepNext/>
        <w:keepLines/>
      </w:pPr>
      <w:r>
        <w:rPr>
          <w:lang w:val="pt-PT"/>
          <w:color w:val="000000"/>
        </w:rPr>
        <w:t xml:space="preserve">Base europeia a documentar antes da entrada em serviço</w:t>
      </w:r>
    </w:p>
    <w:p>
      <w:pPr>
        <w:pStyle w:val="BodyText"/>
      </w:pPr>
      <w:r>
        <w:rPr>
          <w:lang w:val="pt-PT"/>
        </w:rPr>
        <w:t xml:space="preserve">O Cliente deve determinar a finalidade, a necessidade, a proporcionalidade e o fundamento de licitude de cada gravação e tratamento; informar as pessoas antes da recolha; definir os destinatários, os prazos e os meios de exercício dos direitos; e celebrar um acordo conforme com o artigo 28.º para as operações confiadas a um subcontratante. A informação, a consulta ou a validação humana não bastam para tornar um tratamento lícito. O consentimento dos trabalhadores deve ser examinado com prudência, tendo em conta o desequilíbrio face ao empregador.</w:t>
      </w:r>
    </w:p>
    <w:p>
      <w:pPr>
        <w:pStyle w:val="BodyText"/>
      </w:pPr>
      <w:r>
        <w:rPr>
          <w:lang w:val="pt-PT"/>
        </w:rPr>
        <w:t xml:space="preserve">Se forem tratadas categorias especiais de dados, deve ser identificada uma condição aplicável do artigo 9.º, além do fundamento do artigo 6.º. Uma comparação vocal que vise a identificação inequívoca deve ser analisada à luz da biometria, mesmo sem um modelo persistente. A avaliação de impacto deve ser realizada antes dos tratamentos suscetíveis de resultar num risco elevado e as regras de consulta prévia da autoridade continuam a aplicar-se quando estiverem reunidas as condições do artigo 36.º. Nem o alojamento local nem um aditamento dispensam esta análise.</w:t>
      </w:r>
    </w:p>
    <w:p>
      <w:pPr>
        <w:pStyle w:val="BodyText"/>
      </w:pPr>
      <w:r>
        <w:rPr>
          <w:lang w:val="pt-PT"/>
        </w:rPr>
        <w:t xml:space="preserve">A autoridade competente depende das regras do RGPD, nomeadamente em caso de tratamento transfronteiriço; não depende do idioma escolhido. O subcontratante alerta o Cliente sem demora injustificada. O responsável pelo tratamento notifica a autoridade competente nas condições do artigo 33.º, sempre que possível nas 72 horas após ter conhecimento de uma violação, salvo se esta não for suscetível de resultar num risco para os direitos e liberdades. A comunicação aos titulares dos dados está sujeita às condições do artigo 34.º.</w:t>
      </w:r>
    </w:p>
    <w:p>
      <w:pPr>
        <w:pStyle w:val="BodyText"/>
      </w:pPr>
      <w:r>
        <w:rPr>
          <w:lang w:val="pt-PT"/>
        </w:rPr>
        <w:t xml:space="preserve">Fontes europeias https://eur-lex.europa.eu/eli/reg/2016/679/oj e https://www.edpb.europa.eu/documents/guideline/guidelines-052020-on-consent-under-regulation-2016679_en</w:t>
      </w:r>
    </w:p>
    <w:p>
      <w:pPr>
        <w:pStyle w:val="Heading2"/>
        <w:keepNext/>
        <w:keepLines/>
      </w:pPr>
      <w:r>
        <w:rPr>
          <w:lang w:val="pt-PT"/>
          <w:color w:val="000000"/>
        </w:rPr>
        <w:t xml:space="preserve">França</w:t>
      </w:r>
    </w:p>
    <w:p>
      <w:pPr>
        <w:pStyle w:val="BodyText"/>
      </w:pPr>
      <w:r>
        <w:rPr>
          <w:lang w:val="pt-PT"/>
        </w:rPr>
        <w:t xml:space="preserve">Para uma implementação em França, determinar as obrigações de informação dos trabalhadores e de consulta prévia do CSE em função do dispositivo, do número de trabalhadores e do âmbito legal aplicável. O Code du travail francês abrange, nomeadamente, as técnicas que permitem controlar a atividade, mesmo que o produto seja apresentado como apoio à redação. A informação e a consulta não substituem a análise de licitude, necessidade e proporcionalidade, nem as regras específicas relativas às conversas privadas, aos dados sensíveis e à confidencialidade. A CNIL é a autoridade nacional, sem prejuízo das regras de competência do RGPD.</w:t>
      </w:r>
    </w:p>
    <w:p>
      <w:pPr>
        <w:pStyle w:val="BodyText"/>
      </w:pPr>
      <w:r>
        <w:rPr>
          <w:lang w:val="pt-PT"/>
        </w:rPr>
        <w:t xml:space="preserve">Fontes de França Code du travail, artigos L1222-4 e L2312-38 https://www.legifrance.gouv.fr/codes/article_lc/LEGIARTI000006900861 e https://www.legifrance.gouv.fr/codes/section_lc/LEGITEXT000006072050/LEGISCTA000035610273/</w:t>
      </w:r>
    </w:p>
    <w:p>
      <w:pPr>
        <w:pStyle w:val="Heading2"/>
        <w:keepNext/>
        <w:keepLines/>
      </w:pPr>
      <w:r>
        <w:rPr>
          <w:lang w:val="pt-PT"/>
          <w:color w:val="000000"/>
        </w:rPr>
        <w:t xml:space="preserve">Irlanda</w:t>
      </w:r>
    </w:p>
    <w:p>
      <w:pPr>
        <w:pStyle w:val="BodyText"/>
      </w:pPr>
      <w:r>
        <w:rPr>
          <w:lang w:val="pt-PT"/>
        </w:rPr>
        <w:t xml:space="preserve">Para uma implementação na Irlanda, aplicar o RGPD e o quadro nacional; documentar o fundamento de licitude e informar os participantes antes da gravação. Examinar as obrigações de informação e consulta dos trabalhadores em função do âmbito, do número de trabalhadores, dos acordos coletivos e dos mecanismos existentes. O regime irlandês não equivale ao CSE francês nem estabelece uma consulta idêntica para todos os empregadores. A Data Protection Commission é a autoridade nacional, sem prejuízo das regras de competência transfronteiriça.</w:t>
      </w:r>
    </w:p>
    <w:p>
      <w:pPr>
        <w:pStyle w:val="BodyText"/>
      </w:pPr>
      <w:r>
        <w:rPr>
          <w:lang w:val="pt-PT"/>
        </w:rPr>
        <w:t xml:space="preserve">Fontes da Irlanda https://www.dataprotection.ie/en/dpc-guidance/video-recording e Employees Provision of Information and Consultation Act 2006 https://www.irishstatutebook.ie/eli/2006/act/9/enacted/en/print</w:t>
      </w:r>
    </w:p>
    <w:p>
      <w:pPr>
        <w:pStyle w:val="Heading2"/>
        <w:keepNext/>
        <w:keepLines/>
      </w:pPr>
      <w:r>
        <w:rPr>
          <w:lang w:val="pt-PT"/>
          <w:color w:val="000000"/>
        </w:rPr>
        <w:t xml:space="preserve">Países Baixos</w:t>
      </w:r>
    </w:p>
    <w:p>
      <w:pPr>
        <w:pStyle w:val="BodyText"/>
      </w:pPr>
      <w:r>
        <w:rPr>
          <w:lang w:val="pt-PT"/>
        </w:rPr>
        <w:t xml:space="preserve">Para uma implementação nos Países Baixos, examinar as competências do ondernemingsraad ou OR. Um dispositivo que possa permitir acompanhar a presença, o comportamento ou o desempenho pode estar sujeito ao seu direito de aprovação prévia ao abrigo da Wet op de ondernemingsraden, mesmo que ainda não seja utilizado para esse fim. A aprovação do OR não substitui o fundamento de licitude do tratamento nem as condições aplicáveis à biometria e aos dados sensíveis. A Autoriteit Persoonsgegevens é a autoridade nacional, sem prejuízo das regras de competência do RGPD.</w:t>
      </w:r>
    </w:p>
    <w:p>
      <w:pPr>
        <w:pStyle w:val="BodyText"/>
      </w:pPr>
      <w:r>
        <w:rPr>
          <w:lang w:val="pt-PT"/>
        </w:rPr>
        <w:t xml:space="preserve">Fonte dos Países Baixos Autoriteit Persoonsgegevens https://autoriteitpersoonsgegevens.nl/en/themes/employment-and-benefits/works-council/the-works-council-and-staff-tracking-systems</w:t>
      </w:r>
    </w:p>
    <w:p>
      <w:pPr>
        <w:pStyle w:val="Heading2"/>
        <w:keepNext/>
        <w:keepLines/>
      </w:pPr>
      <w:r>
        <w:rPr>
          <w:lang w:val="pt-PT"/>
          <w:color w:val="000000"/>
        </w:rPr>
        <w:t xml:space="preserve">Espanha</w:t>
      </w:r>
    </w:p>
    <w:p>
      <w:pPr>
        <w:pStyle w:val="BodyText"/>
      </w:pPr>
      <w:r>
        <w:rPr>
          <w:lang w:val="pt-PT"/>
        </w:rPr>
        <w:t xml:space="preserve">Para uma implementação em Espanha, distinguir a transcrição de reuniões do recurso a dispositivos de vigilância sonora. No âmbito do artigo 89.º da Ley Orgánica 3/2018, a gravação de som no trabalho está estritamente limitada a determinados riscos de segurança, com proporcionalidade, intervenção mínima e garantias; os espaços de descanso são protegidos. Examinar os direitos de informação e consulta dos representantes e os acordos aplicáveis. Estas disposições não devem ser alargadas, sem análise, a qualquer reunião pontual, e o acordo dos participantes não constitui uma autorização geral. Identificar a AEPD ou a autoridade regional competente em função do tratamento.</w:t>
      </w:r>
    </w:p>
    <w:p>
      <w:pPr>
        <w:pStyle w:val="BodyText"/>
      </w:pPr>
      <w:r>
        <w:rPr>
          <w:lang w:val="pt-PT"/>
        </w:rPr>
        <w:t xml:space="preserve">Fontes de Espanha Ley Orgánica 3/2018, artigo 89.º https://www.boe.es/buscar/act.php?id=BOE-A-2018-16673#a89 e Estatuto de los Trabajadores, artigo 64.º https://www.boe.es/buscar/act.php?id=BOE-A-2015-11430#a64</w:t>
      </w:r>
    </w:p>
    <w:p>
      <w:pPr>
        <w:pStyle w:val="Heading2"/>
        <w:keepNext/>
        <w:keepLines/>
      </w:pPr>
      <w:r>
        <w:rPr>
          <w:lang w:val="pt-PT"/>
          <w:color w:val="000000"/>
        </w:rPr>
        <w:t xml:space="preserve">Portugal</w:t>
      </w:r>
    </w:p>
    <w:p>
      <w:pPr>
        <w:pStyle w:val="BodyText"/>
      </w:pPr>
      <w:r>
        <w:rPr>
          <w:lang w:val="pt-PT"/>
        </w:rPr>
        <w:t xml:space="preserve">Para uma implementação em Portugal, examinar o Código do Trabalho, a Lei 58/2019 e as regras aplicáveis ao dispositivo concreto. É proibida a vigilância à distância destinada ao controlo do desempenho profissional. A captação de som num dispositivo de videovigilância está sujeita a restrições específicas; esta regra não significa que todas as gravações de reuniões sejam proibidas nem que sejam sempre autorizadas. Determinar as obrigações perante os trabalhadores e os seus representantes antes da entrada em serviço. A Comissão Nacional de Proteção de Dados é a autoridade nacional, sem prejuízo das regras de competência do RGPD.</w:t>
      </w:r>
    </w:p>
    <w:p>
      <w:pPr>
        <w:pStyle w:val="BodyText"/>
      </w:pPr>
      <w:r>
        <w:rPr>
          <w:lang w:val="pt-PT"/>
        </w:rPr>
        <w:t xml:space="preserve">Fontes de Portugal Código do Trabalho, artigos 20.º e 21.º https://diariodarepublica.pt/dr/legislacao-consolidada/lei/2009-34546475-211441911 e CNPD https://www.cnpd.pt/organizacoes/areas-tematicas/videovigilancia/</w:t>
      </w:r>
    </w:p>
    <w:p>
      <w:pPr>
        <w:pStyle w:val="Heading2"/>
        <w:keepNext/>
        <w:keepLines/>
      </w:pPr>
      <w:r>
        <w:rPr>
          <w:lang w:val="pt-PT"/>
          <w:color w:val="000000"/>
        </w:rPr>
        <w:t xml:space="preserve">Quadros franceses e compromissos do projeto</w:t>
      </w:r>
    </w:p>
    <w:p>
      <w:pPr>
        <w:pStyle w:val="BodyText"/>
      </w:pPr>
      <w:r>
        <w:rPr>
          <w:lang w:val="pt-PT"/>
        </w:rPr>
        <w:t xml:space="preserve">Os termos CSE, CGCT, HDS, SecNumCloud, ANSSI e RGAA designam instituições, regras ou referenciais franceses. Não comprovam uma certificação da TranscribIA nem o cumprimento automático de um quadro estrangeiro. Os montantes e mecanismos de pagamento das condições gerais de venda, incluindo a remissão para o Code de commerce francês, devem ser articulados com o direito escolhido, a qualidade do Cliente e as normas imperativas aplicáveis; não devem ser apresentados como uma reprodução de cada direito nacional. As modalidades aplicáveis à contratação pública, aos consumidores e aos setores regulados devem ser especificadas separadamente quando estejam em causa.</w:t>
      </w:r>
    </w:p>
    <w:p>
      <w:pPr>
        <w:pStyle w:val="BodyText"/>
      </w:pPr>
      <w:r>
        <w:rPr>
          <w:lang w:val="pt-PT"/>
        </w:rPr>
        <w:t xml:space="preserve">Antes da assinatura, completar e verificar os anexos do projeto relativos às partes, à configuração SaaS ou local, aos locais de tratamento e de acesso, aos subcontratantes ulteriores, às transferências, às medidas de segurança efetivas, à conservação e aos níveis de serviço. Este anexo não atesta que uma medida técnica já esteja implementada nem substitui os compromissos particulares acordados. Os regimes britânicos, belgas e dos restantes países não são abrangidos por estas notas nacionais; exigem uma adaptação distinta.</w:t>
      </w:r>
    </w:p>
    <w:p>
      <w:pPr>
        <w:pStyle w:val="BodyText"/>
      </w:pPr>
      <w:r>
        <w:rPr>
          <w:lang w:val="pt-PT"/>
        </w:rPr>
        <w:t xml:space="preserve">As capturas de interface e os exemplos retirados da aplicação podem permanecer em francês. As explicações e as legendas documentais são traduzidas; os comandos, nomes de ficheiros, identificadores técnicos e referências documentais devem ser conservados exatamente.</w:t>
      </w:r>
    </w:p>
    <w:p>
      <w:pPr>
        <w:pStyle w:val="Heading1"/>
        <w:keepNext/>
        <w:keepLines/>
      </w:pPr>
      <w:r>
        <w:rPr>
          <w:lang w:val="pt-PT"/>
          <w:color w:val="000000"/>
        </w:rPr>
        <w:t>Histórico desta edição</w:t>
      </w:r>
    </w:p>
    <w:p>
      <w:pPr>
        <w:pStyle w:val="BodyText"/>
      </w:pPr>
      <w:r>
        <w:rPr>
          <w:lang w:val="pt-PT"/>
        </w:rPr>
        <w:t>1.1 — 2026-10-17</w:t>
      </w:r>
    </w:p>
    <w:p>
      <w:pPr>
        <w:pStyle w:val="BodyText"/>
      </w:pPr>
      <w:r>
        <w:rPr>
          <w:lang w:val="pt-PT"/>
        </w:rPr>
        <w:t>Edição multilingue e correções documentais. As versões anteriores e as respetivas datas são conservadas. O texto francês prevalece; as traduções facilitam a leitura e não alteram as partes nem a lei aplicável.</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pt-P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image" Id="rId67" Target="media/rId67.png" /><Relationship Type="http://schemas.openxmlformats.org/officeDocument/2006/relationships/image" Id="rId74" Target="media/rId74.png" /><Relationship Type="http://schemas.openxmlformats.org/officeDocument/2006/relationships/image" Id="rId54" Target="media/rId54.png" /><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